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B8720C"/>
          <w:sz w:val="18"/>
          <w:szCs w:val="18"/>
        </w:rPr>
        <w:t xml:space="preserve">TECHNICAL ASSESSMENT REPORT</w:t>
      </w:r>
    </w:p>
    <w:p>
      <w:pPr>
        <w:spacing w:after="60"/>
      </w:pPr>
      <w:r>
        <w:rPr>
          <w:b/>
          <w:bCs/>
          <w:color w:val="1B3B5F"/>
          <w:sz w:val="32"/>
          <w:szCs w:val="32"/>
        </w:rPr>
        <w:t xml:space="preserve">Multi-Modal Edge-AI Sensor Fusion Architecture (v4.0)</w:t>
      </w:r>
    </w:p>
    <w:p>
      <w:pPr>
        <w:spacing w:after="40"/>
      </w:pPr>
      <w:r>
        <w:rPr>
          <w:i/>
          <w:iCs/>
          <w:color w:val="5A5A5A"/>
          <w:sz w:val="20"/>
          <w:szCs w:val="20"/>
        </w:rPr>
        <w:t xml:space="preserve">Indoor Cricket Tracking System Specification — Independent Technical Review</w:t>
      </w:r>
    </w:p>
    <w:p>
      <w:pPr>
        <w:spacing w:after="280"/>
      </w:pPr>
      <w:r>
        <w:rPr>
          <w:color w:val="5A5A5A"/>
          <w:sz w:val="18"/>
          <w:szCs w:val="18"/>
        </w:rPr>
        <w:t xml:space="preserve">Reviewer stance: sensor-fusion / player-tracking systems background. Assessment performed as a pre-investment technical due-diligence review.</w:t>
      </w:r>
    </w:p>
    <w:p>
      <w:pPr>
        <w:pStyle w:val="Heading1"/>
        <w:spacing w:after="160" w:before="380"/>
      </w:pPr>
      <w:r>
        <w:rPr>
          <w:b/>
          <w:bCs/>
          <w:color w:val="1B3B5F"/>
          <w:sz w:val="27"/>
          <w:szCs w:val="27"/>
        </w:rPr>
        <w:t xml:space="preserve">1. Overall Verdict</w:t>
      </w:r>
    </w:p>
    <w:p>
      <w:pPr>
        <w:spacing w:after="140"/>
      </w:pPr>
      <w:r>
        <w:rPr>
          <w:color w:val="1A1A1A"/>
          <w:sz w:val="21"/>
          <w:szCs w:val="21"/>
        </w:rPr>
        <w:t xml:space="preserve">The proposed concept is directionally sound — no single sensor modality captures cricket's full kinematic and kinetic picture, and fusing tactile, optical, and RF signals is the right instinct. However, the document as written is not yet an engineering-ready specification. It reads more as a product/investment pitch than a buildable technical design: performance claims are asserted rather than measured, one core timing claim contradicts itself, and several named hardware components are unlikely to meet the stated performance without further justification.</w:t>
      </w:r>
    </w:p>
    <w:p>
      <w:pPr>
        <w:spacing w:after="200"/>
      </w:pPr>
      <w:r>
        <w:rPr>
          <w:b/>
          <w:bCs/>
          <w:color w:val="1B3B5F"/>
          <w:sz w:val="23"/>
          <w:szCs w:val="23"/>
        </w:rPr>
        <w:t xml:space="preserve">Overall score: </w:t>
      </w:r>
      <w:r>
        <w:rPr>
          <w:b/>
          <w:bCs/>
          <w:color w:val="B3372B"/>
          <w:sz w:val="23"/>
          <w:szCs w:val="23"/>
        </w:rPr>
        <w:t xml:space="preserve">4.7 / 10 as an engineering specification</w:t>
      </w:r>
      <w:r>
        <w:rPr>
          <w:color w:val="5A5A5A"/>
          <w:sz w:val="23"/>
          <w:szCs w:val="23"/>
        </w:rPr>
        <w:t xml:space="preserve">   •   </w:t>
      </w:r>
      <w:r>
        <w:rPr>
          <w:b/>
          <w:bCs/>
          <w:color w:val="2E7D4F"/>
          <w:sz w:val="23"/>
          <w:szCs w:val="23"/>
        </w:rPr>
        <w:t xml:space="preserve">8 / 10 as a product vision</w:t>
      </w:r>
    </w:p>
    <w:p>
      <w:pPr>
        <w:spacing w:after="140"/>
      </w:pPr>
      <w:r>
        <w:rPr>
          <w:color w:val="1A1A1A"/>
          <w:sz w:val="21"/>
          <w:szCs w:val="21"/>
        </w:rPr>
        <w:t xml:space="preserve">The gap between those two numbers is the central finding of this review: the underlying idea deserves continued investment, but the document should not be treated as build-ready or shown to a technically literate buyer/partner without revision.</w:t>
      </w:r>
    </w:p>
    <w:p>
      <w:pPr>
        <w:pStyle w:val="Heading1"/>
        <w:spacing w:after="160" w:before="380"/>
      </w:pPr>
      <w:r>
        <w:rPr>
          <w:b/>
          <w:bCs/>
          <w:color w:val="1B3B5F"/>
          <w:sz w:val="27"/>
          <w:szCs w:val="27"/>
        </w:rPr>
        <w:t xml:space="preserve">2. Scorecard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150"/>
      </w:tblGrid>
      <w:tr>
        <w:trPr>
          <w:tblHeader/>
        </w:trPr>
        <w:tc>
          <w:tcPr>
            <w:tcW w:type="dxa" w:w="3300"/>
            <w:shd w:fill="1B3B5F" w:val="clear"/>
            <w:tcMar>
              <w:top w:type="dxa" w:w="90"/>
              <w:left w:type="dxa" w:w="120"/>
              <w:bottom w:type="dxa" w:w="90"/>
              <w:right w:type="dxa" w:w="120"/>
            </w:tcMar>
          </w:tcPr>
          <w:p>
            <w:pPr>
              <w:jc w:val="left"/>
            </w:pPr>
            <w:r>
              <w:rPr>
                <w:b/>
                <w:bCs/>
                <w:color w:val="FFFFFF"/>
                <w:sz w:val="20"/>
                <w:szCs w:val="20"/>
              </w:rPr>
              <w:t xml:space="preserve">Dimension</w:t>
            </w:r>
          </w:p>
        </w:tc>
        <w:tc>
          <w:tcPr>
            <w:tcW w:type="dxa" w:w="900"/>
            <w:shd w:fill="1B3B5F" w:val="clear"/>
            <w:tcMar>
              <w:top w:type="dxa" w:w="90"/>
              <w:left w:type="dxa" w:w="120"/>
              <w:bottom w:type="dxa" w:w="90"/>
              <w:right w:type="dxa" w:w="120"/>
            </w:tcMar>
          </w:tcPr>
          <w:p>
            <w:pPr>
              <w:jc w:val="center"/>
            </w:pPr>
            <w:r>
              <w:rPr>
                <w:b/>
                <w:bCs/>
                <w:color w:val="FFFFFF"/>
                <w:sz w:val="20"/>
                <w:szCs w:val="20"/>
              </w:rPr>
              <w:t xml:space="preserve">Score</w:t>
            </w:r>
          </w:p>
        </w:tc>
        <w:tc>
          <w:tcPr>
            <w:tcW w:type="dxa" w:w="5150"/>
            <w:shd w:fill="1B3B5F" w:val="clear"/>
            <w:tcMar>
              <w:top w:type="dxa" w:w="90"/>
              <w:left w:type="dxa" w:w="120"/>
              <w:bottom w:type="dxa" w:w="90"/>
              <w:right w:type="dxa" w:w="120"/>
            </w:tcMar>
          </w:tcPr>
          <w:p>
            <w:pPr>
              <w:jc w:val="left"/>
            </w:pPr>
            <w:r>
              <w:rPr>
                <w:b/>
                <w:bCs/>
                <w:color w:val="FFFFFF"/>
                <w:sz w:val="20"/>
                <w:szCs w:val="20"/>
              </w:rPr>
              <w:t xml:space="preserve">Rationale</w:t>
            </w:r>
          </w:p>
        </w:tc>
      </w:tr>
      <w:tr>
        <w:tc>
          <w:tcPr>
            <w:tcW w:type="dxa" w:w="3300"/>
            <w:shd w:fill="F3F5F7" w:val="clear"/>
            <w:tcMar>
              <w:top w:type="dxa" w:w="90"/>
              <w:left w:type="dxa" w:w="120"/>
              <w:bottom w:type="dxa" w:w="90"/>
              <w:right w:type="dxa" w:w="120"/>
            </w:tcMar>
          </w:tcPr>
          <w:p>
            <w:pPr>
              <w:jc w:val="left"/>
            </w:pPr>
            <w:r>
              <w:rPr>
                <w:b w:val="false"/>
                <w:bCs w:val="false"/>
                <w:color w:val="1A1A1A"/>
                <w:sz w:val="20"/>
                <w:szCs w:val="20"/>
              </w:rPr>
              <w:t xml:space="preserve">Sensor concept &amp; fusion logic</w:t>
            </w:r>
          </w:p>
        </w:tc>
        <w:tc>
          <w:tcPr>
            <w:tcW w:type="dxa" w:w="900"/>
            <w:shd w:fill="F3F5F7" w:val="clear"/>
            <w:tcMar>
              <w:top w:type="dxa" w:w="90"/>
              <w:left w:type="dxa" w:w="120"/>
              <w:bottom w:type="dxa" w:w="90"/>
              <w:right w:type="dxa" w:w="120"/>
            </w:tcMar>
          </w:tcPr>
          <w:p>
            <w:pPr>
              <w:jc w:val="center"/>
            </w:pPr>
            <w:r>
              <w:rPr>
                <w:b/>
                <w:bCs/>
                <w:color w:val="2E7D4F"/>
                <w:sz w:val="20"/>
                <w:szCs w:val="20"/>
              </w:rPr>
              <w:t xml:space="preserve">7/10</w:t>
            </w:r>
          </w:p>
        </w:tc>
        <w:tc>
          <w:tcPr>
            <w:tcW w:type="dxa" w:w="5150"/>
            <w:shd w:fill="F3F5F7" w:val="clear"/>
            <w:tcMar>
              <w:top w:type="dxa" w:w="90"/>
              <w:left w:type="dxa" w:w="120"/>
              <w:bottom w:type="dxa" w:w="90"/>
              <w:right w:type="dxa" w:w="120"/>
            </w:tcMar>
          </w:tcPr>
          <w:p>
            <w:pPr>
              <w:jc w:val="left"/>
            </w:pPr>
            <w:r>
              <w:rPr>
                <w:b w:val="false"/>
                <w:bCs w:val="false"/>
                <w:color w:val="1A1A1A"/>
                <w:sz w:val="20"/>
                <w:szCs w:val="20"/>
              </w:rPr>
              <w:t xml:space="preserve">Sound instinct to combine modalities; fusion math itself is never shown, only asserted.</w:t>
            </w:r>
          </w:p>
        </w:tc>
      </w:tr>
      <w:tr>
        <w:tc>
          <w:tcPr>
            <w:tcW w:type="dxa" w:w="3300"/>
            <w:tcMar>
              <w:top w:type="dxa" w:w="90"/>
              <w:left w:type="dxa" w:w="120"/>
              <w:bottom w:type="dxa" w:w="90"/>
              <w:right w:type="dxa" w:w="120"/>
            </w:tcMar>
          </w:tcPr>
          <w:p>
            <w:pPr>
              <w:jc w:val="left"/>
            </w:pPr>
            <w:r>
              <w:rPr>
                <w:b w:val="false"/>
                <w:bCs w:val="false"/>
                <w:color w:val="1A1A1A"/>
                <w:sz w:val="20"/>
                <w:szCs w:val="20"/>
              </w:rPr>
              <w:t xml:space="preserve">Technical feasibility as specified</w:t>
            </w:r>
          </w:p>
        </w:tc>
        <w:tc>
          <w:tcPr>
            <w:tcW w:type="dxa" w:w="900"/>
            <w:tcMar>
              <w:top w:type="dxa" w:w="90"/>
              <w:left w:type="dxa" w:w="120"/>
              <w:bottom w:type="dxa" w:w="90"/>
              <w:right w:type="dxa" w:w="120"/>
            </w:tcMar>
          </w:tcPr>
          <w:p>
            <w:pPr>
              <w:jc w:val="center"/>
            </w:pPr>
            <w:r>
              <w:rPr>
                <w:b/>
                <w:bCs/>
                <w:color w:val="B3372B"/>
                <w:sz w:val="20"/>
                <w:szCs w:val="20"/>
              </w:rPr>
              <w:t xml:space="preserve">4/10</w:t>
            </w:r>
          </w:p>
        </w:tc>
        <w:tc>
          <w:tcPr>
            <w:tcW w:type="dxa" w:w="5150"/>
            <w:tcMar>
              <w:top w:type="dxa" w:w="90"/>
              <w:left w:type="dxa" w:w="120"/>
              <w:bottom w:type="dxa" w:w="90"/>
              <w:right w:type="dxa" w:w="120"/>
            </w:tcMar>
          </w:tcPr>
          <w:p>
            <w:pPr>
              <w:jc w:val="left"/>
            </w:pPr>
            <w:r>
              <w:rPr>
                <w:b w:val="false"/>
                <w:bCs w:val="false"/>
                <w:color w:val="1A1A1A"/>
                <w:sz w:val="20"/>
                <w:szCs w:val="20"/>
              </w:rPr>
              <w:t xml:space="preserve">Reads as a product deck; several claims fail a hardware-reality check.</w:t>
            </w:r>
          </w:p>
        </w:tc>
      </w:tr>
      <w:tr>
        <w:tc>
          <w:tcPr>
            <w:tcW w:type="dxa" w:w="3300"/>
            <w:shd w:fill="F3F5F7" w:val="clear"/>
            <w:tcMar>
              <w:top w:type="dxa" w:w="90"/>
              <w:left w:type="dxa" w:w="120"/>
              <w:bottom w:type="dxa" w:w="90"/>
              <w:right w:type="dxa" w:w="120"/>
            </w:tcMar>
          </w:tcPr>
          <w:p>
            <w:pPr>
              <w:jc w:val="left"/>
            </w:pPr>
            <w:r>
              <w:rPr>
                <w:b w:val="false"/>
                <w:bCs w:val="false"/>
                <w:color w:val="1A1A1A"/>
                <w:sz w:val="20"/>
                <w:szCs w:val="20"/>
              </w:rPr>
              <w:t xml:space="preserve">Accuracy / performance claims</w:t>
            </w:r>
          </w:p>
        </w:tc>
        <w:tc>
          <w:tcPr>
            <w:tcW w:type="dxa" w:w="900"/>
            <w:shd w:fill="F3F5F7" w:val="clear"/>
            <w:tcMar>
              <w:top w:type="dxa" w:w="90"/>
              <w:left w:type="dxa" w:w="120"/>
              <w:bottom w:type="dxa" w:w="90"/>
              <w:right w:type="dxa" w:w="120"/>
            </w:tcMar>
          </w:tcPr>
          <w:p>
            <w:pPr>
              <w:jc w:val="center"/>
            </w:pPr>
            <w:r>
              <w:rPr>
                <w:b/>
                <w:bCs/>
                <w:color w:val="B3372B"/>
                <w:sz w:val="20"/>
                <w:szCs w:val="20"/>
              </w:rPr>
              <w:t xml:space="preserve">3/10</w:t>
            </w:r>
          </w:p>
        </w:tc>
        <w:tc>
          <w:tcPr>
            <w:tcW w:type="dxa" w:w="5150"/>
            <w:shd w:fill="F3F5F7" w:val="clear"/>
            <w:tcMar>
              <w:top w:type="dxa" w:w="90"/>
              <w:left w:type="dxa" w:w="120"/>
              <w:bottom w:type="dxa" w:w="90"/>
              <w:right w:type="dxa" w:w="120"/>
            </w:tcMar>
          </w:tcPr>
          <w:p>
            <w:pPr>
              <w:jc w:val="left"/>
            </w:pPr>
            <w:r>
              <w:rPr>
                <w:b w:val="false"/>
                <w:bCs w:val="false"/>
                <w:color w:val="1A1A1A"/>
                <w:sz w:val="20"/>
                <w:szCs w:val="20"/>
              </w:rPr>
              <w:t xml:space="preserve">No quantified error metrics for the proposed system; only qualitative absolutes.</w:t>
            </w:r>
          </w:p>
        </w:tc>
      </w:tr>
      <w:tr>
        <w:tc>
          <w:tcPr>
            <w:tcW w:type="dxa" w:w="3300"/>
            <w:tcMar>
              <w:top w:type="dxa" w:w="90"/>
              <w:left w:type="dxa" w:w="120"/>
              <w:bottom w:type="dxa" w:w="90"/>
              <w:right w:type="dxa" w:w="120"/>
            </w:tcMar>
          </w:tcPr>
          <w:p>
            <w:pPr>
              <w:jc w:val="left"/>
            </w:pPr>
            <w:r>
              <w:rPr>
                <w:b w:val="false"/>
                <w:bCs w:val="false"/>
                <w:color w:val="1A1A1A"/>
                <w:sz w:val="20"/>
                <w:szCs w:val="20"/>
              </w:rPr>
              <w:t xml:space="preserve">Cost / value framing</w:t>
            </w:r>
          </w:p>
        </w:tc>
        <w:tc>
          <w:tcPr>
            <w:tcW w:type="dxa" w:w="900"/>
            <w:tcMar>
              <w:top w:type="dxa" w:w="90"/>
              <w:left w:type="dxa" w:w="120"/>
              <w:bottom w:type="dxa" w:w="90"/>
              <w:right w:type="dxa" w:w="120"/>
            </w:tcMar>
          </w:tcPr>
          <w:p>
            <w:pPr>
              <w:jc w:val="center"/>
            </w:pPr>
            <w:r>
              <w:rPr>
                <w:b/>
                <w:bCs/>
                <w:color w:val="B3372B"/>
                <w:sz w:val="20"/>
                <w:szCs w:val="20"/>
              </w:rPr>
              <w:t xml:space="preserve">4/10</w:t>
            </w:r>
          </w:p>
        </w:tc>
        <w:tc>
          <w:tcPr>
            <w:tcW w:type="dxa" w:w="5150"/>
            <w:tcMar>
              <w:top w:type="dxa" w:w="90"/>
              <w:left w:type="dxa" w:w="120"/>
              <w:bottom w:type="dxa" w:w="90"/>
              <w:right w:type="dxa" w:w="120"/>
            </w:tcMar>
          </w:tcPr>
          <w:p>
            <w:pPr>
              <w:jc w:val="left"/>
            </w:pPr>
            <w:r>
              <w:rPr>
                <w:b w:val="false"/>
                <w:bCs w:val="false"/>
                <w:color w:val="1A1A1A"/>
                <w:sz w:val="20"/>
                <w:szCs w:val="20"/>
              </w:rPr>
              <w:t xml:space="preserve">Comparison table is apples-to-oranges in places; BOM cost looks optimistic.</w:t>
            </w:r>
          </w:p>
        </w:tc>
      </w:tr>
      <w:tr>
        <w:tc>
          <w:tcPr>
            <w:tcW w:type="dxa" w:w="3300"/>
            <w:shd w:fill="F3F5F7" w:val="clear"/>
            <w:tcMar>
              <w:top w:type="dxa" w:w="90"/>
              <w:left w:type="dxa" w:w="120"/>
              <w:bottom w:type="dxa" w:w="90"/>
              <w:right w:type="dxa" w:w="120"/>
            </w:tcMar>
          </w:tcPr>
          <w:p>
            <w:pPr>
              <w:jc w:val="left"/>
            </w:pPr>
            <w:r>
              <w:rPr>
                <w:b w:val="false"/>
                <w:bCs w:val="false"/>
                <w:color w:val="1A1A1A"/>
                <w:sz w:val="20"/>
                <w:szCs w:val="20"/>
              </w:rPr>
              <w:t xml:space="preserve">Coaching / analytics value (if it worked)</w:t>
            </w:r>
          </w:p>
        </w:tc>
        <w:tc>
          <w:tcPr>
            <w:tcW w:type="dxa" w:w="900"/>
            <w:shd w:fill="F3F5F7" w:val="clear"/>
            <w:tcMar>
              <w:top w:type="dxa" w:w="90"/>
              <w:left w:type="dxa" w:w="120"/>
              <w:bottom w:type="dxa" w:w="90"/>
              <w:right w:type="dxa" w:w="120"/>
            </w:tcMar>
          </w:tcPr>
          <w:p>
            <w:pPr>
              <w:jc w:val="center"/>
            </w:pPr>
            <w:r>
              <w:rPr>
                <w:b/>
                <w:bCs/>
                <w:color w:val="2E7D4F"/>
                <w:sz w:val="20"/>
                <w:szCs w:val="20"/>
              </w:rPr>
              <w:t xml:space="preserve">8/10</w:t>
            </w:r>
          </w:p>
        </w:tc>
        <w:tc>
          <w:tcPr>
            <w:tcW w:type="dxa" w:w="5150"/>
            <w:shd w:fill="F3F5F7" w:val="clear"/>
            <w:tcMar>
              <w:top w:type="dxa" w:w="90"/>
              <w:left w:type="dxa" w:w="120"/>
              <w:bottom w:type="dxa" w:w="90"/>
              <w:right w:type="dxa" w:w="120"/>
            </w:tcMar>
          </w:tcPr>
          <w:p>
            <w:pPr>
              <w:jc w:val="left"/>
            </w:pPr>
            <w:r>
              <w:rPr>
                <w:b w:val="false"/>
                <w:bCs w:val="false"/>
                <w:color w:val="1A1A1A"/>
                <w:sz w:val="20"/>
                <w:szCs w:val="20"/>
              </w:rPr>
              <w:t xml:space="preserve">Strongest section — maps well to what coaches actually need.</w:t>
            </w:r>
          </w:p>
        </w:tc>
      </w:tr>
      <w:tr>
        <w:tc>
          <w:tcPr>
            <w:tcW w:type="dxa" w:w="3300"/>
            <w:tcMar>
              <w:top w:type="dxa" w:w="90"/>
              <w:left w:type="dxa" w:w="120"/>
              <w:bottom w:type="dxa" w:w="90"/>
              <w:right w:type="dxa" w:w="120"/>
            </w:tcMar>
          </w:tcPr>
          <w:p>
            <w:pPr>
              <w:jc w:val="left"/>
            </w:pPr>
            <w:r>
              <w:rPr>
                <w:b w:val="false"/>
                <w:bCs w:val="false"/>
                <w:color w:val="1A1A1A"/>
                <w:sz w:val="20"/>
                <w:szCs w:val="20"/>
              </w:rPr>
              <w:t xml:space="preserve">Deployment / operational realism</w:t>
            </w:r>
          </w:p>
        </w:tc>
        <w:tc>
          <w:tcPr>
            <w:tcW w:type="dxa" w:w="900"/>
            <w:tcMar>
              <w:top w:type="dxa" w:w="90"/>
              <w:left w:type="dxa" w:w="120"/>
              <w:bottom w:type="dxa" w:w="90"/>
              <w:right w:type="dxa" w:w="120"/>
            </w:tcMar>
          </w:tcPr>
          <w:p>
            <w:pPr>
              <w:jc w:val="center"/>
            </w:pPr>
            <w:r>
              <w:rPr>
                <w:b/>
                <w:bCs/>
                <w:color w:val="B3372B"/>
                <w:sz w:val="20"/>
                <w:szCs w:val="20"/>
              </w:rPr>
              <w:t xml:space="preserve">3/10</w:t>
            </w:r>
          </w:p>
        </w:tc>
        <w:tc>
          <w:tcPr>
            <w:tcW w:type="dxa" w:w="5150"/>
            <w:tcMar>
              <w:top w:type="dxa" w:w="90"/>
              <w:left w:type="dxa" w:w="120"/>
              <w:bottom w:type="dxa" w:w="90"/>
              <w:right w:type="dxa" w:w="120"/>
            </w:tcMar>
          </w:tcPr>
          <w:p>
            <w:pPr>
              <w:jc w:val="left"/>
            </w:pPr>
            <w:r>
              <w:rPr>
                <w:b w:val="false"/>
                <w:bCs w:val="false"/>
                <w:color w:val="1A1A1A"/>
                <w:sz w:val="20"/>
                <w:szCs w:val="20"/>
              </w:rPr>
              <w:t xml:space="preserve">No calibration, drift, maintenance, scaling, or data-governance plan.</w:t>
            </w:r>
          </w:p>
        </w:tc>
      </w:tr>
      <w:tr>
        <w:tc>
          <w:tcPr>
            <w:tcW w:type="dxa" w:w="3300"/>
            <w:shd w:fill="F3F5F7" w:val="clear"/>
            <w:tcMar>
              <w:top w:type="dxa" w:w="90"/>
              <w:left w:type="dxa" w:w="120"/>
              <w:bottom w:type="dxa" w:w="90"/>
              <w:right w:type="dxa" w:w="120"/>
            </w:tcMar>
          </w:tcPr>
          <w:p>
            <w:pPr>
              <w:jc w:val="left"/>
            </w:pPr>
            <w:r>
              <w:rPr>
                <w:b w:val="false"/>
                <w:bCs w:val="false"/>
                <w:color w:val="1A1A1A"/>
                <w:sz w:val="20"/>
                <w:szCs w:val="20"/>
              </w:rPr>
              <w:t xml:space="preserve">Documentation rigor</w:t>
            </w:r>
          </w:p>
        </w:tc>
        <w:tc>
          <w:tcPr>
            <w:tcW w:type="dxa" w:w="900"/>
            <w:shd w:fill="F3F5F7" w:val="clear"/>
            <w:tcMar>
              <w:top w:type="dxa" w:w="90"/>
              <w:left w:type="dxa" w:w="120"/>
              <w:bottom w:type="dxa" w:w="90"/>
              <w:right w:type="dxa" w:w="120"/>
            </w:tcMar>
          </w:tcPr>
          <w:p>
            <w:pPr>
              <w:jc w:val="center"/>
            </w:pPr>
            <w:r>
              <w:rPr>
                <w:b/>
                <w:bCs/>
                <w:color w:val="B3372B"/>
                <w:sz w:val="20"/>
                <w:szCs w:val="20"/>
              </w:rPr>
              <w:t xml:space="preserve">4/10</w:t>
            </w:r>
          </w:p>
        </w:tc>
        <w:tc>
          <w:tcPr>
            <w:tcW w:type="dxa" w:w="5150"/>
            <w:shd w:fill="F3F5F7" w:val="clear"/>
            <w:tcMar>
              <w:top w:type="dxa" w:w="90"/>
              <w:left w:type="dxa" w:w="120"/>
              <w:bottom w:type="dxa" w:w="90"/>
              <w:right w:type="dxa" w:w="120"/>
            </w:tcMar>
          </w:tcPr>
          <w:p>
            <w:pPr>
              <w:jc w:val="left"/>
            </w:pPr>
            <w:r>
              <w:rPr>
                <w:b w:val="false"/>
                <w:bCs w:val="false"/>
                <w:color w:val="1A1A1A"/>
                <w:sz w:val="20"/>
                <w:szCs w:val="20"/>
              </w:rPr>
              <w:t xml:space="preserve">Internal inconsistency, unverifiable competitor claims, no validation data.</w:t>
            </w:r>
          </w:p>
        </w:tc>
      </w:tr>
    </w:tbl>
    <w:p>
      <w:pPr>
        <w:spacing w:before="200"/>
      </w:pPr>
    </w:p>
    <w:p>
      <w:pPr>
        <w:pStyle w:val="Heading1"/>
        <w:spacing w:after="160" w:before="380"/>
      </w:pPr>
      <w:r>
        <w:rPr>
          <w:b/>
          <w:bCs/>
          <w:color w:val="1B3B5F"/>
          <w:sz w:val="27"/>
          <w:szCs w:val="27"/>
        </w:rPr>
        <w:t xml:space="preserve">3. Findings — Where the Specification Breaks Down</w:t>
      </w:r>
    </w:p>
    <w:p>
      <w:pPr>
        <w:pStyle w:val="Heading2"/>
        <w:spacing w:after="120" w:before="260"/>
      </w:pPr>
      <w:r>
        <w:rPr>
          <w:b/>
          <w:bCs/>
          <w:color w:val="1B3B5F"/>
          <w:sz w:val="22"/>
          <w:szCs w:val="22"/>
        </w:rPr>
        <w:t xml:space="preserve">3.1 Internal contradiction in the timing claim</w:t>
      </w:r>
    </w:p>
    <w:p>
      <w:pPr>
        <w:spacing w:after="140"/>
      </w:pPr>
      <w:r>
        <w:rPr>
          <w:color w:val="1A1A1A"/>
          <w:sz w:val="21"/>
          <w:szCs w:val="21"/>
        </w:rPr>
        <w:t xml:space="preserve">Section 2A states the piezoelectric sensor provides “microsecond-precise master timestamp synchronization,” while Section 4 (Stage A) states the same trigger isolates a “tight 50ms temporal window” across cameras and radar. These figures differ by roughly five orders of magnitude. A bat-ball contact event lasts under a millisecond, so a 50ms fusion window is not consistent with microsecond-level precision. This is the kind of inconsistency that would surface within minutes of technical due diligence and should be resolved — either the true operating precision is the millisecond-scale figure, or the microsecond claim needs a stated basis.</w:t>
      </w:r>
    </w:p>
    <w:p>
      <w:pPr>
        <w:pStyle w:val="Heading2"/>
        <w:spacing w:after="120" w:before="260"/>
      </w:pPr>
      <w:r>
        <w:rPr>
          <w:b/>
          <w:bCs/>
          <w:color w:val="1B3B5F"/>
          <w:sz w:val="22"/>
          <w:szCs w:val="22"/>
        </w:rPr>
        <w:t xml:space="preserve">3.2 “100% elimination of false positives” is not an engineering claim</w:t>
      </w:r>
    </w:p>
    <w:p>
      <w:pPr>
        <w:spacing w:after="140"/>
      </w:pPr>
      <w:r>
        <w:rPr>
          <w:color w:val="1A1A1A"/>
          <w:sz w:val="21"/>
          <w:szCs w:val="21"/>
        </w:rPr>
        <w:t xml:space="preserve">No sensor fusion system — including established commercial systems with published, peer-reviewed accuracy studies — claims 100% of anything without a stated test methodology, sample size, and confidence interval. This claim should be replaced with a measured false-positive rate from a validation dataset, or removed until one exists.</w:t>
      </w:r>
    </w:p>
    <w:p>
      <w:pPr>
        <w:pStyle w:val="Heading2"/>
        <w:spacing w:after="120" w:before="260"/>
      </w:pPr>
      <w:r>
        <w:rPr>
          <w:b/>
          <w:bCs/>
          <w:color w:val="1B3B5F"/>
          <w:sz w:val="22"/>
          <w:szCs w:val="22"/>
        </w:rPr>
        <w:t xml:space="preserve">3.3 Camera hardware may be underspecified for the task</w:t>
      </w:r>
    </w:p>
    <w:p>
      <w:pPr>
        <w:spacing w:after="140"/>
      </w:pPr>
      <w:r>
        <w:rPr>
          <w:color w:val="1A1A1A"/>
          <w:sz w:val="21"/>
          <w:szCs w:val="21"/>
        </w:rPr>
        <w:t xml:space="preserve">The six named OAK-D Lite units use a rolling-shutter RGB sensor and a lower-spec depth engine than the Pro line. A cricket ball travelling at 130–150 km/h will exhibit real motion skew on a rolling shutter, and stereo depth quality for a small (~7cm), fast-moving target is a known limitation at this tier of hardware. If the system is intended to deliver near-lab-grade trajectory accuracy, the camera selection needs technical justification rather than a bare model name.</w:t>
      </w:r>
    </w:p>
    <w:p>
      <w:pPr>
        <w:pStyle w:val="Heading2"/>
        <w:spacing w:after="120" w:before="260"/>
      </w:pPr>
      <w:r>
        <w:rPr>
          <w:b/>
          <w:bCs/>
          <w:color w:val="1B3B5F"/>
          <w:sz w:val="22"/>
          <w:szCs w:val="22"/>
        </w:rPr>
        <w:t xml:space="preserve">3.4 mmWave ball detection is a nontrivial RF problem, treated too briefly</w:t>
      </w:r>
    </w:p>
    <w:p>
      <w:pPr>
        <w:spacing w:after="140"/>
      </w:pPr>
      <w:r>
        <w:rPr>
          <w:color w:val="1A1A1A"/>
          <w:sz w:val="21"/>
          <w:szCs w:val="21"/>
        </w:rPr>
        <w:t xml:space="preserve">A cricket ball presents a small radar cross-section. FMCW radar performance against a target this size and speed depends heavily on chirp bandwidth, frame rate, and antenna configuration, none of which are specified. Micro-Doppler-based spin extraction is a legitimate and established technique in other domains (e.g. ballistics, drone classification), but it needs at minimum a stated range resolution and update rate to be credible as applied here.</w:t>
      </w:r>
    </w:p>
    <w:p>
      <w:pPr>
        <w:pStyle w:val="Heading2"/>
        <w:spacing w:after="120" w:before="260"/>
      </w:pPr>
      <w:r>
        <w:rPr>
          <w:b/>
          <w:bCs/>
          <w:color w:val="1B3B5F"/>
          <w:sz w:val="22"/>
          <w:szCs w:val="22"/>
        </w:rPr>
        <w:t xml:space="preserve">3.5 Competitive comparison table contains a likely mischaracterization</w:t>
      </w:r>
    </w:p>
    <w:p>
      <w:pPr>
        <w:spacing w:after="140"/>
      </w:pPr>
      <w:r>
        <w:rPr>
          <w:color w:val="1A1A1A"/>
          <w:sz w:val="21"/>
          <w:szCs w:val="21"/>
        </w:rPr>
        <w:t xml:space="preserve">The comparison positions a named competitor as a “pitch-embedded turf array,” which does not match this reviewer's understanding of that product's actual technology (primarily camera- and radar-based). If this is inaccurate, it should be corrected before the document is shown to anyone familiar with that product — misrepresenting a named competitor's technology undermines the credibility of the entire comparison section.</w:t>
      </w:r>
    </w:p>
    <w:p>
      <w:pPr>
        <w:pStyle w:val="Heading2"/>
        <w:spacing w:after="120" w:before="260"/>
      </w:pPr>
      <w:r>
        <w:rPr>
          <w:b/>
          <w:bCs/>
          <w:color w:val="1B3B5F"/>
          <w:sz w:val="22"/>
          <w:szCs w:val="22"/>
        </w:rPr>
        <w:t xml:space="preserve">3.6 Cost comparison is not apples-to-apples</w:t>
      </w:r>
    </w:p>
    <w:p>
      <w:pPr>
        <w:spacing w:after="140"/>
      </w:pPr>
      <w:r>
        <w:rPr>
          <w:color w:val="1A1A1A"/>
          <w:sz w:val="21"/>
          <w:szCs w:val="21"/>
        </w:rPr>
        <w:t xml:space="preserve">Comparing this system's estimated $1,650–$1,900 cost against an $60–$80 wearable is misleading, since one is a fixed facility installation and the other a portable per-player device with no infrastructure requirement. A fairer comparison would be total cost per net/bay against the named pitch-based competitor's actual published commercial pricing, which is not shown. Separately, the estimated bill of materials — six cameras, radar modules, piezoelectric and ultrasonic sensors, plus an edge-AI compute unit capable of real-time six-camera stereo and radar processing — appears optimistic at the stated price point and would benefit from a line-item breakdown.</w:t>
      </w:r>
    </w:p>
    <w:p>
      <w:pPr>
        <w:pStyle w:val="Heading1"/>
        <w:spacing w:after="160" w:before="380"/>
      </w:pPr>
      <w:r>
        <w:rPr>
          <w:b/>
          <w:bCs/>
          <w:color w:val="1B3B5F"/>
          <w:sz w:val="27"/>
          <w:szCs w:val="27"/>
        </w:rPr>
        <w:t xml:space="preserve">4. Notable Strength</w:t>
      </w:r>
    </w:p>
    <w:p>
      <w:pPr>
        <w:spacing w:after="140"/>
      </w:pPr>
      <w:r>
        <w:rPr>
          <w:color w:val="1A1A1A"/>
          <w:sz w:val="21"/>
          <w:szCs w:val="21"/>
        </w:rPr>
        <w:t xml:space="preserve">Section 3 (the bowling and batting analytics suite) is the strongest and most credible part of the document. The listed outputs — line/length consistency, bowling-action drift across a spell, contact quality (sweet spot vs. edge), footwork and balance, and shot decision-making metrics — map closely to what coaches actually assess and would value. This section should be preserved largely as-is through any revision; it is the clearest evidence the authors understand the end-user's real needs, independent of whether the underlying hardware can deliver it.</w:t>
      </w:r>
    </w:p>
    <w:p>
      <w:pPr>
        <w:pStyle w:val="Heading1"/>
        <w:spacing w:after="160" w:before="380"/>
      </w:pPr>
      <w:r>
        <w:rPr>
          <w:b/>
          <w:bCs/>
          <w:color w:val="1B3B5F"/>
          <w:sz w:val="27"/>
          <w:szCs w:val="27"/>
        </w:rPr>
        <w:t xml:space="preserve">5. Gaps — What Is Missing Entirely</w:t>
      </w:r>
    </w:p>
    <w:p>
      <w:pPr>
        <w:pStyle w:val="ListParagraph"/>
        <w:numPr>
          <w:ilvl w:val="0"/>
          <w:numId w:val="2"/>
        </w:numPr>
        <w:spacing w:after="90"/>
      </w:pPr>
      <w:r>
        <w:rPr>
          <w:color w:val="1A1A1A"/>
          <w:sz w:val="21"/>
          <w:szCs w:val="21"/>
        </w:rPr>
        <w:t xml:space="preserve">Stated accuracy/error figures for the proposed system itself (ball speed error margin, trajectory error in cm, pose-estimation joint error)</w:t>
      </w:r>
    </w:p>
    <w:p>
      <w:pPr>
        <w:pStyle w:val="ListParagraph"/>
        <w:numPr>
          <w:ilvl w:val="0"/>
          <w:numId w:val="2"/>
        </w:numPr>
        <w:spacing w:after="90"/>
      </w:pPr>
      <w:r>
        <w:rPr>
          <w:color w:val="1A1A1A"/>
          <w:sz w:val="21"/>
          <w:szCs w:val="21"/>
        </w:rPr>
        <w:t xml:space="preserve">A calibration procedure and its required frequency</w:t>
      </w:r>
    </w:p>
    <w:p>
      <w:pPr>
        <w:pStyle w:val="ListParagraph"/>
        <w:numPr>
          <w:ilvl w:val="0"/>
          <w:numId w:val="2"/>
        </w:numPr>
        <w:spacing w:after="90"/>
      </w:pPr>
      <w:r>
        <w:rPr>
          <w:color w:val="1A1A1A"/>
          <w:sz w:val="21"/>
          <w:szCs w:val="21"/>
        </w:rPr>
        <w:t xml:space="preserve">Specification of the edge compute hardware and confirmation it can run six-camera stereo plus radar processing plus pose estimation in real time</w:t>
      </w:r>
    </w:p>
    <w:p>
      <w:pPr>
        <w:pStyle w:val="ListParagraph"/>
        <w:numPr>
          <w:ilvl w:val="0"/>
          <w:numId w:val="2"/>
        </w:numPr>
        <w:spacing w:after="90"/>
      </w:pPr>
      <w:r>
        <w:rPr>
          <w:color w:val="1A1A1A"/>
          <w:sz w:val="21"/>
          <w:szCs w:val="21"/>
        </w:rPr>
        <w:t xml:space="preserve">Player identification and multi-session data management</w:t>
      </w:r>
    </w:p>
    <w:p>
      <w:pPr>
        <w:pStyle w:val="ListParagraph"/>
        <w:numPr>
          <w:ilvl w:val="0"/>
          <w:numId w:val="2"/>
        </w:numPr>
        <w:spacing w:after="90"/>
      </w:pPr>
      <w:r>
        <w:rPr>
          <w:color w:val="1A1A1A"/>
          <w:sz w:val="21"/>
          <w:szCs w:val="21"/>
        </w:rPr>
        <w:t xml:space="preserve">Data privacy and governance plan for biometric pose data — particularly relevant given skeletal tracking is likely to include minors in an academy setting</w:t>
      </w:r>
    </w:p>
    <w:p>
      <w:pPr>
        <w:pStyle w:val="ListParagraph"/>
        <w:numPr>
          <w:ilvl w:val="0"/>
          <w:numId w:val="2"/>
        </w:numPr>
        <w:spacing w:after="90"/>
      </w:pPr>
      <w:r>
        <w:rPr>
          <w:color w:val="1A1A1A"/>
          <w:sz w:val="21"/>
          <w:szCs w:val="21"/>
        </w:rPr>
        <w:t xml:space="preserve">Any pilot deployment, prototype test data, or independent validation study — the document reads as pre-prototype throughout</w:t>
      </w:r>
    </w:p>
    <w:p>
      <w:pPr>
        <w:pStyle w:val="Heading1"/>
        <w:spacing w:after="160" w:before="380"/>
      </w:pPr>
      <w:r>
        <w:rPr>
          <w:b/>
          <w:bCs/>
          <w:color w:val="1B3B5F"/>
          <w:sz w:val="27"/>
          <w:szCs w:val="27"/>
        </w:rPr>
        <w:t xml:space="preserve">6. Recommendation</w:t>
      </w:r>
    </w:p>
    <w:p>
      <w:pPr>
        <w:spacing w:after="140"/>
      </w:pPr>
      <w:r>
        <w:rPr>
          <w:color w:val="1A1A1A"/>
          <w:sz w:val="21"/>
          <w:szCs w:val="21"/>
        </w:rPr>
        <w:t xml:space="preserve">Retain and protect the product vision and Section 3 analytics scope — this is where the document's real value lies. Do not proceed to a build or investment decision on the current draft. Request a revised specification that: (a) resolves the timing inconsistency in Section 3.1; (b) replaces absolute claims with measured, sourced figures; (c) justifies the camera and radar hardware choices against the physical requirements of tracking a small, fast-moving ball; (d) corrects or substantiates the competitive comparison; and (e) is accompanied by prototype or pilot validation data, even at small scale. Until those points are addressed, this should be treated as an early-stage concept document rather than an engineering-ready specification.</w:t>
      </w:r>
    </w:p>
    <w:p>
      <w:pPr>
        <w:spacing w:before="300"/>
      </w:pPr>
      <w:r>
        <w:rPr>
          <w:i/>
          <w:iCs/>
          <w:color w:val="5A5A5A"/>
          <w:sz w:val="17"/>
          <w:szCs w:val="17"/>
        </w:rPr>
        <w:t xml:space="preserve">This assessment reflects an independent technical review of the submitted document only and does not constitute a certification of the underlying product.</w:t>
      </w:r>
    </w:p>
    <w:sectPr>
      <w:pgSz w:w="11906" w:h="16838"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2026-07-28T10:38:25.320Z</dcterms:created>
  <dcterms:modified xsi:type="dcterms:W3CDTF">2026-07-28T10:38:25.334Z</dcterms:modified>
</cp:coreProperties>
</file>

<file path=docProps/custom.xml><?xml version="1.0" encoding="utf-8"?>
<Properties xmlns="http://schemas.openxmlformats.org/officeDocument/2006/custom-properties" xmlns:vt="http://schemas.openxmlformats.org/officeDocument/2006/docPropsVTypes"/>
</file>