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0B876" w14:textId="77777777" w:rsidR="00947994" w:rsidRDefault="00947994" w:rsidP="00947994">
      <w:r>
        <w:t># Automated Wall-Mounted Intoxication Screening Kiosk</w:t>
      </w:r>
    </w:p>
    <w:p w14:paraId="430167F9" w14:textId="77777777" w:rsidR="00947994" w:rsidRDefault="00947994" w:rsidP="00947994">
      <w:r>
        <w:t>### Enterprise Specification: Zero-Contact Multi-Modal Biometric Access Control System</w:t>
      </w:r>
    </w:p>
    <w:p w14:paraId="27FEA4E2" w14:textId="77777777" w:rsidR="00947994" w:rsidRDefault="00947994" w:rsidP="00947994">
      <w:r>
        <w:t>This document details the commercial specification and operational architecture for an automated, zero-contact, wall-mounted screening kiosk designed for enterprise, logistics, and high-risk industrial environments. By transitioning from a physical mask wearable to an open-air, walkthrough access-control kiosk, this system delivers high-throughput sobriety verification, pristine workplace hygiene, and objective, legally defensible biometric auditing within a 20-to-30-second operational window.</w:t>
      </w:r>
    </w:p>
    <w:p w14:paraId="6F083B61" w14:textId="77777777" w:rsidR="00947994" w:rsidRDefault="00947994" w:rsidP="00947994">
      <w:r>
        <w:t>## 1. Physical &amp; Hardware Architecture</w:t>
      </w:r>
    </w:p>
    <w:p w14:paraId="29DAEACE" w14:textId="77777777" w:rsidR="00947994" w:rsidRDefault="00947994" w:rsidP="00947994">
      <w:r>
        <w:t>The kiosk is structured as an integrated wall unit enclosed in a localized privacy partition. It relies on contactless sensor arrays to eliminate manual deployment overhead, cross-contamination risks, and operator bias.</w:t>
      </w:r>
    </w:p>
    <w:p w14:paraId="4E6EB056" w14:textId="77777777" w:rsidR="00947994" w:rsidRDefault="00947994" w:rsidP="00947994">
      <w:r>
        <w:t xml:space="preserve"> * *Motorized Height-Adjustable Alignment </w:t>
      </w:r>
      <w:proofErr w:type="gramStart"/>
      <w:r>
        <w:t>Base:*</w:t>
      </w:r>
      <w:proofErr w:type="gramEnd"/>
      <w:r>
        <w:t xml:space="preserve"> An automated positioning system driven by time-of-flight (</w:t>
      </w:r>
      <w:proofErr w:type="spellStart"/>
      <w:r>
        <w:t>ToF</w:t>
      </w:r>
      <w:proofErr w:type="spellEnd"/>
      <w:r>
        <w:t>) proximity sensors that measures employee stature upon badge scanning and aligns the internal sensor bay with the subject's ocular plane.</w:t>
      </w:r>
    </w:p>
    <w:p w14:paraId="076FA25F" w14:textId="77777777" w:rsidR="00947994" w:rsidRDefault="00947994" w:rsidP="00947994">
      <w:r>
        <w:t xml:space="preserve"> * *Controlled Illumination </w:t>
      </w:r>
      <w:proofErr w:type="gramStart"/>
      <w:r>
        <w:t>Canopy:*</w:t>
      </w:r>
      <w:proofErr w:type="gramEnd"/>
      <w:r>
        <w:t xml:space="preserve"> An overhanging visual shroud lined with high-power, invisible infrared (IR) LED matrices to standardize ambient illumination, completely neutralizing variable facility lighting, windows, or floor shadows.</w:t>
      </w:r>
    </w:p>
    <w:p w14:paraId="60B4C2CB" w14:textId="77777777" w:rsidR="00947994" w:rsidRDefault="00947994" w:rsidP="00947994">
      <w:r>
        <w:t xml:space="preserve"> * *Dual High-Speed IR </w:t>
      </w:r>
      <w:proofErr w:type="gramStart"/>
      <w:r>
        <w:t>Cameras:*</w:t>
      </w:r>
      <w:proofErr w:type="gramEnd"/>
      <w:r>
        <w:t xml:space="preserve"> Contactless machine-vision sensors tracking both eyes asynchronously at high frame rates (minimum 120Hz) through a chemical-resistant, one-way optical aperture.</w:t>
      </w:r>
    </w:p>
    <w:p w14:paraId="11A1CD00" w14:textId="77777777" w:rsidR="00947994" w:rsidRDefault="00947994" w:rsidP="00947994">
      <w:r>
        <w:t xml:space="preserve"> * *Directional Audio </w:t>
      </w:r>
      <w:proofErr w:type="gramStart"/>
      <w:r>
        <w:t>Array:*</w:t>
      </w:r>
      <w:proofErr w:type="gramEnd"/>
      <w:r>
        <w:t xml:space="preserve"> High-sensitivity shotgun microphones focused exclusively on the subject's oral plane to capture vocal biometric latencies and phonetic structure while filtering facility machinery noise.</w:t>
      </w:r>
    </w:p>
    <w:p w14:paraId="07423805" w14:textId="77777777" w:rsidR="00947994" w:rsidRDefault="00947994" w:rsidP="00947994">
      <w:r>
        <w:t xml:space="preserve"> * *Laminar Micro-Vortex Delivery </w:t>
      </w:r>
      <w:proofErr w:type="gramStart"/>
      <w:r>
        <w:t>Port:*</w:t>
      </w:r>
      <w:proofErr w:type="gramEnd"/>
      <w:r>
        <w:t xml:space="preserve"> A high-precision pneumatic valve connected to a multi-directional nozzle, designed to project a tight, cohesive air-jet pulse of a volatile alkyl nitrite chemical agent (10\</w:t>
      </w:r>
      <w:proofErr w:type="gramStart"/>
      <w:r>
        <w:t>text{ to</w:t>
      </w:r>
      <w:proofErr w:type="gramEnd"/>
      <w:r>
        <w:t xml:space="preserve"> } 50\ \mu\text{g/L}) directly into the localized breathing zone during conditional verification testing.</w:t>
      </w:r>
    </w:p>
    <w:p w14:paraId="126BC214" w14:textId="77777777" w:rsidR="00947994" w:rsidRDefault="00947994" w:rsidP="00947994">
      <w:r>
        <w:t xml:space="preserve"> * *Negative-Pressure Air Evacuation </w:t>
      </w:r>
      <w:proofErr w:type="gramStart"/>
      <w:r>
        <w:t>Grate:*</w:t>
      </w:r>
      <w:proofErr w:type="gramEnd"/>
      <w:r>
        <w:t xml:space="preserve"> A high-volume scavenge fan coupled with a downstream activated carbon filter matrix located at the base of the kiosk shell, ensuring an immediate environmental flush post-test to prevent chemical carryover.</w:t>
      </w:r>
    </w:p>
    <w:p w14:paraId="4B013DD3" w14:textId="77777777" w:rsidR="00947994" w:rsidRDefault="00947994" w:rsidP="00947994">
      <w:r>
        <w:t>## 2. Tiered Gatekeeper Logic &amp; Operational Sequence</w:t>
      </w:r>
    </w:p>
    <w:p w14:paraId="09ADA936" w14:textId="77777777" w:rsidR="00947994" w:rsidRDefault="00947994" w:rsidP="00947994">
      <w:r>
        <w:lastRenderedPageBreak/>
        <w:t>To preserve high throughput during shift handovers, the system splits processing into a fast passive screening phase and an accelerated active verification phase:</w:t>
      </w:r>
    </w:p>
    <w:p w14:paraId="6641431F" w14:textId="77777777" w:rsidR="00947994" w:rsidRDefault="00947994" w:rsidP="00947994">
      <w:r>
        <w:t>### Stage 1: Passive Biometric Screening (0 – 20 Seconds)</w:t>
      </w:r>
    </w:p>
    <w:p w14:paraId="70B8F98A" w14:textId="77777777" w:rsidR="00947994" w:rsidRDefault="00947994" w:rsidP="00947994">
      <w:r>
        <w:t>The employee approaches the kiosk and scans their corporate access credential. The kiosk instantly self-adjusts its height. For 15 seconds, the system logs automated Horizontal Gaze Nystagmus (HGN) vectors, pupillary light reflex (PLR) tracking curves, and voice biometrics. If all metrics match a baseline sober profile, the access turnstile immediately unlocks. The employee clears the checkpoint with zero physical contact in 20 seconds.</w:t>
      </w:r>
    </w:p>
    <w:p w14:paraId="034A17F3" w14:textId="77777777" w:rsidR="00947994" w:rsidRDefault="00947994" w:rsidP="00947994">
      <w:r>
        <w:t>### Stage 2: Conditional Active Confirmatory Challenge (+10 Seconds)</w:t>
      </w:r>
    </w:p>
    <w:p w14:paraId="4C857FA5" w14:textId="77777777" w:rsidR="00947994" w:rsidRDefault="00947994" w:rsidP="00947994">
      <w:r>
        <w:t>If Stage 1 flags a critical Central Nervous System (CNS) anomaly, irregular tracking latency, or aberrant saccadic velocity, the turnstile remains closed, and the system immediately initiates a definitive autonomic challenge to rule out false positives from fatigue or stress.</w:t>
      </w:r>
    </w:p>
    <w:p w14:paraId="387EC9E4" w14:textId="77777777" w:rsidR="00947994" w:rsidRDefault="00947994" w:rsidP="00947994">
      <w:r>
        <w:t>## 3. Automated Kiosk Timeline Matrix</w:t>
      </w:r>
    </w:p>
    <w:p w14:paraId="7313FE5A" w14:textId="77777777" w:rsidR="00947994" w:rsidRDefault="00947994" w:rsidP="00947994">
      <w:r>
        <w:t>| Time Block | Operational Phase | Active Sensor Sub-systems | Industrial Access Logic |</w:t>
      </w:r>
    </w:p>
    <w:p w14:paraId="6111AA52" w14:textId="77777777" w:rsidR="00947994" w:rsidRDefault="00947994" w:rsidP="00947994">
      <w:r>
        <w:t>|---|---|---|---|</w:t>
      </w:r>
    </w:p>
    <w:p w14:paraId="7DBFEDB8" w14:textId="77777777" w:rsidR="00947994" w:rsidRDefault="00947994" w:rsidP="00947994">
      <w:r>
        <w:t xml:space="preserve">| *00s – 05s* | Authentication &amp; Fit | </w:t>
      </w:r>
      <w:proofErr w:type="spellStart"/>
      <w:r>
        <w:t>ToF</w:t>
      </w:r>
      <w:proofErr w:type="spellEnd"/>
      <w:r>
        <w:t xml:space="preserve"> Distance Sensors, Motorized Rails | Employee badge scan; immediate automated height alignment; system structural calibration. |</w:t>
      </w:r>
    </w:p>
    <w:p w14:paraId="470F9531" w14:textId="77777777" w:rsidR="00947994" w:rsidRDefault="00947994" w:rsidP="00947994">
      <w:r>
        <w:t>| *05s – 20s* | Stage 1: Screening | Dual IR Array, Eye-Tracking Engine | Contactless tracking of smooth pursuit velocity, micro-saccades, and vocal latency. *If clean: TURNSTILE UNLOCKS*. |</w:t>
      </w:r>
    </w:p>
    <w:p w14:paraId="3BDB61A0" w14:textId="77777777" w:rsidR="00947994" w:rsidRDefault="00947994" w:rsidP="00947994">
      <w:r>
        <w:t>| *20s – 25s* | Stage 2: Active Pulse | Laminar Pneumatic Delivery Nozzle | Conditional escalation: Target-stream injection of a sub-clinical micro-dose of volatile alkyl nitrite vapor. |</w:t>
      </w:r>
    </w:p>
    <w:p w14:paraId="6A3D1562" w14:textId="77777777" w:rsidR="00947994" w:rsidRDefault="00947994" w:rsidP="00947994">
      <w:r>
        <w:t>| *25s – 30s* | Autonomic Evaluation | IR Cameras, Exhaust Scavenger Array | Real-time analysis of baroreflex ocular stability and pupillary recovery. Automated chamber purge via negative pressure. |</w:t>
      </w:r>
    </w:p>
    <w:p w14:paraId="446A3DC6" w14:textId="77777777" w:rsidR="00947994" w:rsidRDefault="00947994" w:rsidP="00947994">
      <w:r>
        <w:t>## 4. Enterprise Integration, ROI, and Forensic Admissibility</w:t>
      </w:r>
    </w:p>
    <w:p w14:paraId="3AD0A15B" w14:textId="77777777" w:rsidR="00947994" w:rsidRDefault="00947994" w:rsidP="00947994">
      <w:r>
        <w:t>Implementing the wall-mounted kiosk model offers critical operational and financial advantages over traditional manual or laboratory workplace drug screening:</w:t>
      </w:r>
    </w:p>
    <w:p w14:paraId="70CB0463" w14:textId="77777777" w:rsidR="00947994" w:rsidRDefault="00947994" w:rsidP="00947994">
      <w:r>
        <w:lastRenderedPageBreak/>
        <w:t xml:space="preserve"> * *Autonomic Baroreflex </w:t>
      </w:r>
      <w:proofErr w:type="gramStart"/>
      <w:r>
        <w:t>Differentiation:*</w:t>
      </w:r>
      <w:proofErr w:type="gramEnd"/>
      <w:r>
        <w:t xml:space="preserve"> The sub-clinical introduction of volatile alkyl nitrite vapor serves as an un-gameable physiological differentiator. In a sober employee, the minute localized shift in vascular pressure is instantly balanced by the brainstem's baroreflex, causing zero alteration to tracking performance or outward physical appearance. In an intoxicated individual, the compromised nervous system lacks the processing latency to compensate, causing an immediate, undeniable accentuation of oculomotor instability and pupillary breakdown that is tracked and mapped by the machine-vision engines.</w:t>
      </w:r>
    </w:p>
    <w:p w14:paraId="37742C1F" w14:textId="77777777" w:rsidR="00947994" w:rsidRDefault="00947994" w:rsidP="00947994">
      <w:r>
        <w:t xml:space="preserve"> * *Enterprise Automation &amp; Risk </w:t>
      </w:r>
      <w:proofErr w:type="gramStart"/>
      <w:r>
        <w:t>Mitigation:*</w:t>
      </w:r>
      <w:proofErr w:type="gramEnd"/>
      <w:r>
        <w:t xml:space="preserve"> By eliminating physical contact surfaces, corporations eliminate ongoing maintenance, sanitation downtime, and physical hazard considerations. The kiosk functions as an automated gateway integrated into modern Enterprise Resource Planning (ERP) and HR management ecosystems. When a positive impairment vector is logged, the gate physically locks, and an encrypted, tamper-proof cryptographic report is piped to HR, mitigating liability and significantly lowering corporate worker's compensation and general liability insurance premiums.</w:t>
      </w:r>
    </w:p>
    <w:p w14:paraId="7ECD794D" w14:textId="77777777" w:rsidR="00947994" w:rsidRDefault="00947994" w:rsidP="00947994">
      <w:r>
        <w:t xml:space="preserve"> * *Corporate Compliance </w:t>
      </w:r>
      <w:proofErr w:type="gramStart"/>
      <w:r>
        <w:t>Standards:*</w:t>
      </w:r>
      <w:proofErr w:type="gramEnd"/>
      <w:r>
        <w:t xml:space="preserve"> The kiosk records pure mathematical parameters—such as exact eye vector tracking speeds, pupil </w:t>
      </w:r>
      <w:proofErr w:type="spellStart"/>
      <w:r>
        <w:t>center</w:t>
      </w:r>
      <w:proofErr w:type="spellEnd"/>
      <w:r>
        <w:t xml:space="preserve"> displacement metrics, and millisecond latency tables. This objective digital footprint bypasses human supervisor error and protects the enterprise against </w:t>
      </w:r>
      <w:proofErr w:type="spellStart"/>
      <w:r>
        <w:t>labor</w:t>
      </w:r>
      <w:proofErr w:type="spellEnd"/>
      <w:r>
        <w:t xml:space="preserve"> disputes or wrongful termination claims by providing empirical, automated data.</w:t>
      </w:r>
    </w:p>
    <w:p w14:paraId="7A177102" w14:textId="1CD87910" w:rsidR="00927D2A" w:rsidRDefault="00927D2A" w:rsidP="00947994"/>
    <w:sectPr w:rsidR="00927D2A" w:rsidSect="00CA10DE">
      <w:type w:val="continuous"/>
      <w:pgSz w:w="11910" w:h="16840" w:code="9"/>
      <w:pgMar w:top="1440" w:right="1797" w:bottom="1440" w:left="179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94"/>
    <w:rsid w:val="008E7227"/>
    <w:rsid w:val="00927D2A"/>
    <w:rsid w:val="00947994"/>
    <w:rsid w:val="00CA10DE"/>
    <w:rsid w:val="00E17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19EAD"/>
  <w15:chartTrackingRefBased/>
  <w15:docId w15:val="{FFBEEE52-7AA4-4063-AFE0-59A2E589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94"/>
    <w:rPr>
      <w:rFonts w:eastAsiaTheme="majorEastAsia" w:cstheme="majorBidi"/>
      <w:color w:val="272727" w:themeColor="text1" w:themeTint="D8"/>
    </w:rPr>
  </w:style>
  <w:style w:type="paragraph" w:styleId="Title">
    <w:name w:val="Title"/>
    <w:basedOn w:val="Normal"/>
    <w:next w:val="Normal"/>
    <w:link w:val="TitleChar"/>
    <w:uiPriority w:val="10"/>
    <w:qFormat/>
    <w:rsid w:val="0094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94"/>
    <w:pPr>
      <w:spacing w:before="160"/>
      <w:jc w:val="center"/>
    </w:pPr>
    <w:rPr>
      <w:i/>
      <w:iCs/>
      <w:color w:val="404040" w:themeColor="text1" w:themeTint="BF"/>
    </w:rPr>
  </w:style>
  <w:style w:type="character" w:customStyle="1" w:styleId="QuoteChar">
    <w:name w:val="Quote Char"/>
    <w:basedOn w:val="DefaultParagraphFont"/>
    <w:link w:val="Quote"/>
    <w:uiPriority w:val="29"/>
    <w:rsid w:val="00947994"/>
    <w:rPr>
      <w:i/>
      <w:iCs/>
      <w:color w:val="404040" w:themeColor="text1" w:themeTint="BF"/>
    </w:rPr>
  </w:style>
  <w:style w:type="paragraph" w:styleId="ListParagraph">
    <w:name w:val="List Paragraph"/>
    <w:basedOn w:val="Normal"/>
    <w:uiPriority w:val="34"/>
    <w:qFormat/>
    <w:rsid w:val="00947994"/>
    <w:pPr>
      <w:ind w:left="720"/>
      <w:contextualSpacing/>
    </w:pPr>
  </w:style>
  <w:style w:type="character" w:styleId="IntenseEmphasis">
    <w:name w:val="Intense Emphasis"/>
    <w:basedOn w:val="DefaultParagraphFont"/>
    <w:uiPriority w:val="21"/>
    <w:qFormat/>
    <w:rsid w:val="00947994"/>
    <w:rPr>
      <w:i/>
      <w:iCs/>
      <w:color w:val="2F5496" w:themeColor="accent1" w:themeShade="BF"/>
    </w:rPr>
  </w:style>
  <w:style w:type="paragraph" w:styleId="IntenseQuote">
    <w:name w:val="Intense Quote"/>
    <w:basedOn w:val="Normal"/>
    <w:next w:val="Normal"/>
    <w:link w:val="IntenseQuoteChar"/>
    <w:uiPriority w:val="30"/>
    <w:qFormat/>
    <w:rsid w:val="00947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994"/>
    <w:rPr>
      <w:i/>
      <w:iCs/>
      <w:color w:val="2F5496" w:themeColor="accent1" w:themeShade="BF"/>
    </w:rPr>
  </w:style>
  <w:style w:type="character" w:styleId="IntenseReference">
    <w:name w:val="Intense Reference"/>
    <w:basedOn w:val="DefaultParagraphFont"/>
    <w:uiPriority w:val="32"/>
    <w:qFormat/>
    <w:rsid w:val="009479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916</Words>
  <Characters>5227</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Kumar</dc:creator>
  <cp:keywords/>
  <dc:description/>
  <cp:lastModifiedBy>Nanda Kumar</cp:lastModifiedBy>
  <cp:revision>1</cp:revision>
  <dcterms:created xsi:type="dcterms:W3CDTF">2026-06-27T21:55:00Z</dcterms:created>
  <dcterms:modified xsi:type="dcterms:W3CDTF">2026-06-27T21:56:00Z</dcterms:modified>
</cp:coreProperties>
</file>