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2025-05-05</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habitat degradation, contributing to the loss of critical ecosystem functioning and biodiversity decline affecting critical environmental and ecological processes such as disruptions to trophic cascades, climate and hydrological regulation. This continued degredation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[need citation]. High powered companies and individuals are likely to benefit from the selling of land concessions and forest trees from converting land use to large-scale farm plantations and other industrial needs [need citation]. Cambodia is also a developing country meeting high demand for a growing population, in turn the country has the need to develop and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improvements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provinces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udpated here, with mainly studies from Thailand comprising the majority of the literature for the region.</w:t>
            </w:r>
          </w:p>
        </w:tc>
      </w:tr>
    </w:tbl>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69" w:name="references"/>
    <w:p>
      <w:pPr>
        <w:pStyle w:val="Heading1"/>
      </w:pPr>
      <w:r>
        <w:t xml:space="preserve">References</w:t>
      </w:r>
    </w:p>
    <w:bookmarkStart w:id="68"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myers2000n"/>
    <w:p>
      <w:pPr>
        <w:pStyle w:val="Bibliography"/>
      </w:pPr>
      <w:r>
        <w:t xml:space="preserve">Myers, N., Mittermeier, R.A., Mittermeier, C.G., da Fonseca, G.A.B., Kent, J., 2000. Biodiversity hotspots for conservation priorities. Nature 403, 853–858.</w:t>
      </w:r>
      <w:r>
        <w:t xml:space="preserve"> </w:t>
      </w:r>
      <w:hyperlink r:id="rId52">
        <w:r>
          <w:rPr>
            <w:rStyle w:val="Hyperlink"/>
          </w:rPr>
          <w:t xml:space="preserve">https://doi.org/10.1038/35002501</w:t>
        </w:r>
      </w:hyperlink>
    </w:p>
    <w:bookmarkEnd w:id="53"/>
    <w:bookmarkStart w:id="55"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4">
        <w:r>
          <w:rPr>
            <w:rStyle w:val="Hyperlink"/>
          </w:rPr>
          <w:t xml:space="preserve">https://doi.org/10.1038/s41598-022-19660-0</w:t>
        </w:r>
      </w:hyperlink>
    </w:p>
    <w:bookmarkEnd w:id="55"/>
    <w:bookmarkStart w:id="57"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56">
        <w:r>
          <w:rPr>
            <w:rStyle w:val="Hyperlink"/>
          </w:rPr>
          <w:t xml:space="preserve">https://doi.org/10.1111/ibi.12895</w:t>
        </w:r>
      </w:hyperlink>
    </w:p>
    <w:bookmarkEnd w:id="57"/>
    <w:bookmarkStart w:id="59"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8">
        <w:r>
          <w:rPr>
            <w:rStyle w:val="Hyperlink"/>
          </w:rPr>
          <w:t xml:space="preserve">https://doi.org/10.1002/9781118679838.ch19</w:t>
        </w:r>
      </w:hyperlink>
    </w:p>
    <w:bookmarkEnd w:id="59"/>
    <w:bookmarkStart w:id="61"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62">
        <w:r>
          <w:rPr>
            <w:rStyle w:val="Hyperlink"/>
          </w:rPr>
          <w:t xml:space="preserve">https://doi.org/10.1890/03-3127</w:t>
        </w:r>
      </w:hyperlink>
    </w:p>
    <w:bookmarkEnd w:id="63"/>
    <w:bookmarkStart w:id="65"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4">
        <w:r>
          <w:rPr>
            <w:rStyle w:val="Hyperlink"/>
          </w:rPr>
          <w:t xml:space="preserve">https://doi.org/10.1890/11-1400.1</w:t>
        </w:r>
      </w:hyperlink>
    </w:p>
    <w:bookmarkEnd w:id="65"/>
    <w:bookmarkStart w:id="67"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66">
        <w:r>
          <w:rPr>
            <w:rStyle w:val="Hyperlink"/>
          </w:rPr>
          <w:t xml:space="preserve">https://doi.org/10.1016/j.gecco.2024.e03006</w:t>
        </w:r>
      </w:hyperlink>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2025-05-05T09:28:12Z</dcterms:created>
  <dcterms:modified xsi:type="dcterms:W3CDTF">2025-05-05T09:28:12Z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2025-05-05</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