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 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degradation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p>
      <w:pPr>
        <w:pStyle w:val="BodyText"/>
      </w:pPr>
      <w:r>
        <w:t xml:space="preserve">There is growing interest to monitor biodiversity for REDD+ projects</w:t>
      </w:r>
      <w:r>
        <w:t xml:space="preserve"> </w:t>
      </w:r>
      <w:r>
        <w:t xml:space="preserve">(</w:t>
      </w:r>
      <w:r>
        <w:rPr>
          <w:b/>
          <w:bCs/>
        </w:rPr>
        <w:t xml:space="preserve">dickson2012coies?</w:t>
      </w:r>
      <w:r>
        <w:t xml:space="preserve">)</w:t>
      </w:r>
      <w:r>
        <w:t xml:space="preserve">, however,</w:t>
      </w:r>
      <w:r>
        <w:t xml:space="preserve"> </w:t>
      </w:r>
      <w:r>
        <w:t xml:space="preserve">there are few published papers that look at this specific instance where REDD+ projects are</w:t>
      </w:r>
      <w:r>
        <w:t xml:space="preserve"> </w:t>
      </w:r>
      <w:r>
        <w:t xml:space="preserve">targeting biodiversity monitoring.</w:t>
      </w:r>
      <w:r>
        <w:t xml:space="preserve"> </w:t>
      </w:r>
      <w:r>
        <w:t xml:space="preserve">“dickson2012coies”</w:t>
      </w:r>
      <w:r>
        <w:t xml:space="preserve"> </w:t>
      </w:r>
      <w:r>
        <w:t xml:space="preserve">summarize the state of biodiversity</w:t>
      </w:r>
      <w:r>
        <w:t xml:space="preserve"> </w:t>
      </w:r>
      <w:r>
        <w:t xml:space="preserve">monitoring within established REDD+ projects.</w:t>
      </w:r>
      <w:r>
        <w:t xml:space="preserve"> </w:t>
      </w:r>
      <w:r>
        <w:t xml:space="preserve">(</w:t>
      </w:r>
      <w:r>
        <w:rPr>
          <w:b/>
          <w:bCs/>
        </w:rPr>
        <w:t xml:space="preserve">waldon2011tcs?</w:t>
      </w:r>
      <w:r>
        <w:t xml:space="preserve">)</w:t>
      </w:r>
      <w:r>
        <w:t xml:space="preserve"> </w:t>
      </w:r>
      <w:r>
        <w:t xml:space="preserve">suggest that it is necessary to</w:t>
      </w:r>
      <w:r>
        <w:t xml:space="preserve"> </w:t>
      </w:r>
      <w:r>
        <w:t xml:space="preserve">assess whether REDD+ management and project areas are achieving maintaining and improving</w:t>
      </w:r>
      <w:r>
        <w:t xml:space="preserve"> </w:t>
      </w:r>
      <w:r>
        <w:t xml:space="preserve">biodiversity status, indicating a need to monitor changes and trends in populations of key</w:t>
      </w:r>
      <w:r>
        <w:t xml:space="preserve"> </w:t>
      </w:r>
      <w:r>
        <w:t xml:space="preserve">indicator taxa for the project area. They maintain that while IUCN criteria are useful at a global</w:t>
      </w:r>
      <w:r>
        <w:t xml:space="preserve"> </w:t>
      </w:r>
      <w:r>
        <w:t xml:space="preserve">scale, global wide assessments may not adequately reflect regional or localized concerns;</w:t>
      </w:r>
      <w:r>
        <w:t xml:space="preserve"> </w:t>
      </w:r>
      <w:r>
        <w:t xml:space="preserve">therefore, assessments should be made at local and regional scales to identify biodiversity</w:t>
      </w:r>
      <w:r>
        <w:t xml:space="preserve"> </w:t>
      </w:r>
      <w:r>
        <w:t xml:space="preserve">conservation targets. Camera trapping and acoustic methods are both non-invasive ways to collect</w:t>
      </w:r>
      <w:r>
        <w:t xml:space="preserve"> </w:t>
      </w:r>
      <w:r>
        <w:t xml:space="preserve">biodiversity at an economical and time sensitive rate.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population density estimates require robust statistical techniques to separate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udpated here, with mainly studies from Thailand comprising the majority of the literature for the region.</w:t>
            </w:r>
          </w:p>
        </w:tc>
      </w:tr>
    </w:tbl>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p>
      <w:pPr>
        <w:pStyle w:val="BodyText"/>
      </w:pPr>
      <w:r>
        <w:t xml:space="preserve">To date, there have been no formal estimates of population abundance for hornbills in Cambodia; thus, our goal was to estimate robust Great hornbill population estimates for the entirety of the Prey Lang Wildlife Sanctuary landscape, while simultaneously understanding the effects of habitat variation at landscape scale that could potentially affect density estimates.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w:t>
      </w:r>
      <w:r>
        <w:t xml:space="preserve"> </w:t>
      </w:r>
      <w:r>
        <w:t xml:space="preserve">plains of Cambodia. As one of the largest areas of contiguous lowland tropical</w:t>
      </w:r>
      <w:r>
        <w:t xml:space="preserve"> </w:t>
      </w:r>
      <w:r>
        <w:t xml:space="preserve">forests left in mainland Southeast Asia, PLWS was established in 2016 and</w:t>
      </w:r>
      <w:r>
        <w:t xml:space="preserve"> </w:t>
      </w:r>
      <w:r>
        <w:t xml:space="preserve">covers four provinces including 1) Kampong Thom, 2) Preah Vihear, 3) Kratie</w:t>
      </w:r>
      <w:r>
        <w:t xml:space="preserve"> </w:t>
      </w:r>
      <w:r>
        <w:t xml:space="preserve">and 4) Stung Treng.</w:t>
      </w:r>
    </w:p>
    <w:p>
      <w:pPr>
        <w:pStyle w:val="BodyText"/>
      </w:pPr>
      <w:r>
        <w:t xml:space="preserve">PLWS is notable for its immense biodiversity, providing critical refuge for up</w:t>
      </w:r>
      <w:r>
        <w:t xml:space="preserve"> </w:t>
      </w:r>
      <w:r>
        <w:t xml:space="preserve">to 55 globallythreatened vertebrates including gibbons, Asian elephants, and</w:t>
      </w:r>
      <w:r>
        <w:t xml:space="preserve"> </w:t>
      </w:r>
      <w:r>
        <w:t xml:space="preserve">clouded leopards, while having up to 538 plant and tree species. PLWS is also</w:t>
      </w:r>
      <w:r>
        <w:t xml:space="preserve"> </w:t>
      </w:r>
      <w:r>
        <w:t xml:space="preserve">critical in that it supports more than 250,000 people inhabiting the forest,</w:t>
      </w:r>
      <w:r>
        <w:t xml:space="preserve"> </w:t>
      </w:r>
      <w:r>
        <w:t xml:space="preserve">including the indigenous Kuy people who reside in and around this protected</w:t>
      </w:r>
      <w:r>
        <w:t xml:space="preserve"> </w:t>
      </w:r>
      <w:r>
        <w:t xml:space="preserve">area. PLWS also serves as an important watershed for the Mekong and the Tonle</w:t>
      </w:r>
      <w:r>
        <w:t xml:space="preserve"> </w:t>
      </w:r>
      <w:r>
        <w:t xml:space="preserve">Sap lake.</w:t>
      </w:r>
    </w:p>
    <w:p>
      <w:pPr>
        <w:pStyle w:val="BodyText"/>
      </w:pPr>
      <w:r>
        <w:t xml:space="preserve">While maintaining protected area status, PLWS continues to face enormous</w:t>
      </w:r>
      <w:r>
        <w:t xml:space="preserve"> </w:t>
      </w:r>
      <w:r>
        <w:t xml:space="preserve">natural resource extraction pressure due to weak enforcement of environmental</w:t>
      </w:r>
      <w:r>
        <w:t xml:space="preserve"> </w:t>
      </w:r>
      <w:r>
        <w:t xml:space="preserve">laws and lack of resources. Illegal forest logging, wildlife trade, land</w:t>
      </w:r>
      <w:r>
        <w:t xml:space="preserve"> </w:t>
      </w:r>
      <w:r>
        <w:t xml:space="preserve">encroachment, and unsustainable agricultural practices have led to continued</w:t>
      </w:r>
      <w:r>
        <w:t xml:space="preserve"> </w:t>
      </w:r>
      <w:r>
        <w:t xml:space="preserve">degradation of quality forest habitat.</w:t>
      </w:r>
    </w:p>
    <w:p>
      <w:pPr>
        <w:pStyle w:val="BodyText"/>
      </w:pPr>
      <w:r>
        <w:t xml:space="preserve">PLWS is comprised mainly of evergreen and semi-evergreen forest, mixed with</w:t>
      </w:r>
      <w:r>
        <w:t xml:space="preserve"> </w:t>
      </w:r>
      <w:r>
        <w:t xml:space="preserve">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69" w:name="references"/>
    <w:p>
      <w:pPr>
        <w:pStyle w:val="Heading1"/>
      </w:pPr>
      <w:r>
        <w:t xml:space="preserve">References</w:t>
      </w:r>
    </w:p>
    <w:bookmarkStart w:id="68"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myers2000n"/>
    <w:p>
      <w:pPr>
        <w:pStyle w:val="Bibliography"/>
      </w:pPr>
      <w:r>
        <w:t xml:space="preserve">Myers, N., Mittermeier, R.A., Mittermeier, C.G., da Fonseca, G.A.B., Kent, J., 2000. Biodiversity hotspots for conservation priorities. Nature 403, 853–858.</w:t>
      </w:r>
      <w:r>
        <w:t xml:space="preserve"> </w:t>
      </w:r>
      <w:hyperlink r:id="rId52">
        <w:r>
          <w:rPr>
            <w:rStyle w:val="Hyperlink"/>
          </w:rPr>
          <w:t xml:space="preserve">https://doi.org/10.1038/35002501</w:t>
        </w:r>
      </w:hyperlink>
    </w:p>
    <w:bookmarkEnd w:id="53"/>
    <w:bookmarkStart w:id="55"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4">
        <w:r>
          <w:rPr>
            <w:rStyle w:val="Hyperlink"/>
          </w:rPr>
          <w:t xml:space="preserve">https://doi.org/10.1038/s41598-022-19660-0</w:t>
        </w:r>
      </w:hyperlink>
    </w:p>
    <w:bookmarkEnd w:id="55"/>
    <w:bookmarkStart w:id="57"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56">
        <w:r>
          <w:rPr>
            <w:rStyle w:val="Hyperlink"/>
          </w:rPr>
          <w:t xml:space="preserve">https://doi.org/10.1111/ibi.12895</w:t>
        </w:r>
      </w:hyperlink>
    </w:p>
    <w:bookmarkEnd w:id="57"/>
    <w:bookmarkStart w:id="59"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8">
        <w:r>
          <w:rPr>
            <w:rStyle w:val="Hyperlink"/>
          </w:rPr>
          <w:t xml:space="preserve">https://doi.org/10.1002/9781118679838.ch19</w:t>
        </w:r>
      </w:hyperlink>
    </w:p>
    <w:bookmarkEnd w:id="59"/>
    <w:bookmarkStart w:id="61"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62">
        <w:r>
          <w:rPr>
            <w:rStyle w:val="Hyperlink"/>
          </w:rPr>
          <w:t xml:space="preserve">https://doi.org/10.1890/03-3127</w:t>
        </w:r>
      </w:hyperlink>
    </w:p>
    <w:bookmarkEnd w:id="63"/>
    <w:bookmarkStart w:id="65"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4">
        <w:r>
          <w:rPr>
            <w:rStyle w:val="Hyperlink"/>
          </w:rPr>
          <w:t xml:space="preserve">https://doi.org/10.1890/11-1400.1</w:t>
        </w:r>
      </w:hyperlink>
    </w:p>
    <w:bookmarkEnd w:id="65"/>
    <w:bookmarkStart w:id="67"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66">
        <w:r>
          <w:rPr>
            <w:rStyle w:val="Hyperlink"/>
          </w:rPr>
          <w:t xml:space="preserve">https://doi.org/10.1016/j.gecco.2024.e03006</w:t>
        </w:r>
      </w:hyperlink>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9781118679838.ch19"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66" Target="https://doi.org/10.1016/j.gecco.2024.e03006" TargetMode="External" /><Relationship Type="http://schemas.openxmlformats.org/officeDocument/2006/relationships/hyperlink" Id="rId52" Target="https://doi.org/10.1038/35002501" TargetMode="External" /><Relationship Type="http://schemas.openxmlformats.org/officeDocument/2006/relationships/hyperlink" Id="rId54" Target="https://doi.org/10.1038/s41598-022-19660-0" TargetMode="External" /><Relationship Type="http://schemas.openxmlformats.org/officeDocument/2006/relationships/hyperlink" Id="rId56" Target="https://doi.org/10.1111/ibi.12895" TargetMode="External" /><Relationship Type="http://schemas.openxmlformats.org/officeDocument/2006/relationships/hyperlink" Id="rId62" Target="https://doi.org/10.1890/03-3127" TargetMode="External" /><Relationship Type="http://schemas.openxmlformats.org/officeDocument/2006/relationships/hyperlink" Id="rId64"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2025-05-05T13:09:04Z</dcterms:created>
  <dcterms:modified xsi:type="dcterms:W3CDTF">2025-05-05T13:09:04Z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 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