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w:t>
      </w:r>
    </w:p>
    <w:p>
      <w:pPr>
        <w:pStyle w:val="Author"/>
      </w:pPr>
      <w:r>
        <w:t xml:space="preserve">Dan Kramer</w:t>
      </w:r>
    </w:p>
    <w:p>
      <w:pPr>
        <w:pStyle w:val="Date"/>
      </w:pPr>
      <w:r>
        <w:t xml:space="preserve">2025-05-06</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 to determine baseline population densities for key biodiversity</w:t>
      </w:r>
      <w:r>
        <w:t xml:space="preserve"> </w:t>
      </w:r>
      <w:r>
        <w:t xml:space="preserve">species inhabiting PLWS.</w:t>
      </w:r>
      <w:r>
        <w:t xml:space="preserve"> </w:t>
      </w:r>
      <w:r>
        <w:t xml:space="preserve">Specifically, our objectives were to explore how HDS methods utilizing</w:t>
      </w:r>
      <w:r>
        <w:t xml:space="preserve"> </w:t>
      </w:r>
      <w:r>
        <w:t xml:space="preserve">environmental covariates such as GH group size, tree canopy height, and human</w:t>
      </w:r>
      <w:r>
        <w:t xml:space="preserve"> </w:t>
      </w:r>
      <w:r>
        <w:t xml:space="preserve">influence, determined GH density estimates within PLWS. Ultimately, we provide</w:t>
      </w:r>
      <w:r>
        <w:t xml:space="preserve"> </w:t>
      </w:r>
      <w:r>
        <w:t xml:space="preserve">the first robust density and 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34" w:name="introduction"/>
    <w:p>
      <w:pPr>
        <w:pStyle w:val="Heading1"/>
      </w:pPr>
      <w:r>
        <w:t xml:space="preserve">Introduction</w:t>
      </w:r>
    </w:p>
    <w:bookmarkStart w:id="24" w:name="redd"/>
    <w:p>
      <w:pPr>
        <w:pStyle w:val="Heading2"/>
      </w:pPr>
      <w:r>
        <w:t xml:space="preserve">REDD+</w:t>
      </w:r>
    </w:p>
    <w:p>
      <w:pPr>
        <w:pStyle w:val="FirstParagraph"/>
      </w:pPr>
      <w:r>
        <w:t xml:space="preserve">Ongoing global deforestation within and adjacent to tropical forest ecosystems has led to continued decline of wildlife populations and rampant habitat degradation, contributing to the loss of critical ecosystem functioning and biodiversity decline affecting critical environmental and ecological processes such as disruptions to trophic cascades, climate and hydrological regulation. This continued degradation is especially prominent in Global South countries where a majority of the world’s tropical biomes and biodiversity remain.</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p>
      <w:pPr>
        <w:pStyle w:val="BodyText"/>
      </w:pPr>
      <w:r>
        <w:t xml:space="preserve">There is growing interest to monitor biodiversity for REDD+ projects</w:t>
      </w:r>
      <w:r>
        <w:t xml:space="preserve"> </w:t>
      </w:r>
      <w:r>
        <w:t xml:space="preserve">(Dickson and Kapos, 2012)</w:t>
      </w:r>
      <w:r>
        <w:t xml:space="preserve">, however, there are few published papers that look at this specific instance where REDD+ projects are targeting biodiversity monitoring.</w:t>
      </w:r>
      <w:r>
        <w:t xml:space="preserve"> </w:t>
      </w:r>
      <w:r>
        <w:t xml:space="preserve">(Dickson and Kapos, 2012)</w:t>
      </w:r>
      <w:r>
        <w:t xml:space="preserve"> </w:t>
      </w:r>
      <w:r>
        <w:t xml:space="preserve">summarize the state of biodiversity monitoring within established REDD+ projects.</w:t>
      </w:r>
      <w:r>
        <w:t xml:space="preserve"> </w:t>
      </w:r>
      <w:r>
        <w:t xml:space="preserve">(Waldon et al., 2011)</w:t>
      </w:r>
      <w:r>
        <w:t xml:space="preserve"> </w:t>
      </w:r>
      <w:r>
        <w:t xml:space="preserve">suggest that it is necessary to assess whether REDD+ management and project areas are achieving maintaining and improving biodiversity status, indicating a need to monitor changes and trends in populations of key indicator taxa for the project area. They maintain that while IUCN criteria are useful at a global scale, global wide assessments may not adequately reflect regional or localized concerns; therefore, assessments should be made at local and regional scales to identify biodiversity conservation targets. Camera trapping and acoustic methods are both non-invasive ways to collect biodiversity at an economical and time sensitive rate.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Insert sources to make the link between the benefits of managing a REDD+ landscape entails a necessity to monitor biodiversity levels, thus also improving ecosystem functioning for the (tropical forest) region.</w:t>
            </w:r>
          </w:p>
        </w:tc>
      </w:tr>
    </w:tbl>
    <w:bookmarkEnd w:id="24"/>
    <w:bookmarkStart w:id="25"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[need citation]. High powered companies and individuals are likely to benefit from the selling of land concessions and forest trees from converting land use to large-scale farm plantations and other industrial needs [need citation]. Cambodia is also a developing country meeting high demand for a growing population, in turn the country has the need to develop and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improvements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provinces of Kampong Thom, Kratie, and Preah Vihear, with a completed end date goal of 2026.</w:t>
      </w:r>
    </w:p>
    <w:p>
      <w:pPr>
        <w:pStyle w:val="BodyText"/>
      </w:pPr>
      <w:r>
        <w:t xml:space="preserve">To assess and monitor baseline populations of key taxa, robust and reliable population density estimates require robust statistical techniques to separate observation and ecological processes within surveyed REDD+ landscapes.</w:t>
      </w:r>
    </w:p>
    <w:bookmarkEnd w:id="25"/>
    <w:bookmarkStart w:id="27"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6"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6"/>
    <w:bookmarkEnd w:id="27"/>
    <w:bookmarkStart w:id="33"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throughout mainland Southeast Asia will be updated here, with mainly studies from Thailand comprising the majority of the literature for the region.</w:t>
            </w:r>
          </w:p>
        </w:tc>
      </w:tr>
    </w:tbl>
    <w:p>
      <w:pPr>
        <w:pStyle w:val="BodyText"/>
      </w:pPr>
      <w:r>
        <w:t xml:space="preserve">Hornbills can be considered an important keystone species for tropical forest biomes, due to their outsized contribution to ecosystem functioning from their role as seed dispersers. Thus, it is imperative to understand the current population dynamics of hornbills within the landscapes they reside in, and how hornbills are potentially impacted by increasing anthropogenic threats in tropical rainforests.</w:t>
      </w:r>
    </w:p>
    <w:p>
      <w:pPr>
        <w:pStyle w:val="BodyText"/>
      </w:pPr>
      <w:r>
        <w:t xml:space="preserve">To understand the presence of hornbill species at a landscape scale, attention must be paid to the configuration of tree canopies and their effect on distributions of hornbills in both breeding and non-breeding seasons. Hornbill habitat use is often associated with the tallest trees in the forests due to their ability to produce large fruits. Utilizing 3D forest canopy structure,</w:t>
      </w:r>
      <w:r>
        <w:t xml:space="preserve"> </w:t>
      </w:r>
      <w:r>
        <w:t xml:space="preserve">(Russo et al., 2024)</w:t>
      </w:r>
      <w:r>
        <w:t xml:space="preserve"> </w:t>
      </w:r>
      <w:r>
        <w:t xml:space="preserve">determined that hornbill species preferred areas greater in canopy height and vertical complexity.</w:t>
      </w:r>
    </w:p>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 Although there have been a number of studies dedicated towards understanding hornbill ecology within Southeast Asia, there has been no robust study as of yet aiming to understand current levels of hornbill densities and distribution throughout their range in Cambodia.</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warning.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in Cambodia will be udpated here.</w:t>
            </w:r>
          </w:p>
        </w:tc>
      </w:tr>
    </w:tbl>
    <w:bookmarkStart w:id="32"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p>
      <w:pPr>
        <w:pStyle w:val="BodyText"/>
      </w:pPr>
      <w:r>
        <w:t xml:space="preserve">To date, there have been no formal estimates of population abundance for hornbills in Cambodia</w:t>
      </w:r>
      <w:r>
        <w:t xml:space="preserve"> </w:t>
      </w:r>
      <w:r>
        <w:t xml:space="preserve">(Setha, 2004)</w:t>
      </w:r>
      <w:r>
        <w:t xml:space="preserve">, thus our goal was to estimate Great hornbill population estimates for the entirety of the Prey Lang Wildlife Sanctuary landscape, while simultaneously understanding the effects of habitat variation at landscape scale could potentially affect density estimates.</w:t>
      </w:r>
    </w:p>
    <w:bookmarkEnd w:id="32"/>
    <w:bookmarkEnd w:id="33"/>
    <w:bookmarkEnd w:id="34"/>
    <w:bookmarkStart w:id="41" w:name="methods"/>
    <w:p>
      <w:pPr>
        <w:pStyle w:val="Heading1"/>
      </w:pPr>
      <w:r>
        <w:t xml:space="preserve">Methods</w:t>
      </w:r>
    </w:p>
    <w:bookmarkStart w:id="35"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globallythreatened vertebrates including gibbons, Asian elephants, and clouded leopards,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35"/>
    <w:bookmarkStart w:id="39"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index_files/figure-docx/plws-map-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40"/>
    <w:bookmarkEnd w:id="41"/>
    <w:bookmarkStart w:id="45" w:name="statistical-analyses"/>
    <w:p>
      <w:pPr>
        <w:pStyle w:val="Heading1"/>
      </w:pPr>
      <w:r>
        <w:t xml:space="preserve">Statistical Analyses</w:t>
      </w:r>
    </w:p>
    <w:bookmarkStart w:id="44" w:name="hds-models"/>
    <w:p>
      <w:pPr>
        <w:pStyle w:val="Heading2"/>
      </w:pPr>
      <w:r>
        <w:t xml:space="preserve">HDS Models</w:t>
      </w:r>
    </w:p>
    <w:bookmarkStart w:id="42" w:name="data-augmentation-covariates"/>
    <w:p>
      <w:pPr>
        <w:pStyle w:val="Heading3"/>
      </w:pPr>
      <w:r>
        <w:t xml:space="preserve">Data Augmentation &amp; Covariates</w:t>
      </w:r>
    </w:p>
    <w:bookmarkEnd w:id="42"/>
    <w:bookmarkStart w:id="43" w:name="Xd25644a3dd2d3ec165d677181771e21ba6aef9c"/>
    <w:p>
      <w:pPr>
        <w:pStyle w:val="Heading3"/>
      </w:pPr>
      <w:r>
        <w:t xml:space="preserve">Three Part Multinomial Conditional Model &amp; Cobvariates</w:t>
      </w:r>
    </w:p>
    <w:bookmarkEnd w:id="43"/>
    <w:bookmarkEnd w:id="44"/>
    <w:bookmarkEnd w:id="45"/>
    <w:bookmarkStart w:id="46" w:name="results"/>
    <w:p>
      <w:pPr>
        <w:pStyle w:val="Heading1"/>
      </w:pPr>
      <w:r>
        <w:t xml:space="preserve">Results</w:t>
      </w:r>
    </w:p>
    <w:bookmarkEnd w:id="46"/>
    <w:bookmarkStart w:id="47" w:name="discussion"/>
    <w:p>
      <w:pPr>
        <w:pStyle w:val="Heading1"/>
      </w:pPr>
      <w:r>
        <w:t xml:space="preserve">Discussion</w:t>
      </w:r>
    </w:p>
    <w:bookmarkEnd w:id="47"/>
    <w:bookmarkStart w:id="49" w:name="conclusions"/>
    <w:p>
      <w:pPr>
        <w:pStyle w:val="Heading1"/>
      </w:pPr>
      <w:r>
        <w:t xml:space="preserve">Conclusions</w:t>
      </w:r>
    </w:p>
    <w:bookmarkStart w:id="48" w:name="management-implications"/>
    <w:p>
      <w:pPr>
        <w:pStyle w:val="Heading2"/>
      </w:pPr>
      <w:r>
        <w:t xml:space="preserve">Management Implications</w:t>
      </w:r>
    </w:p>
    <w:bookmarkEnd w:id="48"/>
    <w:bookmarkEnd w:id="49"/>
    <w:bookmarkStart w:id="75" w:name="references"/>
    <w:p>
      <w:pPr>
        <w:pStyle w:val="Heading1"/>
      </w:pPr>
      <w:r>
        <w:t xml:space="preserve">References</w:t>
      </w:r>
    </w:p>
    <w:bookmarkStart w:id="74" w:name="refs"/>
    <w:bookmarkStart w:id="51"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50">
        <w:r>
          <w:rPr>
            <w:rStyle w:val="Hyperlink"/>
          </w:rPr>
          <w:t xml:space="preserve">https://doi.org/10.1016/j.gecco.2017.04.007</w:t>
        </w:r>
      </w:hyperlink>
    </w:p>
    <w:bookmarkEnd w:id="51"/>
    <w:bookmarkStart w:id="53" w:name="ref-dicksonkapos2012coies"/>
    <w:p>
      <w:pPr>
        <w:pStyle w:val="Bibliography"/>
      </w:pPr>
      <w:r>
        <w:t xml:space="preserve">Dickson, B., Kapos, V., 2012. Biodiversity monitoring for</w:t>
      </w:r>
      <w:r>
        <w:t xml:space="preserve"> </w:t>
      </w:r>
      <w:r>
        <w:t xml:space="preserve">REDD</w:t>
      </w:r>
      <w:r>
        <w:t xml:space="preserve">+. Current Opinion in Environmental Sustainability, 4/6</w:t>
      </w:r>
      <w:r>
        <w:t xml:space="preserve"> </w:t>
      </w:r>
      <w:r>
        <w:t xml:space="preserve">Climate</w:t>
      </w:r>
      <w:r>
        <w:t xml:space="preserve"> </w:t>
      </w:r>
      <w:r>
        <w:t xml:space="preserve">systems 4, 717–725.</w:t>
      </w:r>
      <w:r>
        <w:t xml:space="preserve"> </w:t>
      </w:r>
      <w:hyperlink r:id="rId52">
        <w:r>
          <w:rPr>
            <w:rStyle w:val="Hyperlink"/>
          </w:rPr>
          <w:t xml:space="preserve">https://doi.org/10.1016/j.cosust.2012.09.017</w:t>
        </w:r>
      </w:hyperlink>
    </w:p>
    <w:bookmarkEnd w:id="53"/>
    <w:bookmarkStart w:id="55" w:name="ref-myersetal2000n"/>
    <w:p>
      <w:pPr>
        <w:pStyle w:val="Bibliography"/>
      </w:pPr>
      <w:r>
        <w:t xml:space="preserve">Myers, N., Mittermeier, R.A., Mittermeier, C.G., da Fonseca, G.A.B., Kent, J., 2000. Biodiversity hotspots for conservation priorities. Nature 403, 853–858.</w:t>
      </w:r>
      <w:r>
        <w:t xml:space="preserve"> </w:t>
      </w:r>
      <w:hyperlink r:id="rId54">
        <w:r>
          <w:rPr>
            <w:rStyle w:val="Hyperlink"/>
          </w:rPr>
          <w:t xml:space="preserve">https://doi.org/10.1038/35002501</w:t>
        </w:r>
      </w:hyperlink>
    </w:p>
    <w:bookmarkEnd w:id="55"/>
    <w:bookmarkStart w:id="57" w:name="ref-paulyetal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56">
        <w:r>
          <w:rPr>
            <w:rStyle w:val="Hyperlink"/>
          </w:rPr>
          <w:t xml:space="preserve">https://doi.org/10.1038/s41598-022-19660-0</w:t>
        </w:r>
      </w:hyperlink>
    </w:p>
    <w:bookmarkEnd w:id="57"/>
    <w:bookmarkStart w:id="58" w:name="ref-pawaretal2021i"/>
    <w:p>
      <w:pPr>
        <w:pStyle w:val="Bibliography"/>
      </w:pPr>
      <w:r>
        <w:t xml:space="preserve">Pawar, P.Y., Mudappa, D., Raman, T.S., 2021. Hornbill abundance and breeding incidence in relation to habitat modification and fig fruit availability. Ibis 163, 473–485.</w:t>
      </w:r>
    </w:p>
    <w:bookmarkEnd w:id="58"/>
    <w:bookmarkStart w:id="59" w:name="ref-poonswadetal2013"/>
    <w:p>
      <w:pPr>
        <w:pStyle w:val="Bibliography"/>
      </w:pPr>
      <w:r>
        <w:t xml:space="preserve">Poonswad, P., Kemp, A.C., Strange, M., 2013. Hornbills of the world:</w:t>
      </w:r>
      <w:r>
        <w:t xml:space="preserve"> </w:t>
      </w:r>
      <w:r>
        <w:t xml:space="preserve">A</w:t>
      </w:r>
      <w:r>
        <w:t xml:space="preserve"> </w:t>
      </w:r>
      <w:r>
        <w:t xml:space="preserve">photographic guide.</w:t>
      </w:r>
      <w:r>
        <w:t xml:space="preserve"> </w:t>
      </w:r>
      <w:r>
        <w:t xml:space="preserve">Draco Publishing and Distributions Pte. Ltd.</w:t>
      </w:r>
      <w:r>
        <w:t xml:space="preserve">, Thailand.</w:t>
      </w:r>
    </w:p>
    <w:bookmarkEnd w:id="59"/>
    <w:bookmarkStart w:id="61" w:name="ref-pradhanetal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60">
        <w:r>
          <w:rPr>
            <w:rStyle w:val="Hyperlink"/>
          </w:rPr>
          <w:t xml:space="preserve">https://doi.org/10.1016/j.gecco.2024.e02868</w:t>
        </w:r>
      </w:hyperlink>
    </w:p>
    <w:bookmarkEnd w:id="61"/>
    <w:bookmarkStart w:id="63" w:name="ref-royleetal2004e"/>
    <w:p>
      <w:pPr>
        <w:pStyle w:val="Bibliography"/>
      </w:pPr>
      <w:r>
        <w:t xml:space="preserve">Royle, J.A., Dawson, D.K., Bates, S., 2004. Modeling</w:t>
      </w:r>
      <w:r>
        <w:t xml:space="preserve"> </w:t>
      </w:r>
      <w:r>
        <w:t xml:space="preserve">Abundance Effects</w:t>
      </w:r>
      <w:r>
        <w:t xml:space="preserve"> </w:t>
      </w:r>
      <w:r>
        <w:t xml:space="preserve">in</w:t>
      </w:r>
      <w:r>
        <w:t xml:space="preserve"> </w:t>
      </w:r>
      <w:r>
        <w:t xml:space="preserve">Distance Sampling</w:t>
      </w:r>
      <w:r>
        <w:t xml:space="preserve">. Ecology 85, 1591–1597.</w:t>
      </w:r>
      <w:r>
        <w:t xml:space="preserve"> </w:t>
      </w:r>
      <w:hyperlink r:id="rId62">
        <w:r>
          <w:rPr>
            <w:rStyle w:val="Hyperlink"/>
          </w:rPr>
          <w:t xml:space="preserve">https://doi.org/10.1890/03-3127</w:t>
        </w:r>
      </w:hyperlink>
    </w:p>
    <w:bookmarkEnd w:id="63"/>
    <w:bookmarkStart w:id="65" w:name="ref-russoetal2024jae"/>
    <w:p>
      <w:pPr>
        <w:pStyle w:val="Bibliography"/>
      </w:pPr>
      <w:r>
        <w:t xml:space="preserve">Russo, N.J., Nshom, D.L., Ferraz, A., Barbier, N., Wikelski, M., Noonan, M.J., Ordway, E.M., Saatchi, S., Smith, T.B., 2024. Three-dimensional vegetation structure drives patterns of seed dispersal by</w:t>
      </w:r>
      <w:r>
        <w:t xml:space="preserve"> </w:t>
      </w:r>
      <w:r>
        <w:t xml:space="preserve">African</w:t>
      </w:r>
      <w:r>
        <w:t xml:space="preserve"> </w:t>
      </w:r>
      <w:r>
        <w:t xml:space="preserve">hornbills. Journal of Animal Ecology 93, 1935–1946.</w:t>
      </w:r>
      <w:r>
        <w:t xml:space="preserve"> </w:t>
      </w:r>
      <w:hyperlink r:id="rId64">
        <w:r>
          <w:rPr>
            <w:rStyle w:val="Hyperlink"/>
          </w:rPr>
          <w:t xml:space="preserve">https://doi.org/10.1111/1365-2656.14202</w:t>
        </w:r>
      </w:hyperlink>
    </w:p>
    <w:bookmarkEnd w:id="65"/>
    <w:bookmarkStart w:id="67" w:name="ref-setha2004bci"/>
    <w:p>
      <w:pPr>
        <w:pStyle w:val="Bibliography"/>
      </w:pPr>
      <w:r>
        <w:t xml:space="preserve">Setha, T., 2004. The status and conservation of hornbills in</w:t>
      </w:r>
      <w:r>
        <w:t xml:space="preserve"> </w:t>
      </w:r>
      <w:r>
        <w:t xml:space="preserve">Cambodia</w:t>
      </w:r>
      <w:r>
        <w:t xml:space="preserve">. Bird Conservation International 14, S5–S11.</w:t>
      </w:r>
      <w:r>
        <w:t xml:space="preserve"> </w:t>
      </w:r>
      <w:hyperlink r:id="rId66">
        <w:r>
          <w:rPr>
            <w:rStyle w:val="Hyperlink"/>
          </w:rPr>
          <w:t xml:space="preserve">https://doi.org/10.1017/S0959270905000183</w:t>
        </w:r>
      </w:hyperlink>
    </w:p>
    <w:bookmarkEnd w:id="67"/>
    <w:bookmarkStart w:id="69" w:name="ref-sillettetal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68">
        <w:r>
          <w:rPr>
            <w:rStyle w:val="Hyperlink"/>
          </w:rPr>
          <w:t xml:space="preserve">https://doi.org/10.1890/11-1400.1</w:t>
        </w:r>
      </w:hyperlink>
    </w:p>
    <w:bookmarkEnd w:id="69"/>
    <w:bookmarkStart w:id="71" w:name="ref-sriprasertsileta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70">
        <w:r>
          <w:rPr>
            <w:rStyle w:val="Hyperlink"/>
          </w:rPr>
          <w:t xml:space="preserve">https://doi.org/10.1016/j.gecco.2024.e03006</w:t>
        </w:r>
      </w:hyperlink>
    </w:p>
    <w:bookmarkEnd w:id="71"/>
    <w:bookmarkStart w:id="73" w:name="ref-waldonetal2011tcs"/>
    <w:p>
      <w:pPr>
        <w:pStyle w:val="Bibliography"/>
      </w:pPr>
      <w:r>
        <w:t xml:space="preserve">Waldon, J., Miller, B.W., Miller, C.M., 2011. A</w:t>
      </w:r>
      <w:r>
        <w:t xml:space="preserve"> </w:t>
      </w:r>
      <w:r>
        <w:t xml:space="preserve">Model Biodiversity Monitoring Protocol</w:t>
      </w:r>
      <w:r>
        <w:t xml:space="preserve"> </w:t>
      </w:r>
      <w:r>
        <w:t xml:space="preserve">for</w:t>
      </w:r>
      <w:r>
        <w:t xml:space="preserve"> </w:t>
      </w:r>
      <w:r>
        <w:t xml:space="preserve">REDD Projects</w:t>
      </w:r>
      <w:r>
        <w:t xml:space="preserve">. Tropical Conservation Science 4, 254–260.</w:t>
      </w:r>
      <w:r>
        <w:t xml:space="preserve"> </w:t>
      </w:r>
      <w:hyperlink r:id="rId72">
        <w:r>
          <w:rPr>
            <w:rStyle w:val="Hyperlink"/>
          </w:rPr>
          <w:t xml:space="preserve">https://doi.org/10.1177/194008291100400303</w:t>
        </w:r>
      </w:hyperlink>
    </w:p>
    <w:bookmarkEnd w:id="73"/>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52" Target="https://doi.org/10.1016/j.cosust.2012.09.017"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70" Target="https://doi.org/10.1016/j.gecco.2024.e03006" TargetMode="External" /><Relationship Type="http://schemas.openxmlformats.org/officeDocument/2006/relationships/hyperlink" Id="rId66" Target="https://doi.org/10.1017/S0959270905000183" TargetMode="External" /><Relationship Type="http://schemas.openxmlformats.org/officeDocument/2006/relationships/hyperlink" Id="rId54" Target="https://doi.org/10.1038/35002501" TargetMode="External" /><Relationship Type="http://schemas.openxmlformats.org/officeDocument/2006/relationships/hyperlink" Id="rId56" Target="https://doi.org/10.1038/s41598-022-19660-0" TargetMode="External" /><Relationship Type="http://schemas.openxmlformats.org/officeDocument/2006/relationships/hyperlink" Id="rId64" Target="https://doi.org/10.1111/1365-2656.14202" TargetMode="External" /><Relationship Type="http://schemas.openxmlformats.org/officeDocument/2006/relationships/hyperlink" Id="rId72" Target="https://doi.org/10.1177/194008291100400303" TargetMode="External" /><Relationship Type="http://schemas.openxmlformats.org/officeDocument/2006/relationships/hyperlink" Id="rId62" Target="https://doi.org/10.1890/03-3127" TargetMode="External" /><Relationship Type="http://schemas.openxmlformats.org/officeDocument/2006/relationships/hyperlink" Id="rId68"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cosust.2012.09.017"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70" Target="https://doi.org/10.1016/j.gecco.2024.e03006" TargetMode="External" /><Relationship Type="http://schemas.openxmlformats.org/officeDocument/2006/relationships/hyperlink" Id="rId66" Target="https://doi.org/10.1017/S0959270905000183" TargetMode="External" /><Relationship Type="http://schemas.openxmlformats.org/officeDocument/2006/relationships/hyperlink" Id="rId54" Target="https://doi.org/10.1038/35002501" TargetMode="External" /><Relationship Type="http://schemas.openxmlformats.org/officeDocument/2006/relationships/hyperlink" Id="rId56" Target="https://doi.org/10.1038/s41598-022-19660-0" TargetMode="External" /><Relationship Type="http://schemas.openxmlformats.org/officeDocument/2006/relationships/hyperlink" Id="rId64" Target="https://doi.org/10.1111/1365-2656.14202" TargetMode="External" /><Relationship Type="http://schemas.openxmlformats.org/officeDocument/2006/relationships/hyperlink" Id="rId72" Target="https://doi.org/10.1177/194008291100400303" TargetMode="External" /><Relationship Type="http://schemas.openxmlformats.org/officeDocument/2006/relationships/hyperlink" Id="rId62" Target="https://doi.org/10.1890/03-3127" TargetMode="External" /><Relationship Type="http://schemas.openxmlformats.org/officeDocument/2006/relationships/hyperlink" Id="rId68"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Dan Kramer</dc:creator>
  <cp:keywords>Cambodia, Ecology, Horbill, Distance sampling</cp:keywords>
  <dcterms:created xsi:type="dcterms:W3CDTF">2025-05-16T05:17:55Z</dcterms:created>
  <dcterms:modified xsi:type="dcterms:W3CDTF">2025-05-16T05:17:55Z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We explore hierarchical distance sampling (HDS) analyses to estimate native wildlife densities in Cambodia. Specifically, we leverage wildlife occurrence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 to determine baseline population densities for key biodiversity species inhabiting PLWS. Specifically, our objectives were to explore how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plws-ref.bib</vt:lpwstr>
  </property>
  <property fmtid="{D5CDD505-2E9C-101B-9397-08002B2CF9AE}" pid="8" name="by-affiliation">
    <vt:lpwstr/>
  </property>
  <property fmtid="{D5CDD505-2E9C-101B-9397-08002B2CF9AE}" pid="9" name="by-author">
    <vt:lpwstr/>
  </property>
  <property fmtid="{D5CDD505-2E9C-101B-9397-08002B2CF9AE}" pid="10" name="csl">
    <vt:lpwstr>global-ecology-and-conservation.csl</vt:lpwstr>
  </property>
  <property fmtid="{D5CDD505-2E9C-101B-9397-08002B2CF9AE}" pid="11" name="date">
    <vt:lpwstr>2025-05-06</vt:lpwstr>
  </property>
  <property fmtid="{D5CDD505-2E9C-101B-9397-08002B2CF9AE}" pid="12" name="editor">
    <vt:lpwstr>visual</vt:lpwstr>
  </property>
  <property fmtid="{D5CDD505-2E9C-101B-9397-08002B2CF9AE}" pid="13" name="header-includes">
    <vt:lpwstr/>
  </property>
  <property fmtid="{D5CDD505-2E9C-101B-9397-08002B2CF9AE}" pid="14" name="image">
    <vt:lpwstr>preview-image.jpg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itle-block-banner">
    <vt:lpwstr>True</vt:lpwstr>
  </property>
  <property fmtid="{D5CDD505-2E9C-101B-9397-08002B2CF9AE}" pid="19" name="toc-title">
    <vt:lpwstr>Table of contents</vt:lpwstr>
  </property>
</Properties>
</file>