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jkdm2hh0xtv" w:id="0"/>
      <w:bookmarkEnd w:id="0"/>
      <w:r w:rsidDel="00000000" w:rsidR="00000000" w:rsidRPr="00000000">
        <w:rPr>
          <w:rtl w:val="0"/>
        </w:rPr>
        <w:t xml:space="preserve">Ciclo de Vida (CRISP-ML) </w:t>
      </w:r>
    </w:p>
    <w:p w:rsidR="00000000" w:rsidDel="00000000" w:rsidP="00000000" w:rsidRDefault="00000000" w:rsidRPr="00000000" w14:paraId="00000002">
      <w:pPr>
        <w:pStyle w:val="Subtitle"/>
        <w:rPr>
          <w:color w:val="000000"/>
        </w:rPr>
      </w:pPr>
      <w:bookmarkStart w:colFirst="0" w:colLast="0" w:name="_heading=h.6qd3htpfpexq" w:id="1"/>
      <w:bookmarkEnd w:id="1"/>
      <w:r w:rsidDel="00000000" w:rsidR="00000000" w:rsidRPr="00000000">
        <w:rPr>
          <w:color w:val="000000"/>
          <w:rtl w:val="0"/>
        </w:rPr>
        <w:t xml:space="preserve">Versión Interna Técnica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su41wxamn5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el ciclo de vida completo de los modelos utilizados por SinergIA en el módulo de cobranzas, siguiendo las prácticas de CRISP-ML(Q) adaptadas al contexto operativo de Intelcia y las reglas de negocio de SisteCredito como cuanta piloto de tipo outbound.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es garantizar: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Coherencia entre reglas de negocio, analítica y motor de decisión.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Trazabilidad total desde las fuentes de datos hasta las salidas operativas.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Capacidad de auditoría técnica.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Capacidad de mantenimiento a largo plazo.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Estabilidad y control de versiones.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y alineación con la arquitectura del sistema.</w:t>
        <w:br w:type="textWrapping"/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lwf9w42kg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Comprensión del negocio y del dominio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motivación para los modelos se fundamenta en los siguientes documentos: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SinergIA_Módulo_Cobranzas_reglas_negocio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SinergIA_VisionArquitectura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SinergIA_VisionDiseño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SinergIA_VisionFlujoTecnico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SinergIA_SRS_BRD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Acuerdos de equipo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deben responder a cuatro necesidades: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Mejorar la eficacia de contacto.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Estimar la probabilidad de pag.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Priorizar la asignación de esfuerzos operativos.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Mejorar la distribución de listas de marcación y uso de canales.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no reemplazan las reglas de negocio; las complementan y deben operar dentro de los límites definidos por negocio y auditoría.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w1wic7uahx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Comprensión de datos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utilizados para entrenamiento, validación y operación se originan en: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M1: rutina, export, traza, pagos, promesas, WhatsApp, SMS, blacklist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M2: normalización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M3: integración y MejorGest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M4: pagos y promesas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M5: features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M7: auditoría de corridas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originales se consolidan por: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calidad de datos,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completitud,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duplicados,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inconsistencias temporales,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variabilidad mensual,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relevancia para modelos y reglas.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evaluación de datos debe referenciar la ontología técnica de SinergIA.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h6gqp7by6w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Preparación de datos (M2–M4)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establece responsabilidades claras: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xm5x5qn9c5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M2 – Normalización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estandarización de columnas,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teléfonos,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corrección y conversión de fechas,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normalización de valores numéricos,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producción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df_rutina_norm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df_export_norm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df_traza_norm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ee0f84qleb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M3 – Integración y MejorGest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unificación de gestiones de voz y digitales,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ordenamiento temporal,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cálculo de MejorGest bajo reglas priorizadas,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creación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df_cliente_mes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6bm1cq9gp7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M4 – Pagos y Promesas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emparejamiento de pagos y promesas,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clasificación operativa de promesas,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construcción del estado de cobranza por cliente.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únicamente pueden consumir datos derivados de M3 y M4.</w:t>
        <w:br w:type="textWrapping"/>
        <w:t xml:space="preserve"> No pueden consumir valores crudos sin normalizar.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unlv6o6g82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Modelado (M5)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decisión está compuesto por tres elementos: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Reglas duras de negocio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Modelos estadísticos o de machine learning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Esquema de combinación de reglas y scores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que debe mantener SinergIA son: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Modelo de probabilidad de contacto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Modelo de probabilidad de pago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Modelo de priorización (score combinado)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deben respetar: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guía de estilo de código,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ontología técnica,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esquema de features definido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yaa0gvu8kp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mínimos del conjunto de features: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interacción con canales: intentos, contactos, recencia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comportamiento de pago: cumplimiento, mora, días sin pago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señales de riesgo operativo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combinaciones temporales estables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 agregadas nivel cliente–mes</w:t>
        <w:br w:type="textWrapping"/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5i4ce5nrd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Evaluación de modelos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modelo debe documentarse bajo los siguientes criterios: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6iy8svs7f6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Métricas obligatorias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de contacto: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AUC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KS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proporción de aumento de contacto (uplift)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análisis de distribución por deciles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de pago: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AUC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KS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lift en primer y segundo decil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estabilidad intermensual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l9dss5odz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Validación con reglas de negocio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scores no pueden contradecir: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clasificación de incumplidos,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estado de promesa,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exclusión (ej. blacklist),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reglas operativas (ej. clusters específicos si existieran).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01mgeo79sh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Evaluación con datos recientes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obligatorio evaluar con: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datos del mes actual,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datos históricos de al menos 3 meses,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escenarios de sensibilidad.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uy689uoemz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Integración y despliegue (M5–M6)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despliegue incluye: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almacenamiento del modelo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/modelos/</w:t>
      </w:r>
      <w:r w:rsidDel="00000000" w:rsidR="00000000" w:rsidRPr="00000000">
        <w:rPr>
          <w:rtl w:val="0"/>
        </w:rPr>
        <w:t xml:space="preserve"> con hash firmado,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actualización del motor de decisión,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ejecución de pruebas de regresión,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UAT con operación,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de artefactos formales.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activo debe quedar registrado en: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manifest_YYYYMMDD.json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logs funcionales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 por cliente</w:t>
        <w:br w:type="textWrapping"/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rmkjxzc1ax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Monitoreo, deriva y mantenimiento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SinergIA debe monitorear los modelos con: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Deriva de datos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Medición mensual de: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cambios de distribución en features,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cambios en tasas de contacto,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cambios en tasa de incumplimiento.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39qz8r3oed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 de concepto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Comparación entre: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rendimiento esperado del modelo,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rendimiento observado.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nqlefoj6jw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Umbrales de alerta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disminución del AUC &gt; 10%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aumento de error operacional &gt; 15%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incoherencias detectadas en listas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aumento en reclamos por contacto inapropiado o falta de efectividad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03yjzlvdtw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Recalibración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realizarse cuando: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superen umbrales de alerta,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modifique la estructura de negocio,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entren nuevas reglas.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recalibración debe seguir el mismo ciclo técnico descrito en este documento y requerirá liberación de una nueva versión.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y0h0qo8af6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Gobierno de versiones de modelos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obligatoria: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modelo_contacto_vMAJOR.MINOR.pkl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modelo_pago_vMAJOR.MINOR.pkl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se permiten cambios sin actualización de versión.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Todo despliegue debe registrarse en CHANGELOG.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conserva al menos una versión previa para rollback.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modelo nunca puede ser reemplazado sin evidencia técnica.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n2rd2f6s6f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Artefactos obligatorios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Diccionario formal de variables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Conjunto de features aprobado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Notebook de entrenamiento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Informe de evaluación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Archivo del modelo (pkl) firmados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hash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de pruebas unitarias y de regresión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cruzada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Evidencias UAT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Manifest de despliegue</w:t>
        <w:br w:type="textWrapping"/>
      </w:r>
    </w:p>
    <w:p w:rsidR="00000000" w:rsidDel="00000000" w:rsidP="00000000" w:rsidRDefault="00000000" w:rsidRPr="00000000" w14:paraId="000000A6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heading=h.ozamk4621zc" w:id="22"/>
      <w:bookmarkEnd w:id="22"/>
      <w:r w:rsidDel="00000000" w:rsidR="00000000" w:rsidRPr="00000000">
        <w:rPr>
          <w:rtl w:val="0"/>
        </w:rPr>
        <w:t xml:space="preserve">Referencias de carpetas del sistema y sus respectivos 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 la hoja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shd w:fill="d8e5f8" w:val="clear"/>
          <w:rtl w:val="0"/>
        </w:rPr>
        <w:t xml:space="preserve">SettingID d</w:t>
      </w:r>
      <w:r w:rsidDel="00000000" w:rsidR="00000000" w:rsidRPr="00000000">
        <w:rPr>
          <w:rtl w:val="0"/>
        </w:rPr>
        <w:t xml:space="preserve">el archivo Config_SinergIA (ID 1q0yWNo35lPeNXmdOgMRKvYx1TcHgxJhPPDo4zXq9p_0) se identifica y define a cada una de las carpetas que se utilizan en el sistema SinergIA módulo Cobranzas; y esa definición es la que se debe utilizar como canónico de las carpetas.  Si hay necesidad de definir alguna otra o aclarar la funcionalidad de alguna ya definida, debe expresarse para proceder al respecto.  El texto que se contiene en la columna Nombre_referencia_carpeta (A) de esa hoja será el que se utilice para definir la variable que contendrá su respectivo ID para hacer referencia y uso de dicha carpeta.  La única ID que se debe hardcodear es la del archivo Config_SinergIA y debe hacerse bajo ese mismo nombre (Config_SinergIA), siguiendo los estándares de mejores prácticas en programación y reglas del lenguaje.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c+di6X4PTpU4IqVJVbR4eGPdSg==">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