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b3ca2vog58m" w:id="0"/>
      <w:bookmarkEnd w:id="0"/>
      <w:r w:rsidDel="00000000" w:rsidR="00000000" w:rsidRPr="00000000">
        <w:rPr>
          <w:rtl w:val="0"/>
        </w:rPr>
        <w:t xml:space="preserve">Cambios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nfwqmoi1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C05-AUD-01 Requisito de evidencia y gates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debe generar evidencia por corrida mediante manifest_&lt;run_id&gt;.json y audit_events_&lt;run_id&gt;.csv conforme al contrato definido en C02. Ningún export operativo puede publicarse si un gate obligatorio falla. Los gates (QualityGate, ComplianceGate, ExportGate) y sus umbrales se parametrizan en Config_SinergIA (hoja Gates). Todos los códigos emitidos deben existir en Config_SinergIA (hoja TraceCodes).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Criterios de aceptación mínimos: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Existe manifest_&lt;run_id&gt;.json y audit_events_&lt;run_id&gt;.csv en la carpeta canónica de evidencia.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manifest registra inputs, metrics, gates y outputs.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audit_events contiene solo códigos válidos (TraceCodes).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 QualityGate o ComplianceGate o ExportGate falla, exports operativos no se publican.</w:t>
        <w:br w:type="textWrapping"/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DoD del bloque C05. C05 exige evidencia y gates, sin duplicar contratos.</w:t>
      </w:r>
    </w:p>
    <w:p w:rsidR="00000000" w:rsidDel="00000000" w:rsidP="00000000" w:rsidRDefault="00000000" w:rsidRPr="00000000" w14:paraId="0000000B">
      <w:pPr>
        <w:spacing w:after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ohd7pl3pe8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Config_SinergIA Patch Pack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Esto NO va como texto en DOCX. Es para implementar en el archivo Config_SinergIA.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87ecz4ff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CONFIG-01 Hojas canónicas nuevas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Crear o completar estas hojas: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TraceCodes: catálogo canónico de códigos auditables.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Gates: reglas/umbrales que deciden pass, warn, fail.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ChangeLog: bitácora de cambios de configuración.</w:t>
        <w:br w:type="textWrapping"/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Regla. Gates.CodigoFail y Gates.CodigoWarn deben existir en TraceCodes. Gates.MetricKey debe existir en el diccionario de MetricKey definido en C02.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DoD del bloque Config. Existe TraceCodes con códigos activos. Existe Gates con reglas activas. La corrida puede validar códigos y decidir publicación solo con Config.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ez8da61pgusr" w:id="4"/>
      <w:bookmarkEnd w:id="4"/>
      <w:r w:rsidDel="00000000" w:rsidR="00000000" w:rsidRPr="00000000">
        <w:rPr>
          <w:rtl w:val="0"/>
        </w:rPr>
        <w:t xml:space="preserve">Antideriva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24ecefgae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verdad DocMap</w:t>
      </w:r>
    </w:p>
    <w:tbl>
      <w:tblPr>
        <w:tblStyle w:val="Table1"/>
        <w:tblW w:w="9405.35433070866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3.926410817046"/>
        <w:gridCol w:w="1578.240888543106"/>
        <w:gridCol w:w="1169.6607600370226"/>
        <w:gridCol w:w="1145.6266348307825"/>
        <w:gridCol w:w="1337.899636480704"/>
        <w:tblGridChange w:id="0">
          <w:tblGrid>
            <w:gridCol w:w="4173.926410817046"/>
            <w:gridCol w:w="1578.240888543106"/>
            <w:gridCol w:w="1169.6607600370226"/>
            <w:gridCol w:w="1145.6266348307825"/>
            <w:gridCol w:w="1337.8996364807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define como canon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solo 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debe referenciar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debe contener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C00_SinergIA_Módulo_Cobranzas_reglas_negocio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negocio, restricciones, criterios legales y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ejemplos narrativos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C05 para requisitos, C06 para historias, Config para contratos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tablas de columnas, ids de carpetas, código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C02_SinergIA_VisionArquitectura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arquitectura técnica, módulos, PR (procesos runtime), evidencia (manifest y audit_events) como estándar 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ejemplos de flujos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Config para Gates y TraceCodes, SettingID para carpetas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tablas operativas que deban vivir en Config, backlog HU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C03_SinergIA_AcuerdosEquipo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acuerdos de trabajo, definición de terminado, criterios de calidad, gobernanza CR/CCR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lineamientos de estilo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C05 para alcance, C02 para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funcionales, épicas, contratos de datos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C04_SinergIA_VisionDiseño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diseño funcional, BPMN/UML del negocio y del flujo, casos de uso por épica usando EpicID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narrativa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C06 para épicas y HU, C02 para PR y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nombres de épicas inventados, tablas de columnas, ids de carpetas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C05_SinergIA_VisionSRS_BRD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requisitos y contrato funcional, alcance, NFR, trazabilidad requisito-&gt;épica-&gt;HU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y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C06 para épicas y HU, Config para contratos de columnas, C02 para PR y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épicas, pseudocódigo, tablas de columnas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C06_SinergIA_VisionHU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épicas E01–E11 y HU como backlog canónico (criterios de aceptación y DoD)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notas 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C05 para requisitos, C02 para PR, Config para contratos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código, contratos de evidencia completos, tablas de columnas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contratos de datos (Estructuras, IndiceEstructuras, ModeloRelacion), carpetas (SettingID), controles (Gates, TraceCodes, ChangeLog)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notas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C02 y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texto largo de especificación, redefinir requisitos o épicas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4nzl9xtn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verdad de identificadores</w:t>
      </w:r>
    </w:p>
    <w:tbl>
      <w:tblPr>
        <w:tblStyle w:val="Table2"/>
        <w:tblW w:w="9405.35433070866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4.1323574762032"/>
        <w:gridCol w:w="2981.2271951645735"/>
        <w:gridCol w:w="2436.0604428362903"/>
        <w:gridCol w:w="2553.9343352315946"/>
        <w:tblGridChange w:id="0">
          <w:tblGrid>
            <w:gridCol w:w="1434.1323574762032"/>
            <w:gridCol w:w="2981.2271951645735"/>
            <w:gridCol w:w="2436.0604428362903"/>
            <w:gridCol w:w="2553.93433523159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canónico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Vive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Épicas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EpicID E01–E11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nombres solo se editan aquí, el ID nunca cambia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Historias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HU-E##-NN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toda HU pertenece a una épica por E##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Procesos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PR_01..PR_12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 no es épica. PR describe etapas del pipeline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Carpetas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Nombre_referencia_carpeta -&gt;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Config/SettingID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 se hardcodea nada excepto Config_SinergIA file 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Contratos de columnas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columnas y 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Config/Estructuras e IndiceEstructuras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DOCX describe, Config define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reglas, umbrales,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Config/Gates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los gates controlan publicación de outputs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Códigos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códigos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Config/TraceCodes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audit_events solo puede emitir códigos existentes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p6r1mtpzx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Trazabilidad mínima obligatoria</w:t>
      </w:r>
    </w:p>
    <w:tbl>
      <w:tblPr>
        <w:tblStyle w:val="Table3"/>
        <w:tblW w:w="9405.3543307086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3.5663690574243"/>
        <w:gridCol w:w="1480.654630514282"/>
        <w:gridCol w:w="3192.507824597239"/>
        <w:gridCol w:w="3428.625506539716"/>
        <w:tblGridChange w:id="0">
          <w:tblGrid>
            <w:gridCol w:w="1303.5663690574243"/>
            <w:gridCol w:w="1480.654630514282"/>
            <w:gridCol w:w="3192.507824597239"/>
            <w:gridCol w:w="3428.6255065397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C05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C06 épica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EpicID E##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que todo requisito cae en una épica oficial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C06 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C02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PR_## en dependencias o 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que la HU se implementa en una etapa del pipeline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C02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Config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nombre de estructura en IndiceEstructuras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que columnas y tipos vienen del contrato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Config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manifest y audit_events por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que la corrida es auditable y replicable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8mc4hi08c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anti-deriva (texto corto para pegar)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Pégalo igual en C02, C05 y C06 (en una sección “Gobierno documental”):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La definición canónica de contratos de datos y carpetas vive en Config_SinergIA. Los DOCX describen y exigen, pero no redefinen. Las épicas y HU viven en C06. Los procesos runtime (PR) viven en C02. C05 no redefine épicas ni PR, solo referencia por ID.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6q76rihc2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cierre (30 segundos)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4910"/>
        <w:tblGridChange w:id="0">
          <w:tblGrid>
            <w:gridCol w:w="431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pasa 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hay doble canon de épicas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solo C06 define nombres E01–E11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 no aparece como E##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procesos en C02 son PR_##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contratos de columnas solo están en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 DOCX no hay tablas de columnas como canon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ids de carpetas solo están en 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los DOCX no listan ids como fuente de verdad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