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(10)</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[4]</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Procedencia del amparo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(13)</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[5]</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(2)</w:t>
      </w:r>
    </w:p>
    <w:p>
      <w:pPr>
        <w:ind w:left="794"/>
      </w:pPr>
      <w:r>
        <w:rPr>
          <w:color w:val="555555"/>
          <w:sz w:val="20"/>
        </w:rPr>
        <w:t xml:space="preserve">      › Derecho humano a la salud</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(2)</w:t>
      </w:r>
    </w:p>
    <w:p>
      <w:pPr>
        <w:ind w:left="794"/>
      </w:pPr>
      <w:r>
        <w:rPr>
          <w:color w:val="555555"/>
          <w:sz w:val="20"/>
        </w:rPr>
        <w:t xml:space="preserve">      › Suspensión</w:t>
      </w:r>
      <w:r>
        <w:rPr>
          <w:color w:val="555555"/>
          <w:sz w:val="18"/>
        </w:rPr>
        <w:t xml:space="preserve">  [2]</w:t>
      </w:r>
    </w:p>
    <w:p>
      <w:pPr>
        <w:ind w:left="340"/>
      </w:pPr>
      <w:r>
        <w:rPr>
          <w:b/>
          <w:sz w:val="22"/>
        </w:rPr>
        <w:t xml:space="preserve">   · Penal</w:t>
      </w:r>
      <w:r>
        <w:rPr>
          <w:color w:val="555555"/>
          <w:sz w:val="20"/>
        </w:rPr>
        <w:t xml:space="preserve">  (3)</w:t>
      </w:r>
    </w:p>
    <w:p>
      <w:pPr>
        <w:ind w:left="794"/>
      </w:pPr>
      <w:r>
        <w:rPr>
          <w:color w:val="555555"/>
          <w:sz w:val="20"/>
        </w:rPr>
        <w:t xml:space="preserve">      › Reparación del daño</w:t>
      </w:r>
      <w:r>
        <w:rPr>
          <w:color w:val="555555"/>
          <w:sz w:val="18"/>
        </w:rPr>
        <w:t xml:space="preserve">  [3]</w:t>
      </w:r>
    </w:p>
    <w:p/>
    <w:p>
      <w:r>
        <w:rPr>
          <w:b/>
          <w:color w:val="6B1818"/>
          <w:sz w:val="26"/>
        </w:rPr>
        <w:t>4. Tribunales Colegiados de Circuito</w:t>
      </w:r>
    </w:p>
    <w:p>
      <w:pPr>
        <w:ind w:left="340"/>
      </w:pPr>
      <w:r>
        <w:rPr>
          <w:b/>
          <w:sz w:val="22"/>
        </w:rPr>
        <w:t xml:space="preserve">   · Administrativo</w:t>
      </w:r>
      <w:r>
        <w:rPr>
          <w:color w:val="555555"/>
          <w:sz w:val="20"/>
        </w:rPr>
        <w:t xml:space="preserve">  (20)</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humano a la salud</w:t>
      </w:r>
      <w:r>
        <w:rPr>
          <w:color w:val="555555"/>
          <w:sz w:val="18"/>
        </w:rPr>
        <w:t xml:space="preserve">  [12]</w:t>
      </w:r>
    </w:p>
    <w:p>
      <w:pPr>
        <w:ind w:left="794"/>
      </w:pPr>
      <w:r>
        <w:rPr>
          <w:color w:val="555555"/>
          <w:sz w:val="20"/>
        </w:rPr>
        <w:t xml:space="preserve">      › Responsabilidad administrativa de servidores públicos</w:t>
      </w:r>
      <w:r>
        <w:rPr>
          <w:color w:val="555555"/>
          <w:sz w:val="18"/>
        </w:rPr>
        <w:t xml:space="preserve">  [6]</w:t>
      </w:r>
    </w:p>
    <w:p>
      <w:pPr>
        <w:ind w:left="340"/>
      </w:pPr>
      <w:r>
        <w:rPr>
          <w:b/>
          <w:sz w:val="22"/>
        </w:rPr>
        <w:t xml:space="preserve">   · Amparo</w:t>
      </w:r>
      <w:r>
        <w:rPr>
          <w:color w:val="555555"/>
          <w:sz w:val="20"/>
        </w:rPr>
        <w:t xml:space="preserve">  (13)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Procedencia del amparo</w:t>
      </w:r>
      <w:r>
        <w:rPr>
          <w:color w:val="555555"/>
          <w:sz w:val="18"/>
        </w:rPr>
        <w:t xml:space="preserve">  [3]</w:t>
      </w:r>
    </w:p>
    <w:p>
      <w:pPr>
        <w:ind w:left="794"/>
      </w:pPr>
      <w:r>
        <w:rPr>
          <w:color w:val="555555"/>
          <w:sz w:val="20"/>
        </w:rPr>
        <w:t xml:space="preserve">      › Suspensión</w:t>
      </w:r>
      <w:r>
        <w:rPr>
          <w:color w:val="555555"/>
          <w:sz w:val="18"/>
        </w:rPr>
        <w:t xml:space="preserve">  [9]</w:t>
      </w:r>
    </w:p>
    <w:p>
      <w:pPr>
        <w:ind w:left="340"/>
      </w:pPr>
      <w:r>
        <w:rPr>
          <w:b/>
          <w:sz w:val="22"/>
        </w:rPr>
        <w:t xml:space="preserve">   · Civil</w:t>
      </w:r>
      <w:r>
        <w:rPr>
          <w:color w:val="555555"/>
          <w:sz w:val="20"/>
        </w:rPr>
        <w:t xml:space="preserve">  (21)</w:t>
      </w:r>
    </w:p>
    <w:p>
      <w:pPr>
        <w:ind w:left="794"/>
      </w:pPr>
      <w:r>
        <w:rPr>
          <w:color w:val="555555"/>
          <w:sz w:val="20"/>
        </w:rPr>
        <w:t xml:space="preserve">      › Arrendamiento</w:t>
      </w:r>
      <w:r>
        <w:rPr>
          <w:color w:val="555555"/>
          <w:sz w:val="18"/>
        </w:rPr>
        <w:t xml:space="preserve">  [7]</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[5]</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(20)</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Medio ambiente sano</w:t>
      </w:r>
      <w:r>
        <w:rPr>
          <w:color w:val="555555"/>
          <w:sz w:val="18"/>
        </w:rPr>
        <w:t xml:space="preserve">  [3]</w:t>
      </w:r>
    </w:p>
    <w:p>
      <w:pPr>
        <w:ind w:left="794"/>
      </w:pPr>
      <w:r>
        <w:rPr>
          <w:color w:val="555555"/>
          <w:sz w:val="20"/>
        </w:rPr>
        <w:t xml:space="preserve">      › Perspectiva de género</w:t>
      </w:r>
      <w:r>
        <w:rPr>
          <w:color w:val="555555"/>
          <w:sz w:val="18"/>
        </w:rPr>
        <w:t xml:space="preserve">  [14]</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(4)</w:t>
      </w:r>
    </w:p>
    <w:p>
      <w:pPr>
        <w:ind w:left="794"/>
      </w:pPr>
      <w:r>
        <w:rPr>
          <w:color w:val="555555"/>
          <w:sz w:val="20"/>
        </w:rPr>
        <w:t xml:space="preserve">      › Comprobantes fiscales (CFDI)</w:t>
      </w:r>
      <w:r>
        <w:rPr>
          <w:color w:val="555555"/>
          <w:sz w:val="18"/>
        </w:rPr>
        <w:t xml:space="preserve">  [4]</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(10)</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[7]</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(12)</w:t>
      </w:r>
    </w:p>
    <w:p>
      <w:pPr>
        <w:ind w:left="794"/>
      </w:pPr>
      <w:r>
        <w:rPr>
          <w:color w:val="555555"/>
          <w:sz w:val="20"/>
        </w:rPr>
        <w:t xml:space="preserve">      › Cadena de custodia</w:t>
      </w:r>
      <w:r>
        <w:rPr>
          <w:color w:val="555555"/>
          <w:sz w:val="18"/>
        </w:rPr>
        <w:t xml:space="preserve">  [3]</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[7]</w:t>
      </w:r>
    </w:p>
    <w:p/>
    <w:p/>
    <w:p>
      <w:pPr>
        <w:jc w:val="center"/>
      </w:pPr>
      <w:r>
        <w:rPr>
          <w:i/>
          <w:color w:val="555555"/>
          <w:sz w:val="22"/>
        </w:rPr>
        <w:t>Total de entradas: 189</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CONOCIMIENTO DEL ORIGEN BIOLÓGICO. IMPORTANCIA Y RELACIÓN CON EL DERECHO A LA IDENTIDAD DE UNA PERSONA MENOR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2032653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INDEMNIZACIÓN POR ACTIVIDAD IRREGULAR DEL MINISTERIO PÚBLICO. SU PAGO ES RECLAMABLE EN LA VÍA ADMINISTRATIVA (LEGISLACIÓN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2032384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Amparo</w:t>
      </w:r>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PARA MINERÍA Y AGUA. SUPUESTOS EN LOS QUE EL DECRETO DE 8 DE MAYO DE 2023 REQUIERE ACTO DE APLICACIÓN PARA SU IMPUGNACIÓN DE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OBLIGACIÓN POLICIAL DE PRESERVAR EL LUGAR DE LOS HECHOS. EL ARTÍCULO 132, FRACCIÓN VIII, DEL CÓDIGO NACIONAL DE PROCEDIMIENTOS PENALES NO VULNERA EL ARTÍCULO 21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2032444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EN MATERIA PENAL. EL PLAZO PARA PROMOVERLO, CUANDO SE RECLAMA UNA RESOLUCIÓN EN LA QUE EL TRIBUNAL DE ALZADA RECLASIFICA EL DELITO Y DEVUELVE LOS AUTOS AL TRIBUNAL DE ENJUICIAMIENTO PARA LA INDIVIDUALIZACIÓN DE LAS PENAS, ES EL GENÉRICO DE 15 DÍAS.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2032360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CONTRADICCIÓN.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2032463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PREGUNTAS ACLARATORIAS DEL ÓRGANO JURISDICCIONAL EN EL JUICIO ORAL. EL ARTÍCULO 372, PÁRRAFO SEGUNDO, DEL CÓDIGO NACIONAL DE PROCEDIMIENTOS PENALES NO VULNERA EL PRINCIPIO DE IMPARCIALIDAD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2032464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AUDIENCIA DE LECTURA Y EXPLICACIÓN DE LA SENTENCIA EN EL SISTEMA PENAL ACUSATORIO. LA VERSIÓN ESCRITA DEBE ESTAR DISPONIBLE PARA LAS PARTES EN EL MOMENTO DE SU CELEBRACIÓN.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2032644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PENSIÓN DE CESANTÍA EN EDAD AVANZADA. INTERPRETACIÓN DEL SISTEMA NORMATIVO QUE LA REGULA.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2032420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https://sjf2.scjn.gob.mx/detalle/tesis/2032420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DE TUTELA ANTICIPADA CONTRA LA IMPOSICIÓN DE UNA GARANTÍA ECONÓMICA EN SUSTITUCIÓN DE LA PRISIÓN PREVENTIVA JUSTIFICADA, SI SU FALTA DE PAGO CONDICIONA LA EXCARCELACIÓN DEL IMPUTADO.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2032684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PROCEDENCIA Y EFECTOS CONTRA LA RESOLUCIÓN QUE ORDENA REABRIR O CONTINUAR LA INVESTIGACIÓN EN UN PROCEDIMIENTO DE RESPONSABILIDAD ADMINISTRATIVA (LEGISLACIÓN DEL ESTADO DE NUEVO LEÓN).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ES IMPROCEDENTE CONTRA LA RESOLUCIÓN DEL TRIBUNAL DE ALZADA QUE REVOCA LA CALIFICACIÓN DE ILEGAL DETENCIÓN EMITIDA POR EL JUEZ DE CONTROL Y ORDENA LA CONTINUACIÓN DE LA AUDIENCIA INICIAL.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2032546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PROCEDE CONCEDERLA SIN EXIGIR GARANTÍA DE INTERÉS FISCAL CUANDO SE SOLICITA CONTRA EL CORTE DEL SUMINISTRO DE AGUA POTABLE A UNA GUARDERÍA INFANTIL.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EN AMPARO INDIRECTO. PROCEDE PARA ORDENAR UNA VALORACIÓN MÉDICA EN EL DOMICILIO DE UNA PERSONA, CUANDO TIENE UNA MOVILIDAD RESTRINGIDA.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INSTITUCIONES EDUCATIVAS PÚBLICAS. ESTÁN OBLIGADAS A PRESTAR SUS SERVICIOS EN UN AMBIENTE SEGURO EN EL QUE SE ATIENDAN LAS CONDICIONES DE SALUD DE LAS PERSONAS MENORES DE 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PARA EFECTIVIZARLO ANTE ENFERMEDADES CRÓNICO-DEGENERATIVAS QUE PONGAN EN RIESGO LA VIDA, ES FACTIBLE CONSIDERAR EN EL RECURSO DE REVISIÓN PRUEBAS RECABADAS POR EL JUZGADOR CON MOTIVO DEL OTORGAMIENTO DE LA SUSPENSIÓN DEL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2032489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https://sjf2.scjn.gob.mx/detalle/tesis/2032489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PROVISIONALES. ES IMPROCEDENTE LA REDUCCIÓN DE LA PENSIÓN RELATIVA POR EL HECHO DE QUE LA PERSONA DEUDORA ALIMENTISTA AFILIE A SUS ACREEDORES COMO BENEFICIARIOS DEL SEGURO DE SALUD QUE PERCIBE COMO PRESTACIÓN DE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2032511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 PLANO TRATÁNDOSE DEL DERECHO HUMANO A LA SALUD. PROCEDE CONTRA LA OMISIÓN DE INSTITUCIONES DE SALUD PÚBLICA DE DAR ACCESO AL EXPEDIENTE CLÍNICO Y DE SUSTITUIR AL MÉDICO TRATANTE POR MALOS TRATOS Y DISCRIMINACIÓN, BAJO EL ENFOQUE DE UNA "MEDICINA HUMANÍSTICA".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2032540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LA NEGATIVA INJUSTIFICADA DE LAS INSTITUCIONES PÚBLICAS DE SALUD DE PROPORCIONARLES EL TRATAMIENTO MÉDICO NECESARIO PARA MEJORAR SU CALIDAD DE VIDA Y SU DESARROLLO PERSONAL INTEGRAL, VIOLA SU DERECHO A LA PROTECCIÓN DE LA SALUD.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INSTITUTO DE SALUD PARA EL BIENESTAR (INSABI). LE CORRESPONDE LA ADQUISICIÓN Y SUMINISTRO DE MEDICAMENTOS E INSUMOS O, EN SU CASO, EL FINANCIAMIENTO PARA SU ADQUISICIÓN, RELACIONADOS CON EL TRATAMIENTO DE ENFERMEDADES QUE PROVOCAN GASTOS CATASTRÓFICOS.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RESPONSABILIDADES ADMINISTRATIVAS CONTRA UNA PERSONA JUEZA DEL SISTEMA PENAL ACUSATORIO EN EL ESTADO DE CHIHUAHUA. CORRESPONDE AL ÓRGANO DE ADMINISTRACIÓN JUDICIAL DETERMINAR LA ACTUALIZACIÓN DE LAS FALTAS ADMINISTRATIVAS QUE SE LE ATRIBUYEN.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2032462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SI SE ACTUALIZA POR SU ACTIVIDAD ADMINISTRATIVA IRREGULAR SE DEBE DEFINIR SI LOS DAÑOS RECLAMADOS SON DE CARÁCTER CONTRACTUAL O EXTRACONTRACTUAL.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2032502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IMPUESTO SOBRE LA RENTA. NO PROCEDE SU DEDUCCIÓN POR EL PAGO DE PENAS CONVENCIONALES EN TÉRMINOS DEL ARTÍCULO 32, FRACCIÓN VI, DE LA LEY RELATIVA, CUANDO EXISTE UN MECANISMO CONTRACTUAL PARA EVITAR SU PAGO Y NO SE EJERCE (LEGISLACIÓN VIGENTE EN 2013).</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2032562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PERSONAL PARA RECUPERAR LA POSESIÓN DE UN BIEN INMUEBLE ENTRE EXCONCUBINOS. ES IMPROCEDENTE CUANDO ÉSTE FORMA PARTE DEL DERECHO DE HABITACIÓN DE LAS PERSONAS ACREEDORAS ALIMENTARIAS.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2032478 · Fecha: viernes 14 de agosto de 2026 10:22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CONSTITUYE UN CONCEPTO ÍNTIMAMENTE VINCULADO CON LOS DERECHOS DE ACCESO A LA JUSTICIA Y DE PARTICIPACIÓN DEMOCRÁTICA PARA LA PROTECCIÓN EFECTIVA DE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2032523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LEYES AUTOAPLICATIVAS. SU CONCEPCIÓN ACTUAL DEBE INTERPRETARSE A LA LUZ DEL INTERÉS LEGÍTIMO Y DEL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2032525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#Procedencia del amparo · #actualización automática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2032354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EL ARTÍCULO 91 BIS DE LA LEY GENERAL DE POBLACIÓN QUE PREVÉ LA CREACIÓN DE LA CLAVE ÚNICA DE REGISTRO DE POBLACIÓN (CURP) BIOMÉTRICA.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2032355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 EFECTOS RESTITUTORIOS ANTICIPADOS CONTRA LA OMISIÓN DE PAGO CORRESPONDIENTE AL PROGRAMA PENSIÓN PARA EL BIENESTAR DE LAS PERSONAS CON DISCAPACIDAD PERMANENTE.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2032475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ES IMPROCEDENTE CONTRA NORMAS RECLAMADAS COMO AUTOAPLICATIVAS, CUANDO EL PLAZO DE VACATIO LEGIS NO ACTUALIZA EL REQUISITO DE PELIGRO EN LA DEMORA.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2032542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LOS EFECTOS Y CONSECUENCIAS DEL ARTÍCULO 49 BIS DEL CÓDIGO FISCAL DE LA FEDERACIÓN.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2032544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EN AMPARO INDIRECTO. PROCEDE CONTRA LA EXPULSIÓN DE UNA PERSONA ADOLESCENTE DE LA ESCUELA EN LA QUE CURSA LA EDUCACIÓN BÁSICA (SECUNDARIA) POR ACUMULAR FALTAS A SU REGLAMENTO.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2032576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PROCEDE CON EFECTOS RESTITUTORIOS (TUTELA ANTICIPADA) CONTRA LA OMISIÓN DE REALIZAR AJUSTES AL PROCEDIMIENTO PARA PERSONAS CON DISCAPACIDAD.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2032685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DESECHAMIENTO DE LA DEMANDA EN EL JUICIO ORAL MERCANTIL. ES INVÁLIDO CUANDO SE BASA EN UNA APRECIACIÓN FORMAL DEL DESAHOGO DE LA PREVENCIÓN REALIZADA EN TÉRMINOS DEL ARTÍCULO 1390 BIS 12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2032412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AMPARO INDIRECTO. LO TIENEN LAS PERSONAS QUE ACREDITEN LA PROPIEDAD O POSESIÓN LEGAL DE INMUEBLES DESTINADOS A ESTANCIAS TURÍSTICAS EVENTUALES PARA RECLAMAR LA LEY DE TURISMO DE LA CIUDAD DE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2032524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SEGURO DE VIDA VINCULADO A UN CRÉDITO HIPOTECARIO. CUANDO EL ACREEDOR ES BENEFICIARIO PREFERENTE, DEBE AGOTAR LA ACCIÓN DERIVADA DEL CONTRATO DE SEGURO ANTES DE EJERCER LA ACCIÓN HIPOTECARIA CONTRA LA SUCESIÓN DEL DEUDOR.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2032537 · Fecha: viernes 21 de agosto de 2026 10:29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ENAJENACIÓN DE DERECHOS AGRARIOS. CUANDO SE DECLARA SU NULIDAD POR VIOLACIÓN AL DERECHO DEL TANTO, DEBEN DEJARSE A SALVO LOS DERECHOS DE LA PERSONA DEMANDADA PARA EJERCER, EN SU CASO, LA ACCIÓN DE USUCAPIÓN.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#Usucapión / Prescripción positiva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DISPONE SU FORMA DE COMPENSACIÓN DE LAS AFECTADAS POR LA EJECUCIÓN DE ALGUNA OBRA PÚBLICA,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2032312 · Fecha: viernes 26 de junio de 2026 10: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ÁREAS VERDES EN LA CIUDAD DE MÉXICO. EL ARTÍCULO 105 DE LA LEY AMBIENTAL LOCAL EN LA PORCIÓN NORMATIVA QUE ESTABLECE QUE LAS ÁREAS VERDES DEBERÁN INCREMENTAR O CONSERVAR SU EXTENSIÓN, NO VIOLA EL DERECHO HUMANO A UN MEDIO AMBIENTE SANO, EN SU VERTIENTE DE PROGRESIVIDAD.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2032313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https://sjf2.scjn.gob.mx/detalle/tesis/2032313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DEFINITIVA EN AMPARO INDIRECTO. PARA CONCEDERLA CONTRA LA AFECTACIÓN A ÁREAS NATURALES PROTEGIDAS, EL JUZGADO DE DISTRITO DEBE ATENDER A UN ESTÁNDAR DE PROTECCIÓN REFORZADA APLICANDO LOS PRINCIPIOS AMBIENTALES DE PREVENCIÓN Y DE PRECAUCIÓN.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2032575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https://sjf2.scjn.gob.mx/detalle/tesis/2032575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sano · #actualización automática</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LAS AUTORIDADES INVOLUCRADAS EN DETERMINAR EL MONTO INDEMNIZATORIO POR ACTIVIDAD ADMINISTRATIVA IRREGULAR DEBEN ANALIZAR CÓMO LA PERSPECTIVA DE GÉNERO PUEDE CAMBIAR LA MANERA DE PERCIBIR Y VALORAR LAS CIRCUNSTANCIAS DEL CASO.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2032302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ACTOS DE VIOLENCIA O ACOSO SEXUAL DE UN TRABAJADOR DOCENTE CONTRA MUJERES ADOLESCENTES EN ESCUELAS. LA INSTITUCIÓN EDUCATIVA SE ENCUENTRA VINCULADA A CUMPLIR CON LA GARANTÍA DE PREVENCIÓN, REPARACIÓN Y NO REPETICIÓN.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2032309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ESTÁNDAR PROBATORIO PARA DETERMINAR LA LEGALIDAD DE LA RESCISIÓN DE LA RELACIÓN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DISCIPLINARIO EN CASOS DE ACOSO O VIOLENCIA SEXUAL CONTRA MUJERES ADOLESCENTES EN ESCUELAS. LA AUTORIDAD JURISDICCIONAL DEBE ARMONIZAR EL PRINCIPIO DE PRESUNCIÓN DE INOCENCIA CON LA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2032326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ESTÁNDAR DE LA PERSONA OBSERVADORA RAZONABLE. ASPECTOS QUE DEBE PONDERAR LA AUTORIDAD LABORAL PARA DETERMINAR LA EVENTUAL GRAVEDAD DE LA FALTA DE PROBIDAD ATRIBUIDA A LA PERSONA TRABAJADORA EN CASOS DE ACOSO U HOSTIGAMIENTO SEXUAL EN INSTITUCIONES EDUCATIVAS.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2032327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https://sjf2.scjn.gob.mx/detalle/tesis/2032327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DEBE OBSERVARSE EN EL TRÁMITE Y RESOLUCIÓN DEL JUICIO LABORAL COMO GARANTÍA DE PREVENCIÓN, REPARACIÓN Y NO REPETICIÓN DE ACTOS DE VIOLENCIA O ACOSO SEXUAL DE UN TRABAJADOR DOCENTE CONTRA MUJERES ADOLESCENTES.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2032338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PERSONA ADULTA MAYOR. SU APLICACIÓN EXIGE IDENTIFICAR LAS CONDICIONES CONCRETAS DE VULNERABILIDAD QUE PUEDAN GENERAR UNA DESVENTAJA EN EL EJERCICIO DE SUS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2032340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EN EL PROCEDIMIENTO LABORAL. LA DECLARACIÓN RENDIDA POR PERSONAS DOCENTES GOZA DE RELEVANCIA PROBATORIA EN CASOS DE ACOSO O VIOLENCIA SEXUAL CONTRA MUJERES ADOLESCENTES EN ESCUELAS.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2032347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https://sjf2.scjn.gob.mx/detalle/tesis/2032347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RECLAMADO A LAS COMPAÑÍAS ASEGURADORAS. PUEDE GENERARSE ANTE ACTOS DISCRIMINATORIOS OCASIONADOS POR EL USO DE LENGUAJE BASADO EN ESTEREOTIPOS O PREJUICIOS POR RAZÓN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2032376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NIÑAS Y NIÑOS CON DISCAPACIDAD. SU SITUACIÓN DE VULNERABILIDAD DEBE ANALIZARSE DESDE UNA PERSPECTIVA INTERSECCIONAL, QUE CONSIDERE TAMBIÉN LAS CONDICIONES DE LAS PERSONAS QUE EJERCEN SU CUIDADO PRIMARIO, A EFECTO DE GARANTIZARLES EL EJERCICIO DE SUS PROPIOS DERECHOS.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2032666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VÍA LABORAL. SU PROCEDENCIA DEBE ANALIZARSE CON PERSPECTIVA DE GÉNERO CUANDO UNA TRABAJADORA DEMANDA EL CESE DE HOSTIGAMIENTO LABORAL (MOBBING).</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2032687 · Fecha: viernes 25 de septiembre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 NEGARSE VALOR PROBATORIO A LOS CONTRATOS DE COMODATO REDACTADOS DE FORMA GENÉRICA AL NO SER SUSCEPTIBLES DE EVIDENCIAR CAPACIDAD OPERATIVA REAL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2032638 · Fecha: viernes 18 de septiembre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https://sjf2.scjn.gob.mx/detalle/tesis/2032638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#Comprobantes fiscales (CFDI)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INCIDENTE DE LIQUIDACIÓN DE GASTOS Y COSTAS EN EL JUICIO EJECUTIVO MERCANTIL ORAL. SU ADMISIÓN DEBE NOTIFICARSE DE MANERA PERSONAL, AL CONSTITUIR UN PROCEDIMIENTO CONTENCIOSO AUTÓNOMO E INDEPENDIENTE, Y EQUIPARARSE CON EL EMPLAZAMIENTO A JUICIO.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2032414 · Fecha: viernes 10 de julio de 2026 10:17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MUTUO SUBROGATORIO. PARA QUE OPERE POR MINISTERIO DE LEY EN LOS DERECHOS DEL ACREEDOR, DEBEN CUMPLIRSE LOS REQUISITOS DEL ARTÍCULO 2059 DEL CÓDIGO CIVIL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2032458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EN EL JUICIO EJECUTIVO MERCANTIL. LA EXCLUSIÓN DE CONCEPTOS DERIVADOS DEL TÍTULO DE CRÉDITO QUE NO FUERON RECLAMADOS COMO PRESTACIONES, NO CONFIGURA UN VENCIMIENTO PARCIAL.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2032557 · Fecha: viernes 28 de agosto de 2026 10:36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https://sjf2.scjn.gob.mx/detalle/tesis/2032557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COSA JUZGADA EN EL JUICIO DE AMPARO. CUANDO SE INVOLUCRAN DERECHOS DE NIÑAS, NIÑOS Y ADOLESCENTES, SU ACTUALIZACIÓN REQUIERE UN ANÁLISIS REFORZADO Y UNA CORRESPONDENCIA MATERIAL ENTRE LO PREVIAMENTE RESUELTO Y EL ACTO RECLAMADO.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2032371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https://sjf2.scjn.gob.mx/detalle/tesis/2032371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 INIMPUTABLE POR TRANSTORNO MENTAL. LA MEDIDA DE SEGURIDAD DE INTERNAMIENTO DEBE IMPONERSE CONFORME AL MODELO SOCIAL DE DISCAPACIDAD Y NO CON BASE EN LA PUNIBILIDAD DEL TIPO PENAL ATRIBUIDO.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2032335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PERSONAS INIMPUTABLES. ES IMPROCEDENTE CONDENARLAS AL PAGO DE LA REPARACIÓN DEL DAÑO, POR LO QUE EL ESTADO DEBE ASUMIRLO DE MANERA SUBSIDIARIA.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2032337 · Fecha: viernes 26 de junio de 2026 10:32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https://sjf2.scjn.gob.mx/detalle/tesis/2032337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PAGO DE INDEMNIZACIÓN POR DAÑOS PUNITIVOS. PROCEDE ANTE ACTOS DISCRIMINATORIOS OCASIONADOS POR EL USO DEL LENGUAJE BASADO EN ESTEREOTIPOS O PREJUICIOS POR RAZÓN DE GÉNERO, Y CONDUCTAS IRREGULARES E INJUSTIFICADAS DERIVADAS DE UN CONTRATO DE SEGURO.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2032390 · Fecha: viernes 03 de julio de 2026 10:10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https://sjf2.scjn.gob.mx/detalle/tesis/2032390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PREVISTO EN EL ARTÍCULO 170 DE LA LEY NACIONAL DEL SISTEMA INTEGRAL DE JUSTICIA PENAL PARA ADOLESCENTES. PROCEDE CONTRA EL AUTO QUE INADMITE LA APELACIÓN, Y EN OBSERVANCIA AL PRINCIPIO DE DEFINITIVIDAD, DEBE AGOTARSE PREVIO A PROMOVER EL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2032469 · Fecha: viernes 07 de agosto de 2026 10:15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https://sjf2.scjn.gob.mx/detalle/tesis/2032469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