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(9)</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Procedencia del amparo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w:t>
      </w:r>
    </w:p>
    <w:p>
      <w:pPr>
        <w:ind w:left="794"/>
      </w:pPr>
      <w:r>
        <w:rPr>
          <w:color w:val="555555"/>
          <w:sz w:val="20"/>
        </w:rPr>
        <w:t xml:space="preserve">      › Perspectiva de género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(9)</w:t>
      </w:r>
    </w:p>
    <w:p>
      <w:pPr>
        <w:ind w:left="794"/>
      </w:pPr>
      <w:r>
        <w:rPr>
          <w:color w:val="555555"/>
          <w:sz w:val="20"/>
        </w:rPr>
        <w:t xml:space="preserve">      › Cadena de custodia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[2]</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(11)</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[7]</w:t>
      </w:r>
    </w:p>
    <w:p>
      <w:pPr>
        <w:ind w:left="794"/>
      </w:pPr>
      <w:r>
        <w:rPr>
          <w:color w:val="555555"/>
          <w:sz w:val="20"/>
        </w:rPr>
        <w:t xml:space="preserve">      › Responsabilidad administrativa de servidores públicos</w:t>
      </w:r>
      <w:r>
        <w:rPr>
          <w:color w:val="555555"/>
          <w:sz w:val="18"/>
        </w:rPr>
        <w:t xml:space="preserve">  [3]</w:t>
      </w:r>
    </w:p>
    <w:p>
      <w:pPr>
        <w:ind w:left="340"/>
      </w:pPr>
      <w:r>
        <w:rPr>
          <w:b/>
          <w:sz w:val="22"/>
        </w:rPr>
        <w:t xml:space="preserve">   · Amparo</w:t>
      </w:r>
      <w:r>
        <w:rPr>
          <w:color w:val="555555"/>
          <w:sz w:val="20"/>
        </w:rPr>
        <w:t xml:space="preserve">  (5)</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[4]</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[5]</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(17)</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Medio ambiente sano</w:t>
      </w:r>
      <w:r>
        <w:rPr>
          <w:color w:val="555555"/>
          <w:sz w:val="18"/>
        </w:rPr>
        <w:t xml:space="preserve">  [2]</w:t>
      </w:r>
    </w:p>
    <w:p>
      <w:pPr>
        <w:ind w:left="794"/>
      </w:pPr>
      <w:r>
        <w:rPr>
          <w:color w:val="555555"/>
          <w:sz w:val="20"/>
        </w:rPr>
        <w:t xml:space="preserve">      › Perspectiva de género</w:t>
      </w:r>
      <w:r>
        <w:rPr>
          <w:color w:val="555555"/>
          <w:sz w:val="18"/>
        </w:rPr>
        <w:t xml:space="preserve">  [12]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(7)</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[4]</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(11)</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[6]</w:t>
      </w:r>
    </w:p>
    <w:p/>
    <w:p/>
    <w:p>
      <w:pPr>
        <w:jc w:val="center"/>
      </w:pPr>
      <w:r>
        <w:rPr>
          <w:i/>
          <w:color w:val="555555"/>
          <w:sz w:val="22"/>
        </w:rPr>
        <w:t>Total de entradas: 152</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