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44"/>
          <w:szCs w:val="44"/>
        </w:rPr>
      </w:pPr>
      <w:r w:rsidDel="00000000" w:rsidR="00000000" w:rsidRPr="00000000">
        <w:rPr>
          <w:b w:val="1"/>
          <w:bCs w:val="1"/>
          <w:sz w:val="44"/>
          <w:szCs w:val="44"/>
          <w:rtl w:val="0"/>
        </w:rPr>
        <w:t xml:space="preserve">Proposed Hybrid </w:t>
      </w:r>
    </w:p>
    <w:p w:rsidR="00000000" w:rsidDel="00000000" w:rsidP="00000000" w:rsidRDefault="00000000" w:rsidRPr="00000000" w14:paraId="00000002">
      <w:pPr>
        <w:spacing w:after="120" w:before="0" w:lineRule="auto"/>
        <w:jc w:val="center"/>
        <w:rPr>
          <w:b w:val="1"/>
          <w:bCs w:val="1"/>
          <w:sz w:val="44"/>
          <w:szCs w:val="44"/>
        </w:rPr>
      </w:pPr>
      <w:r w:rsidDel="00000000" w:rsidR="00000000" w:rsidRPr="00000000">
        <w:rPr>
          <w:b w:val="1"/>
          <w:bCs w:val="1"/>
          <w:sz w:val="44"/>
          <w:szCs w:val="44"/>
          <w:rtl w:val="0"/>
        </w:rPr>
        <w:t xml:space="preserve">MoveVM </w:t>
      </w:r>
    </w:p>
    <w:p w:rsidR="00000000" w:rsidDel="00000000" w:rsidP="00000000" w:rsidRDefault="00000000" w:rsidRPr="00000000" w14:paraId="00000003">
      <w:pPr>
        <w:spacing w:after="120" w:before="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4">
      <w:pPr>
        <w:spacing w:after="120" w:before="0" w:lineRule="auto"/>
        <w:jc w:val="center"/>
        <w:rPr/>
      </w:pPr>
      <w:r w:rsidDel="00000000" w:rsidR="00000000" w:rsidRPr="00000000">
        <w:rPr>
          <w:b w:val="1"/>
          <w:bCs w:val="1"/>
          <w:sz w:val="44"/>
          <w:szCs w:val="44"/>
          <w:rtl w:val="0"/>
        </w:rPr>
        <w:t xml:space="preserve">EVM Architecture</w:t>
      </w:r>
      <w:r w:rsidDel="00000000" w:rsidR="00000000" w:rsidRPr="00000000">
        <w:rPr>
          <w:rtl w:val="0"/>
        </w:rPr>
      </w:r>
    </w:p>
    <w:p w:rsidR="00000000" w:rsidDel="00000000" w:rsidP="00000000" w:rsidRDefault="00000000" w:rsidRPr="00000000" w14:paraId="00000005">
      <w:pPr>
        <w:spacing w:after="480" w:before="0" w:lineRule="auto"/>
        <w:jc w:val="center"/>
        <w:rPr>
          <w:i w:val="1"/>
          <w:iCs w:val="1"/>
          <w:sz w:val="28"/>
          <w:szCs w:val="28"/>
        </w:rPr>
      </w:pPr>
      <w:r w:rsidDel="00000000" w:rsidR="00000000" w:rsidRPr="00000000">
        <w:rPr>
          <w:i w:val="1"/>
          <w:iCs w:val="1"/>
          <w:sz w:val="28"/>
          <w:szCs w:val="28"/>
          <w:rtl w:val="0"/>
        </w:rPr>
        <w:t xml:space="preserve">Decentralized Identity on a DAG-Ordered Chain</w:t>
      </w:r>
    </w:p>
    <w:p w:rsidR="00000000" w:rsidDel="00000000" w:rsidP="00000000" w:rsidRDefault="00000000" w:rsidRPr="00000000" w14:paraId="00000006">
      <w:pPr>
        <w:spacing w:after="160" w:before="0" w:line="300" w:lineRule="auto"/>
        <w:rPr/>
      </w:pPr>
      <w:r w:rsidDel="00000000" w:rsidR="00000000" w:rsidRPr="00000000">
        <w:rPr>
          <w:rtl w:val="0"/>
        </w:rPr>
        <w:t xml:space="preserve">This document describes an architecture that combines two execution environments on a single DAG-ordered blockchain: an Ethereum Virtual Machine that serves as the general-purpose application surface, and a Move Virtual Machine reserved for decentralized identity. The two environments are not peers. EVM carries the broad application traffic and is writable by anyone who can pay for a transaction. MoveVM has a narrower purpose and a narrower permission model: only a designated committee of nodes may write to it, though its state is visible to every participant in the network and to external observers who never join the chain at all.</w:t>
      </w:r>
    </w:p>
    <w:p w:rsidR="00000000" w:rsidDel="00000000" w:rsidP="00000000" w:rsidRDefault="00000000" w:rsidRPr="00000000" w14:paraId="00000007">
      <w:pPr>
        <w:spacing w:after="160" w:before="0" w:line="300" w:lineRule="auto"/>
        <w:rPr/>
      </w:pPr>
      <w:r w:rsidDel="00000000" w:rsidR="00000000" w:rsidRPr="00000000">
        <w:rPr>
          <w:rtl w:val="0"/>
        </w:rPr>
        <w:t xml:space="preserve">The design emerged from a specific set of requirements. Identity is long-lived, schema-sensitive, and subject to governance that does not belong in an open permissionless transaction pool. At the same time, identity needs to be universally readable, cryptographically verifiable without trusting an intermediary, and usable from within EVM smart contracts as first-class state. Most existing designs optimize for one of these properties at the expense of the others. The architecture below holds all of them simultaneously by separating write authority from read availability, and by decoupling both from the underlying consensus that orders the network's transactions.</w:t>
      </w:r>
    </w:p>
    <w:p w:rsidR="00000000" w:rsidDel="00000000" w:rsidP="00000000" w:rsidRDefault="00000000" w:rsidRPr="00000000" w14:paraId="00000008">
      <w:pPr>
        <w:pBdr>
          <w:bottom w:color="888888" w:space="6" w:sz="6" w:val="single"/>
        </w:pBdr>
        <w:spacing w:after="240" w:before="240" w:lineRule="auto"/>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Arial" w:cs="Arial" w:eastAsia="Arial" w:hAnsi="Arial"/>
          <w:b w:val="1"/>
          <w:bCs w:val="1"/>
          <w:rtl w:val="0"/>
        </w:rPr>
        <w:t xml:space="preserve">The Split Topology</w:t>
      </w:r>
      <w:r w:rsidDel="00000000" w:rsidR="00000000" w:rsidRPr="00000000">
        <w:rPr>
          <w:rtl w:val="0"/>
        </w:rPr>
      </w:r>
    </w:p>
    <w:p w:rsidR="00000000" w:rsidDel="00000000" w:rsidP="00000000" w:rsidRDefault="00000000" w:rsidRPr="00000000" w14:paraId="0000000A">
      <w:pPr>
        <w:spacing w:after="160" w:before="0" w:line="300" w:lineRule="auto"/>
        <w:rPr/>
      </w:pPr>
      <w:r w:rsidDel="00000000" w:rsidR="00000000" w:rsidRPr="00000000">
        <w:rPr>
          <w:rtl w:val="0"/>
        </w:rPr>
        <w:t xml:space="preserve">The network is composed of two node roles, distinguished not by how much they stake or how they participate in consensus, but by what they are authorized to do with the Move state machine. Both roles run the full DAG consensus protocol, both execute EVM transactions identically, and both hold the same view of the EVM state tree. The asymmetry begins and ends at MoveVM.</w:t>
      </w:r>
    </w:p>
    <w:p w:rsidR="00000000" w:rsidDel="00000000" w:rsidP="00000000" w:rsidRDefault="00000000" w:rsidRPr="00000000" w14:paraId="0000000B">
      <w:pPr>
        <w:spacing w:after="160" w:before="0" w:line="300" w:lineRule="auto"/>
        <w:rPr/>
      </w:pPr>
      <w:r w:rsidDel="00000000" w:rsidR="00000000" w:rsidRPr="00000000">
        <w:rPr>
          <w:b w:val="1"/>
          <w:bCs w:val="1"/>
          <w:rtl w:val="0"/>
        </w:rPr>
        <w:t xml:space="preserve">POA-nodes</w:t>
      </w:r>
      <w:r w:rsidDel="00000000" w:rsidR="00000000" w:rsidRPr="00000000">
        <w:rPr>
          <w:rtl w:val="0"/>
        </w:rPr>
        <w:t xml:space="preserve"> — roughly thirty nodes at the low end of the expected operational range — are the Move writers. They run MoveVM, they execute Move transactions from the ordered DAG stream, and they maintain the full Move authenticated state tree. After each epoch of Move execution they produce a signed attestation over the resulting state root, which is the primary mechanism by which the rest of the network learns that Move state has advanced and can be trusted. The POA designation reflects that these nodes derive their authority from being admitted to a governed committee, not from staking economic capital against the network's consensus.</w:t>
      </w:r>
    </w:p>
    <w:p w:rsidR="00000000" w:rsidDel="00000000" w:rsidP="00000000" w:rsidRDefault="00000000" w:rsidRPr="00000000" w14:paraId="0000000C">
      <w:pPr>
        <w:spacing w:after="160" w:before="0" w:line="300" w:lineRule="auto"/>
        <w:rPr/>
      </w:pPr>
      <w:r w:rsidDel="00000000" w:rsidR="00000000" w:rsidRPr="00000000">
        <w:rPr>
          <w:b w:val="1"/>
          <w:bCs w:val="1"/>
          <w:rtl w:val="0"/>
        </w:rPr>
        <w:t xml:space="preserve">POS-nodes</w:t>
      </w:r>
      <w:r w:rsidDel="00000000" w:rsidR="00000000" w:rsidRPr="00000000">
        <w:rPr>
          <w:rtl w:val="0"/>
        </w:rPr>
        <w:t xml:space="preserve"> form the larger population. They do not run MoveVM. Instead, they receive Move state deltas from the POA-nodes, apply those deltas to a local copy of the state tree, and verify the recomputed root against the signatures the POA-committee has produced. A POS-node that finds its recomputed root disagrees with the signed attestation has detected a committee equivocation and can refuse to serve further reads until the inconsistency is resolved. For all routine purposes, however, POS-nodes serve as the read surface of the Move subsystem: any client, contract, or external verifier that needs DID state can ask any POS-node and receive a Merkle proof rooted in a signed state root.</w:t>
      </w:r>
    </w:p>
    <w:p w:rsidR="00000000" w:rsidDel="00000000" w:rsidP="00000000" w:rsidRDefault="00000000" w:rsidRPr="00000000" w14:paraId="0000000D">
      <w:pPr>
        <w:spacing w:after="160" w:before="0" w:line="300" w:lineRule="auto"/>
        <w:rPr/>
      </w:pPr>
      <w:r w:rsidDel="00000000" w:rsidR="00000000" w:rsidRPr="00000000">
        <w:rPr>
          <w:rtl w:val="0"/>
        </w:rPr>
        <w:t xml:space="preserve">The critical observation is that this split does not require any modification to the DAG. Every node, regardless of role, participates in consensus over EVM transactions exactly as it would in an EVM-only network. The DAG orders Move transactions alongside EVM transactions indifferently. What differs is only what happens after ordering: POA-nodes execute Move, POS-nodes consume the results. The consensus protocol remains the single source of truth about transaction ordering for both virtual machines. Neither virtual machine depends on a separate consensus among its writers for ordering or execution, though the POA-committee does run a coordination protocol among itself to produce signed state-root attestations — a mechanism that does not affect the DAG or the execution of Move transactions, but that is essential to how Move state becomes trustable to the rest of the network.</w:t>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rtl w:val="0"/>
        </w:rPr>
        <w:t xml:space="preserve">Enforcing the Split at the Transaction Level</w:t>
      </w:r>
      <w:r w:rsidDel="00000000" w:rsidR="00000000" w:rsidRPr="00000000">
        <w:rPr>
          <w:rtl w:val="0"/>
        </w:rPr>
      </w:r>
    </w:p>
    <w:p w:rsidR="00000000" w:rsidDel="00000000" w:rsidP="00000000" w:rsidRDefault="00000000" w:rsidRPr="00000000" w14:paraId="0000000F">
      <w:pPr>
        <w:spacing w:after="160" w:before="0" w:line="300" w:lineRule="auto"/>
        <w:rPr/>
      </w:pPr>
      <w:r w:rsidDel="00000000" w:rsidR="00000000" w:rsidRPr="00000000">
        <w:rPr>
          <w:rtl w:val="0"/>
        </w:rPr>
        <w:t xml:space="preserve">Writer permissioning is enforced not at the consensus layer but at the transaction validity layer, and the distinction matters. A naive design might try to restrict who can propose Move transactions by restricting who can participate in the DAG mempool. That approach conflates two separable concerns and creates an attack surface whenever a node is added or removed from the writer set. The cleaner construction is to let anyone propose anything, and to reject unauthorized Move transactions deterministically during execution.</w:t>
      </w:r>
    </w:p>
    <w:p w:rsidR="00000000" w:rsidDel="00000000" w:rsidP="00000000" w:rsidRDefault="00000000" w:rsidRPr="00000000" w14:paraId="00000010">
      <w:pPr>
        <w:spacing w:after="160" w:before="0" w:line="300" w:lineRule="auto"/>
        <w:rPr/>
      </w:pPr>
      <w:r w:rsidDel="00000000" w:rsidR="00000000" w:rsidRPr="00000000">
        <w:rPr>
          <w:rtl w:val="0"/>
        </w:rPr>
        <w:t xml:space="preserve">The mechanism works in two layers. At the mempool level, DAG workers perform a soft check: Move transactions whose senders are not in the writer registry are rejected at ingestion, keeping obviously-invalid traffic out of the DAG. This is a performance optimization, not a security boundary. The security boundary is the post-ordering validity check that every node performs, writer or not. When the ordered stream emerges from the DAG, each node deterministically verifies that each Move transaction's sender appears in the writer registry before handing the transaction to MoveVM. A transaction that fails the check becomes a no-op, consuming its position in the order but producing no state change. Because every node applies the same deterministic rule, no byzantine mempool worker can cause unauthorized Move state changes, and no honest node needs to trust any other node's view of writer-set membership.</w:t>
      </w:r>
    </w:p>
    <w:p w:rsidR="00000000" w:rsidDel="00000000" w:rsidP="00000000" w:rsidRDefault="00000000" w:rsidRPr="00000000" w14:paraId="00000011">
      <w:pPr>
        <w:spacing w:after="160" w:before="0" w:line="300" w:lineRule="auto"/>
        <w:rPr/>
      </w:pPr>
      <w:r w:rsidDel="00000000" w:rsidR="00000000" w:rsidRPr="00000000">
        <w:rPr>
          <w:rtl w:val="0"/>
        </w:rPr>
        <w:t xml:space="preserve">The writer registry itself lives on the EVM side, as a governance contract that all nodes consult when validating Move transactions. This placement has the pleasant property that the committee governing the writer set uses the same governance surface as the rest of the protocol's parameters — there is no second-class governance track for the identity subsystem. The Move side need not know about governance at all; it simply trusts whatever writer list the EVM registry publishes at the current block height. The full execution model for each node reduces to a short loop:</w:t>
      </w:r>
    </w:p>
    <w:p w:rsidR="00000000" w:rsidDel="00000000" w:rsidP="00000000" w:rsidRDefault="00000000" w:rsidRPr="00000000" w14:paraId="00000012">
      <w:pPr>
        <w:shd w:fill="f4f4f4" w:val="clear"/>
        <w:spacing w:after="0" w:before="120" w:line="261.99999999999994" w:lineRule="auto"/>
        <w:rPr/>
      </w:pPr>
      <w:r w:rsidDel="00000000" w:rsidR="00000000" w:rsidRPr="00000000">
        <w:rPr>
          <w:rFonts w:ascii="Consolas" w:cs="Consolas" w:eastAsia="Consolas" w:hAnsi="Consolas"/>
          <w:sz w:val="18"/>
          <w:szCs w:val="18"/>
          <w:rtl w:val="0"/>
        </w:rPr>
        <w:t xml:space="preserve">ordered_txs = dag.output()</w:t>
      </w:r>
      <w:r w:rsidDel="00000000" w:rsidR="00000000" w:rsidRPr="00000000">
        <w:rPr>
          <w:rtl w:val="0"/>
        </w:rPr>
      </w:r>
    </w:p>
    <w:p w:rsidR="00000000" w:rsidDel="00000000" w:rsidP="00000000" w:rsidRDefault="00000000" w:rsidRPr="00000000" w14:paraId="00000013">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for tx in ordered_txs:</w:t>
      </w:r>
      <w:r w:rsidDel="00000000" w:rsidR="00000000" w:rsidRPr="00000000">
        <w:rPr>
          <w:rtl w:val="0"/>
        </w:rPr>
      </w:r>
    </w:p>
    <w:p w:rsidR="00000000" w:rsidDel="00000000" w:rsidP="00000000" w:rsidRDefault="00000000" w:rsidRPr="00000000" w14:paraId="00000014">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if tx.kind == EVM:</w:t>
      </w:r>
      <w:r w:rsidDel="00000000" w:rsidR="00000000" w:rsidRPr="00000000">
        <w:rPr>
          <w:rtl w:val="0"/>
        </w:rPr>
      </w:r>
    </w:p>
    <w:p w:rsidR="00000000" w:rsidDel="00000000" w:rsidP="00000000" w:rsidRDefault="00000000" w:rsidRPr="00000000" w14:paraId="00000015">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evm.execute(tx)</w:t>
      </w:r>
      <w:r w:rsidDel="00000000" w:rsidR="00000000" w:rsidRPr="00000000">
        <w:rPr>
          <w:rtl w:val="0"/>
        </w:rPr>
      </w:r>
    </w:p>
    <w:p w:rsidR="00000000" w:rsidDel="00000000" w:rsidP="00000000" w:rsidRDefault="00000000" w:rsidRPr="00000000" w14:paraId="00000016">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elif tx.kind == MOVE:</w:t>
      </w:r>
      <w:r w:rsidDel="00000000" w:rsidR="00000000" w:rsidRPr="00000000">
        <w:rPr>
          <w:rtl w:val="0"/>
        </w:rPr>
      </w:r>
    </w:p>
    <w:p w:rsidR="00000000" w:rsidDel="00000000" w:rsidP="00000000" w:rsidRDefault="00000000" w:rsidRPr="00000000" w14:paraId="00000017">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if not writers.contains(tx.sender):</w:t>
      </w:r>
      <w:r w:rsidDel="00000000" w:rsidR="00000000" w:rsidRPr="00000000">
        <w:rPr>
          <w:rtl w:val="0"/>
        </w:rPr>
      </w:r>
    </w:p>
    <w:p w:rsidR="00000000" w:rsidDel="00000000" w:rsidP="00000000" w:rsidRDefault="00000000" w:rsidRPr="00000000" w14:paraId="00000018">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continue  # deterministic no-op</w:t>
      </w:r>
      <w:r w:rsidDel="00000000" w:rsidR="00000000" w:rsidRPr="00000000">
        <w:rPr>
          <w:rtl w:val="0"/>
        </w:rPr>
      </w:r>
    </w:p>
    <w:p w:rsidR="00000000" w:rsidDel="00000000" w:rsidP="00000000" w:rsidRDefault="00000000" w:rsidRPr="00000000" w14:paraId="00000019">
      <w:pPr>
        <w:shd w:fill="f4f4f4" w:val="clear"/>
        <w:spacing w:after="200" w:before="0" w:line="261.99999999999994" w:lineRule="auto"/>
        <w:rPr/>
      </w:pPr>
      <w:r w:rsidDel="00000000" w:rsidR="00000000" w:rsidRPr="00000000">
        <w:rPr>
          <w:rFonts w:ascii="Consolas" w:cs="Consolas" w:eastAsia="Consolas" w:hAnsi="Consolas"/>
          <w:sz w:val="18"/>
          <w:szCs w:val="18"/>
          <w:rtl w:val="0"/>
        </w:rPr>
        <w:t xml:space="preserve">        move_vm.execute(tx)</w:t>
      </w:r>
      <w:r w:rsidDel="00000000" w:rsidR="00000000" w:rsidRPr="00000000">
        <w:rPr>
          <w:rtl w:val="0"/>
        </w:rPr>
      </w:r>
    </w:p>
    <w:p w:rsidR="00000000" w:rsidDel="00000000" w:rsidP="00000000" w:rsidRDefault="00000000" w:rsidRPr="00000000" w14:paraId="0000001A">
      <w:pPr>
        <w:spacing w:after="160" w:before="0" w:line="300" w:lineRule="auto"/>
        <w:rPr/>
      </w:pPr>
      <w:r w:rsidDel="00000000" w:rsidR="00000000" w:rsidRPr="00000000">
        <w:rPr>
          <w:rtl w:val="0"/>
        </w:rPr>
        <w:t xml:space="preserve">Each block commits two state roots — one for EVM, one for Move — into its header. The EVM root is maintained by every node in the usual way. The Move root is maintained only by POA-nodes during execution, but once it is signed and gossiped it becomes a verifiable anchor that every participant can check.</w:t>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rtl w:val="0"/>
        </w:rPr>
        <w:t xml:space="preserve">Why Move for Identity</w:t>
      </w:r>
      <w:r w:rsidDel="00000000" w:rsidR="00000000" w:rsidRPr="00000000">
        <w:rPr>
          <w:rtl w:val="0"/>
        </w:rPr>
      </w:r>
    </w:p>
    <w:p w:rsidR="00000000" w:rsidDel="00000000" w:rsidP="00000000" w:rsidRDefault="00000000" w:rsidRPr="00000000" w14:paraId="0000001C">
      <w:pPr>
        <w:spacing w:after="160" w:before="0" w:line="300" w:lineRule="auto"/>
        <w:rPr/>
      </w:pPr>
      <w:r w:rsidDel="00000000" w:rsidR="00000000" w:rsidRPr="00000000">
        <w:rPr>
          <w:rtl w:val="0"/>
        </w:rPr>
        <w:t xml:space="preserve">The choice of MoveVM rather than an EVM-hosted identity contract is not incidental. Identity has structural properties — singular ownership, typed state transitions, capability-scoped delegation — that the Move resource model was explicitly designed to express, and that the EVM storage model expresses only by convention.</w:t>
      </w:r>
    </w:p>
    <w:p w:rsidR="00000000" w:rsidDel="00000000" w:rsidP="00000000" w:rsidRDefault="00000000" w:rsidRPr="00000000" w14:paraId="0000001D">
      <w:pPr>
        <w:spacing w:after="160" w:before="0" w:line="300" w:lineRule="auto"/>
        <w:rPr/>
      </w:pPr>
      <w:r w:rsidDel="00000000" w:rsidR="00000000" w:rsidRPr="00000000">
        <w:rPr>
          <w:rtl w:val="0"/>
        </w:rPr>
        <w:t xml:space="preserve">In Move, a DID document is a </w:t>
      </w:r>
      <w:r w:rsidDel="00000000" w:rsidR="00000000" w:rsidRPr="00000000">
        <w:rPr>
          <w:rFonts w:ascii="Consolas" w:cs="Consolas" w:eastAsia="Consolas" w:hAnsi="Consolas"/>
          <w:rtl w:val="0"/>
        </w:rPr>
        <w:t xml:space="preserve">resource</w:t>
      </w:r>
      <w:r w:rsidDel="00000000" w:rsidR="00000000" w:rsidRPr="00000000">
        <w:rPr>
          <w:rtl w:val="0"/>
        </w:rPr>
        <w:t xml:space="preserve"> stored at the controller's address. Resources in Move cannot be copied, and they cannot be silently dropped; they can only be moved or explicitly destroyed by code that has the capability to do so. This gives the identity system a property that is surprisingly hard to achieve in Solidity: there is exactly one canonical DID document per controller, and the language itself enforces the invariant. Key rotations, controller transitions, and service endpoint updates become typed entry functions on a DID module, and MoveVM enforces their schemas at the execution layer rather than inside application logic. The </w:t>
      </w:r>
      <w:r w:rsidDel="00000000" w:rsidR="00000000" w:rsidRPr="00000000">
        <w:rPr>
          <w:rFonts w:ascii="Consolas" w:cs="Consolas" w:eastAsia="Consolas" w:hAnsi="Consolas"/>
          <w:rtl w:val="0"/>
        </w:rPr>
        <w:t xml:space="preserve">signer</w:t>
      </w:r>
      <w:r w:rsidDel="00000000" w:rsidR="00000000" w:rsidRPr="00000000">
        <w:rPr>
          <w:rtl w:val="0"/>
        </w:rPr>
        <w:t xml:space="preserve"> and capability patterns compose cleanly for delegation — a recovery key can be modeled as a capability authorized to rotate verification methods but not to replace the controller itself, and the language expresses this distinction directly rather than through access-control modifiers stitched onto arbitrary functions.</w:t>
      </w:r>
    </w:p>
    <w:p w:rsidR="00000000" w:rsidDel="00000000" w:rsidP="00000000" w:rsidRDefault="00000000" w:rsidRPr="00000000" w14:paraId="0000001E">
      <w:pPr>
        <w:spacing w:after="160" w:before="0" w:line="300" w:lineRule="auto"/>
        <w:rPr/>
      </w:pPr>
      <w:r w:rsidDel="00000000" w:rsidR="00000000" w:rsidRPr="00000000">
        <w:rPr>
          <w:rtl w:val="0"/>
        </w:rPr>
        <w:t xml:space="preserve">A minimal registry module illustrates the shape:</w:t>
      </w:r>
    </w:p>
    <w:p w:rsidR="00000000" w:rsidDel="00000000" w:rsidP="00000000" w:rsidRDefault="00000000" w:rsidRPr="00000000" w14:paraId="0000001F">
      <w:pPr>
        <w:shd w:fill="f4f4f4" w:val="clear"/>
        <w:spacing w:after="0" w:before="120" w:line="261.99999999999994" w:lineRule="auto"/>
        <w:rPr/>
      </w:pPr>
      <w:r w:rsidDel="00000000" w:rsidR="00000000" w:rsidRPr="00000000">
        <w:rPr>
          <w:rFonts w:ascii="Consolas" w:cs="Consolas" w:eastAsia="Consolas" w:hAnsi="Consolas"/>
          <w:sz w:val="18"/>
          <w:szCs w:val="18"/>
          <w:rtl w:val="0"/>
        </w:rPr>
        <w:t xml:space="preserve">module did::registry {</w:t>
      </w:r>
      <w:r w:rsidDel="00000000" w:rsidR="00000000" w:rsidRPr="00000000">
        <w:rPr>
          <w:rtl w:val="0"/>
        </w:rPr>
      </w:r>
    </w:p>
    <w:p w:rsidR="00000000" w:rsidDel="00000000" w:rsidP="00000000" w:rsidRDefault="00000000" w:rsidRPr="00000000" w14:paraId="00000020">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struct DIDDocument has key {</w:t>
      </w:r>
      <w:r w:rsidDel="00000000" w:rsidR="00000000" w:rsidRPr="00000000">
        <w:rPr>
          <w:rtl w:val="0"/>
        </w:rPr>
      </w:r>
    </w:p>
    <w:p w:rsidR="00000000" w:rsidDel="00000000" w:rsidP="00000000" w:rsidRDefault="00000000" w:rsidRPr="00000000" w14:paraId="00000021">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controller: address,</w:t>
      </w:r>
      <w:r w:rsidDel="00000000" w:rsidR="00000000" w:rsidRPr="00000000">
        <w:rPr>
          <w:rtl w:val="0"/>
        </w:rPr>
      </w:r>
    </w:p>
    <w:p w:rsidR="00000000" w:rsidDel="00000000" w:rsidP="00000000" w:rsidRDefault="00000000" w:rsidRPr="00000000" w14:paraId="00000022">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verification_methods: vector&lt;VerificationMethod&gt;,</w:t>
      </w:r>
      <w:r w:rsidDel="00000000" w:rsidR="00000000" w:rsidRPr="00000000">
        <w:rPr>
          <w:rtl w:val="0"/>
        </w:rPr>
      </w:r>
    </w:p>
    <w:p w:rsidR="00000000" w:rsidDel="00000000" w:rsidP="00000000" w:rsidRDefault="00000000" w:rsidRPr="00000000" w14:paraId="00000023">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services: vector&lt;Service&gt;,</w:t>
      </w:r>
      <w:r w:rsidDel="00000000" w:rsidR="00000000" w:rsidRPr="00000000">
        <w:rPr>
          <w:rtl w:val="0"/>
        </w:rPr>
      </w:r>
    </w:p>
    <w:p w:rsidR="00000000" w:rsidDel="00000000" w:rsidP="00000000" w:rsidRDefault="00000000" w:rsidRPr="00000000" w14:paraId="00000024">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version: u64,</w:t>
      </w:r>
      <w:r w:rsidDel="00000000" w:rsidR="00000000" w:rsidRPr="00000000">
        <w:rPr>
          <w:rtl w:val="0"/>
        </w:rPr>
      </w:r>
    </w:p>
    <w:p w:rsidR="00000000" w:rsidDel="00000000" w:rsidP="00000000" w:rsidRDefault="00000000" w:rsidRPr="00000000" w14:paraId="00000025">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updated_at: u64,</w:t>
      </w:r>
      <w:r w:rsidDel="00000000" w:rsidR="00000000" w:rsidRPr="00000000">
        <w:rPr>
          <w:rtl w:val="0"/>
        </w:rPr>
      </w:r>
    </w:p>
    <w:p w:rsidR="00000000" w:rsidDel="00000000" w:rsidP="00000000" w:rsidRDefault="00000000" w:rsidRPr="00000000" w14:paraId="00000026">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27">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public entry fun update_keys(ctrl: &amp;signer, ...)</w:t>
      </w:r>
      <w:r w:rsidDel="00000000" w:rsidR="00000000" w:rsidRPr="00000000">
        <w:rPr>
          <w:rtl w:val="0"/>
        </w:rPr>
      </w:r>
    </w:p>
    <w:p w:rsidR="00000000" w:rsidDel="00000000" w:rsidP="00000000" w:rsidRDefault="00000000" w:rsidRPr="00000000" w14:paraId="00000028">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public entry fun rotate_controller(cap: RotationCap, ...)</w:t>
      </w:r>
      <w:r w:rsidDel="00000000" w:rsidR="00000000" w:rsidRPr="00000000">
        <w:rPr>
          <w:rtl w:val="0"/>
        </w:rPr>
      </w:r>
    </w:p>
    <w:p w:rsidR="00000000" w:rsidDel="00000000" w:rsidP="00000000" w:rsidRDefault="00000000" w:rsidRPr="00000000" w14:paraId="00000029">
      <w:pPr>
        <w:shd w:fill="f4f4f4" w:val="clear"/>
        <w:spacing w:after="0" w:before="0" w:line="261.99999999999994" w:lineRule="auto"/>
        <w:rPr/>
      </w:pPr>
      <w:r w:rsidDel="00000000" w:rsidR="00000000" w:rsidRPr="00000000">
        <w:rPr>
          <w:rFonts w:ascii="Consolas" w:cs="Consolas" w:eastAsia="Consolas" w:hAnsi="Consolas"/>
          <w:sz w:val="18"/>
          <w:szCs w:val="18"/>
          <w:rtl w:val="0"/>
        </w:rPr>
        <w:t xml:space="preserve">    public entry fun revoke(ctrl: &amp;signer)</w:t>
      </w:r>
      <w:r w:rsidDel="00000000" w:rsidR="00000000" w:rsidRPr="00000000">
        <w:rPr>
          <w:rtl w:val="0"/>
        </w:rPr>
      </w:r>
    </w:p>
    <w:p w:rsidR="00000000" w:rsidDel="00000000" w:rsidP="00000000" w:rsidRDefault="00000000" w:rsidRPr="00000000" w14:paraId="0000002A">
      <w:pPr>
        <w:shd w:fill="f4f4f4" w:val="clear"/>
        <w:spacing w:after="200" w:before="0" w:line="261.99999999999994"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2B">
      <w:pPr>
        <w:spacing w:after="160" w:before="0" w:line="300" w:lineRule="auto"/>
        <w:rPr/>
      </w:pPr>
      <w:r w:rsidDel="00000000" w:rsidR="00000000" w:rsidRPr="00000000">
        <w:rPr>
          <w:rtl w:val="0"/>
        </w:rPr>
        <w:t xml:space="preserve">BCS serialization of these resources produces canonical byte layouts, which matters for the second reason to choose Move: verifiable reads across contexts. A DID document serialized as BCS can be Merkle-proven against the Move state root, and that proof is verifiable off-chain, on the EVM side of the same chain, or inside a smart contract on a different chain entirely. The verification logic never needs to reason about the VM that produced the bytes; it only needs to check the signature on the root and the inclusion proof under it.</w:t>
      </w:r>
    </w:p>
    <w:p w:rsidR="00000000" w:rsidDel="00000000" w:rsidP="00000000" w:rsidRDefault="00000000" w:rsidRPr="00000000" w14:paraId="0000002C">
      <w:pPr>
        <w:spacing w:after="160" w:before="0" w:line="300" w:lineRule="auto"/>
        <w:rPr/>
      </w:pPr>
      <w:r w:rsidDel="00000000" w:rsidR="00000000" w:rsidRPr="00000000">
        <w:rPr>
          <w:rtl w:val="0"/>
        </w:rPr>
        <w:t xml:space="preserve">An important conceptual property falls out of this design. There are two independent authority systems layered on top of each other, and they remain independent by construction. The POA-committee has VM-level authority: it decides which Move transactions execute, which state roots become canonical, and when the system advances. The DID controller has application-level authority: the controller's signature is required to modify their own DID document, and no member of the POA-committee can change that document without presenting a valid controller signature. A byzantine committee can censor a DID update, or halt the Move subsystem entirely, but it cannot forge an update, because MoveVM's signer checks are enforced during execution and every POS-node can see the same execution trace. This is the core trust story: the consortium operates the infrastructure but does not control the identities that live on it.</w:t>
      </w:r>
    </w:p>
    <w:p w:rsidR="00000000" w:rsidDel="00000000" w:rsidP="00000000" w:rsidRDefault="00000000" w:rsidRPr="00000000" w14:paraId="0000002D">
      <w:pPr>
        <w:pStyle w:val="Heading1"/>
        <w:rPr/>
      </w:pPr>
      <w:r w:rsidDel="00000000" w:rsidR="00000000" w:rsidRPr="00000000">
        <w:rPr>
          <w:rFonts w:ascii="Arial" w:cs="Arial" w:eastAsia="Arial" w:hAnsi="Arial"/>
          <w:b w:val="1"/>
          <w:bCs w:val="1"/>
          <w:rtl w:val="0"/>
        </w:rPr>
        <w:t xml:space="preserve">How State Moves and How It Stays Trustworthy</w:t>
      </w:r>
      <w:r w:rsidDel="00000000" w:rsidR="00000000" w:rsidRPr="00000000">
        <w:rPr>
          <w:rtl w:val="0"/>
        </w:rPr>
      </w:r>
    </w:p>
    <w:p w:rsidR="00000000" w:rsidDel="00000000" w:rsidP="00000000" w:rsidRDefault="00000000" w:rsidRPr="00000000" w14:paraId="0000002E">
      <w:pPr>
        <w:spacing w:after="160" w:before="0" w:line="300" w:lineRule="auto"/>
        <w:rPr/>
      </w:pPr>
      <w:r w:rsidDel="00000000" w:rsidR="00000000" w:rsidRPr="00000000">
        <w:rPr>
          <w:rtl w:val="0"/>
        </w:rPr>
        <w:t xml:space="preserve">Once a Move transaction has been ordered by the DAG and executed by the POA-committee, the network's task is to propagate the resulting state change to every node that cares about it — which, for DIDs, is essentially every node — and to do so in a way that each recipient can independently verify. The DAG itself handles most of the propagation. Any transaction that enters the DAG mempool is gossiped to every node before it is ordered, so the inputs to Move execution are already universally available. What remains is to propagate the outputs: the state deltas that Move execution produced, and the cryptographic commitment that makes those deltas trustworthy.</w:t>
      </w:r>
    </w:p>
    <w:p w:rsidR="00000000" w:rsidDel="00000000" w:rsidP="00000000" w:rsidRDefault="00000000" w:rsidRPr="00000000" w14:paraId="0000002F">
      <w:pPr>
        <w:spacing w:after="160" w:before="0" w:line="300" w:lineRule="auto"/>
        <w:rPr/>
      </w:pPr>
      <w:r w:rsidDel="00000000" w:rsidR="00000000" w:rsidRPr="00000000">
        <w:rPr>
          <w:rtl w:val="0"/>
        </w:rPr>
        <w:t xml:space="preserve">After each execution epoch the POA-committee collectively computes the new Move state root and signs it with a BLS aggregate signature. The aggregate has the convenient property of being constant-size regardless of how many committee members participated, which means that the overhead of attestation does not grow with committee size. The signature, together with the root and an epoch identifier, is gossiped to the rest of the network. Every POS-node applies the state deltas it has received, recomputes the root locally, and verifies that its root matches the one the committee has signed. A mismatch is evidence of either a software bug or committee equivocation, and either way the POS-node declines to serve reads from the divergent state until the matter is resolved.</w:t>
      </w:r>
    </w:p>
    <w:p w:rsidR="00000000" w:rsidDel="00000000" w:rsidP="00000000" w:rsidRDefault="00000000" w:rsidRPr="00000000" w14:paraId="00000030">
      <w:pPr>
        <w:spacing w:after="160" w:before="0" w:line="300" w:lineRule="auto"/>
        <w:rPr/>
      </w:pPr>
      <w:r w:rsidDel="00000000" w:rsidR="00000000" w:rsidRPr="00000000">
        <w:rPr>
          <w:rtl w:val="0"/>
        </w:rPr>
        <w:t xml:space="preserve">A natural question is how attestations themselves get into the chain, and here the design makes a deliberate choice. The simplest option is to embed each fresh Move root in the header of the next DAG block — a tight coupling that means every block carries the most recent Move state as a first-class consensus object. The alternative is to let attestations live out of band: the POA-committee gossips them independently, and DAG blocks merely reference whatever attestation was available at the time they were produced. The first option is simpler to reason about but couples DAG throughput to Move execution latency, which is undesirable given that Move transactions are a small minority of overall network traffic. The second option is what this architecture adopts. Move attestations arrive on their own cadence, typically every one to five seconds, and DAG blocks advance at their own pace regardless. Identity operations tolerate a few seconds of latency easily; general EVM throughput does not, and the decoupling preserves it.</w:t>
      </w:r>
    </w:p>
    <w:p w:rsidR="00000000" w:rsidDel="00000000" w:rsidP="00000000" w:rsidRDefault="00000000" w:rsidRPr="00000000" w14:paraId="00000031">
      <w:pPr>
        <w:pStyle w:val="Heading1"/>
        <w:rPr/>
      </w:pPr>
      <w:r w:rsidDel="00000000" w:rsidR="00000000" w:rsidRPr="00000000">
        <w:rPr>
          <w:rFonts w:ascii="Arial" w:cs="Arial" w:eastAsia="Arial" w:hAnsi="Arial"/>
          <w:b w:val="1"/>
          <w:bCs w:val="1"/>
          <w:rtl w:val="0"/>
        </w:rPr>
        <w:t xml:space="preserve">Reading Identity from Outside the Chain</w:t>
      </w:r>
      <w:r w:rsidDel="00000000" w:rsidR="00000000" w:rsidRPr="00000000">
        <w:rPr>
          <w:rtl w:val="0"/>
        </w:rPr>
      </w:r>
    </w:p>
    <w:p w:rsidR="00000000" w:rsidDel="00000000" w:rsidP="00000000" w:rsidRDefault="00000000" w:rsidRPr="00000000" w14:paraId="00000032">
      <w:pPr>
        <w:spacing w:after="160" w:before="0" w:line="300" w:lineRule="auto"/>
        <w:rPr/>
      </w:pPr>
      <w:r w:rsidDel="00000000" w:rsidR="00000000" w:rsidRPr="00000000">
        <w:rPr>
          <w:rtl w:val="0"/>
        </w:rPr>
        <w:t xml:space="preserve">A DID system that can only be read from within its own chain is not a DID system in any useful sense. Identity's value lies in its portability: a credential issued under a DID must be verifiable by anyone the holder chooses to present it to, whether that verifier is a wallet, a web application, a government agency, a smart contract on a different chain, or a person looking at a URL in a browser. The architecture is structured so that all of these contexts verify DID state through the same primitive, and that primitive does not require the verifier to run a blockchain node of any kind.</w:t>
      </w:r>
    </w:p>
    <w:p w:rsidR="00000000" w:rsidDel="00000000" w:rsidP="00000000" w:rsidRDefault="00000000" w:rsidRPr="00000000" w14:paraId="00000033">
      <w:pPr>
        <w:spacing w:after="160" w:before="0" w:line="300" w:lineRule="auto"/>
        <w:rPr/>
      </w:pPr>
      <w:r w:rsidDel="00000000" w:rsidR="00000000" w:rsidRPr="00000000">
        <w:rPr>
          <w:rtl w:val="0"/>
        </w:rPr>
        <w:t xml:space="preserve">The portable artifact is a tuple that any POS-node will produce on request: the serialized DID document, a Merkle inclusion proof locating it in the Move state tree, the state root the proof is rooted in, the epoch identifier for that root, and the POA-committee's aggregate signature over the root and epoch. The verifier's job is mechanical. It looks up the POA-committee's public keys for the given epoch — these are published on the EVM side and visible to anyone who can query the chain. It verifies the BLS signature against those keys. It walks the Merkle proof to confirm that the document bytes are indeed committed at the DID's storage path under the attested root. It parses the BCS bytes into a structured DID document. At no point in this sequence does the verifier need to know what MoveVM is, what DAG consensus is, or which node served the data. The trust anchor is a signature over a root, and everything else is pure cryptography.</w:t>
      </w:r>
    </w:p>
    <w:p w:rsidR="00000000" w:rsidDel="00000000" w:rsidP="00000000" w:rsidRDefault="00000000" w:rsidRPr="00000000" w14:paraId="00000034">
      <w:pPr>
        <w:spacing w:after="160" w:before="0" w:line="300" w:lineRule="auto"/>
        <w:rPr/>
      </w:pPr>
      <w:r w:rsidDel="00000000" w:rsidR="00000000" w:rsidRPr="00000000">
        <w:rPr>
          <w:rtl w:val="0"/>
        </w:rPr>
        <w:t xml:space="preserve">The same mechanism serves different consumers with minor adjustments in packaging. Off-chain software ships a small light-client library — a few thousand lines that wrap BLS and Merkle verification — and integrates with the standard W3C DID resolution stack, so universal resolvers and verifiable-credential libraries can consume these DIDs without any awareness of the underlying chain. Cross-chain verification works by deploying a verifier contract on the remote chain that holds the committee public keys and exposes a function to verify a DID proof against them; the committee or any relayer periodically posts new roots to this contract, and remote smart contracts can then condition their own logic on DID state with the same trust guarantees as local verification. Human users resolving a DID through a universal resolver see none of this; they just see the resolved document, and the resolver has done the light-client work on their behalf.</w:t>
      </w:r>
    </w:p>
    <w:p w:rsidR="00000000" w:rsidDel="00000000" w:rsidP="00000000" w:rsidRDefault="00000000" w:rsidRPr="00000000" w14:paraId="00000035">
      <w:pPr>
        <w:spacing w:after="160" w:before="0" w:line="300" w:lineRule="auto"/>
        <w:rPr/>
      </w:pPr>
      <w:r w:rsidDel="00000000" w:rsidR="00000000" w:rsidRPr="00000000">
        <w:rPr>
          <w:rtl w:val="0"/>
        </w:rPr>
        <w:t xml:space="preserve">The most common consumption pattern is not direct DID resolution but verifiable credential verification. A verifier receiving a VC does not usually need the full DID document — it needs to confirm that the key which signed the credential was authorized by the issuer's DID at the time of signing and has not been revoked since. This reduces to a single DID read with a recency requirement: the verifier fetches the issuer's current DID document with proof, checks that the signing key is present in an appropriate verification relationship, and enforces a freshness policy appropriate to the credential's stakes. A high-value financial credential might require an attestation no more than thirty seconds old; a low-stakes credential might accept an attestation an hour old. The chain's responsibility is to produce well-dated signed attestations; the verifier's responsibility is to decide what freshness means for its own use case.</w:t>
      </w:r>
    </w:p>
    <w:p w:rsidR="00000000" w:rsidDel="00000000" w:rsidP="00000000" w:rsidRDefault="00000000" w:rsidRPr="00000000" w14:paraId="00000036">
      <w:pPr>
        <w:pStyle w:val="Heading1"/>
        <w:rPr/>
      </w:pPr>
      <w:r w:rsidDel="00000000" w:rsidR="00000000" w:rsidRPr="00000000">
        <w:rPr>
          <w:rFonts w:ascii="Arial" w:cs="Arial" w:eastAsia="Arial" w:hAnsi="Arial"/>
          <w:b w:val="1"/>
          <w:bCs w:val="1"/>
          <w:rtl w:val="0"/>
        </w:rPr>
        <w:t xml:space="preserve">Binding Ethereum Accounts to DIDs</w:t>
      </w:r>
      <w:r w:rsidDel="00000000" w:rsidR="00000000" w:rsidRPr="00000000">
        <w:rPr>
          <w:rtl w:val="0"/>
        </w:rPr>
      </w:r>
    </w:p>
    <w:p w:rsidR="00000000" w:rsidDel="00000000" w:rsidP="00000000" w:rsidRDefault="00000000" w:rsidRPr="00000000" w14:paraId="00000037">
      <w:pPr>
        <w:spacing w:after="160" w:before="0" w:line="300" w:lineRule="auto"/>
        <w:rPr/>
      </w:pPr>
      <w:r w:rsidDel="00000000" w:rsidR="00000000" w:rsidRPr="00000000">
        <w:rPr>
          <w:rtl w:val="0"/>
        </w:rPr>
        <w:t xml:space="preserve">An identity system living alongside an EVM inevitably needs to answer a question the EVM cannot answer on its own: when a transaction arrives from a given Ethereum address, which identity — if any — does that address belong to? And when a DID needs to operate as an Ethereum account, how does it prove it controls the address it claims? These are two directions of the same binding, and they require different storage, different verification, and different governance.</w:t>
      </w:r>
    </w:p>
    <w:p w:rsidR="00000000" w:rsidDel="00000000" w:rsidP="00000000" w:rsidRDefault="00000000" w:rsidRPr="00000000" w14:paraId="00000038">
      <w:pPr>
        <w:spacing w:after="160" w:before="0" w:line="300" w:lineRule="auto"/>
        <w:rPr/>
      </w:pPr>
      <w:r w:rsidDel="00000000" w:rsidR="00000000" w:rsidRPr="00000000">
        <w:rPr>
          <w:rtl w:val="0"/>
        </w:rPr>
        <w:t xml:space="preserve">Establishing a binding requires proving that the party claiming the association actually holds both private keys. A unilateral claim from either side is not enough, because either side could claim anything about accounts it does not control. The protocol therefore requires bidirectional signatures at binding time. The DID controller signs a statement authorizing the Ethereum address, using one of the DID's existing verification method keys. The Ethereum account signs the symmetric statement using its secp256k1 key, and for reasons of user experience this signature is produced over an EIP-712 typed data payload rather than a raw byte string. EIP-712 lets wallets display the binding request in human-readable form, which matters both for user trust and for preventing signature reuse across unrelated contexts. A nonce and expiry in the typed data prevent replay.</w:t>
      </w:r>
    </w:p>
    <w:p w:rsidR="00000000" w:rsidDel="00000000" w:rsidP="00000000" w:rsidRDefault="00000000" w:rsidRPr="00000000" w14:paraId="00000039">
      <w:pPr>
        <w:spacing w:after="160" w:before="0" w:line="300" w:lineRule="auto"/>
        <w:rPr/>
      </w:pPr>
      <w:r w:rsidDel="00000000" w:rsidR="00000000" w:rsidRPr="00000000">
        <w:rPr>
          <w:rtl w:val="0"/>
        </w:rPr>
        <w:t xml:space="preserve">With proof of control in hand, the binding needs to be stored somewhere that makes it discoverable from both directions. The architecture stores it in both places, but designates one as canonical and the other as an index. The canonical location is the DID document itself, where the Ethereum account is recorded as a verification method of type secp256k1 with a CAIP-10 blockchain account identifier. This placement makes the binding visible to any DID resolver — W3C-compliant verifiers discover the Ethereum association as a natural side effect of resolving the DID, with no additional protocol machinery. The index is an EVM registry contract that maps Ethereum addresses to DIDs and supports the reverse lookup efficiently. The registry's bind function does not accept bindings on faith; it requires a fresh Merkle proof that the Ethereum account is in fact present in the DID document's verification methods, which it checks against the Move subsystem via the same proof-verification mechanism used for any other cross-VM DID read. The registry is therefore never authoritative; it is a cache of the DID document's state, kept consistent by proof-gated writes.</w:t>
      </w:r>
    </w:p>
    <w:p w:rsidR="00000000" w:rsidDel="00000000" w:rsidP="00000000" w:rsidRDefault="00000000" w:rsidRPr="00000000" w14:paraId="0000003A">
      <w:pPr>
        <w:spacing w:after="160" w:before="0" w:line="300" w:lineRule="auto"/>
        <w:rPr/>
      </w:pPr>
      <w:r w:rsidDel="00000000" w:rsidR="00000000" w:rsidRPr="00000000">
        <w:rPr>
          <w:rtl w:val="0"/>
        </w:rPr>
        <w:t xml:space="preserve">An important subtlety concerns what a bound Ethereum account is authorized to do. The W3C DID specification provides </w:t>
      </w:r>
      <w:r w:rsidDel="00000000" w:rsidR="00000000" w:rsidRPr="00000000">
        <w:rPr>
          <w:rFonts w:ascii="Consolas" w:cs="Consolas" w:eastAsia="Consolas" w:hAnsi="Consolas"/>
          <w:rtl w:val="0"/>
        </w:rPr>
        <w:t xml:space="preserve">verificationRelationship</w:t>
      </w:r>
      <w:r w:rsidDel="00000000" w:rsidR="00000000" w:rsidRPr="00000000">
        <w:rPr>
          <w:rtl w:val="0"/>
        </w:rPr>
        <w:t xml:space="preserve"> arrays — </w:t>
      </w:r>
      <w:r w:rsidDel="00000000" w:rsidR="00000000" w:rsidRPr="00000000">
        <w:rPr>
          <w:rFonts w:ascii="Consolas" w:cs="Consolas" w:eastAsia="Consolas" w:hAnsi="Consolas"/>
          <w:rtl w:val="0"/>
        </w:rPr>
        <w:t xml:space="preserve">authentication</w:t>
      </w:r>
      <w:r w:rsidDel="00000000" w:rsidR="00000000" w:rsidRPr="00000000">
        <w:rPr>
          <w:rtl w:val="0"/>
        </w:rPr>
        <w:t xml:space="preserve">, </w:t>
      </w:r>
      <w:r w:rsidDel="00000000" w:rsidR="00000000" w:rsidRPr="00000000">
        <w:rPr>
          <w:rFonts w:ascii="Consolas" w:cs="Consolas" w:eastAsia="Consolas" w:hAnsi="Consolas"/>
          <w:rtl w:val="0"/>
        </w:rPr>
        <w:t xml:space="preserve">assertionMethod</w:t>
      </w:r>
      <w:r w:rsidDel="00000000" w:rsidR="00000000" w:rsidRPr="00000000">
        <w:rPr>
          <w:rtl w:val="0"/>
        </w:rPr>
        <w:t xml:space="preserve">, </w:t>
      </w:r>
      <w:r w:rsidDel="00000000" w:rsidR="00000000" w:rsidRPr="00000000">
        <w:rPr>
          <w:rFonts w:ascii="Consolas" w:cs="Consolas" w:eastAsia="Consolas" w:hAnsi="Consolas"/>
          <w:rtl w:val="0"/>
        </w:rPr>
        <w:t xml:space="preserve">capabilityInvocation</w:t>
      </w:r>
      <w:r w:rsidDel="00000000" w:rsidR="00000000" w:rsidRPr="00000000">
        <w:rPr>
          <w:rtl w:val="0"/>
        </w:rPr>
        <w:t xml:space="preserve">, and others — that let the DID document express exactly which purposes a given key is authorized for. Most Ethereum account bindings should place the account in the authentication and possibly the assertionMethod arrays, enabling the account to prove its association with the DID and sign credentials on the DID's behalf. They should rarely place the Ethereum account in the controller set, because controller authority lets the key modify the DID document itself, and the security properties of an everyday Ethereum wallet generally do not match those required for root-of-trust control of an identity. This granularity is expressed in the DID document and enforced at verification time; the chain does not need to know about it.</w:t>
      </w:r>
    </w:p>
    <w:p w:rsidR="00000000" w:rsidDel="00000000" w:rsidP="00000000" w:rsidRDefault="00000000" w:rsidRPr="00000000" w14:paraId="0000003B">
      <w:pPr>
        <w:spacing w:after="160" w:before="0" w:line="300" w:lineRule="auto"/>
        <w:rPr/>
      </w:pPr>
      <w:r w:rsidDel="00000000" w:rsidR="00000000" w:rsidRPr="00000000">
        <w:rPr>
          <w:rtl w:val="0"/>
        </w:rPr>
        <w:t xml:space="preserve">Revocation of a binding is structurally asymmetric. If the DID controller wants to sever the association — perhaps because the Ethereum key was compromised — the controller simply removes the verification method from the DID document, and the EVM registry updates on proof of removal. No Ethereum signature is needed because the DID document is the authority. The reverse case, in which the DID controller key is compromised, is harder: the compromised controller can do anything a legitimate controller can do, including binding new Ethereum accounts or revoking old ones. This is fundamentally a DID-design problem rather than a binding problem, and it is addressed through standard identity recovery mechanisms — social recovery, timelocked controller rotation, multi-key controller schemes — that the Move registry module is written to support.</w:t>
      </w:r>
    </w:p>
    <w:p w:rsidR="00000000" w:rsidDel="00000000" w:rsidP="00000000" w:rsidRDefault="00000000" w:rsidRPr="00000000" w14:paraId="0000003C">
      <w:pPr>
        <w:pStyle w:val="Heading1"/>
        <w:rPr/>
      </w:pPr>
      <w:r w:rsidDel="00000000" w:rsidR="00000000" w:rsidRPr="00000000">
        <w:rPr>
          <w:rFonts w:ascii="Arial" w:cs="Arial" w:eastAsia="Arial" w:hAnsi="Arial"/>
          <w:b w:val="1"/>
          <w:bCs w:val="1"/>
          <w:rtl w:val="0"/>
        </w:rPr>
        <w:t xml:space="preserve">What This Costs to Operate</w:t>
      </w:r>
      <w:r w:rsidDel="00000000" w:rsidR="00000000" w:rsidRPr="00000000">
        <w:rPr>
          <w:rtl w:val="0"/>
        </w:rPr>
      </w:r>
    </w:p>
    <w:p w:rsidR="00000000" w:rsidDel="00000000" w:rsidP="00000000" w:rsidRDefault="00000000" w:rsidRPr="00000000" w14:paraId="0000003D">
      <w:pPr>
        <w:spacing w:after="160" w:before="0" w:line="300" w:lineRule="auto"/>
        <w:rPr/>
      </w:pPr>
      <w:r w:rsidDel="00000000" w:rsidR="00000000" w:rsidRPr="00000000">
        <w:rPr>
          <w:rtl w:val="0"/>
        </w:rPr>
        <w:t xml:space="preserve">An architecture that sounds good on paper is only good in practice if its operational demands match what node operators can realistically provide. For this system the honest summary is that bandwidth is essentially free, CPU is modest, and storage is manageable — with one real concern that requires design attention from day one.</w:t>
      </w:r>
    </w:p>
    <w:p w:rsidR="00000000" w:rsidDel="00000000" w:rsidP="00000000" w:rsidRDefault="00000000" w:rsidRPr="00000000" w14:paraId="0000003E">
      <w:pPr>
        <w:spacing w:after="160" w:before="0" w:line="300" w:lineRule="auto"/>
        <w:rPr/>
      </w:pPr>
      <w:r w:rsidDel="00000000" w:rsidR="00000000" w:rsidRPr="00000000">
        <w:rPr>
          <w:rtl w:val="0"/>
        </w:rPr>
        <w:t xml:space="preserve">Bandwidth overhead from the Move subsystem is dominated by transaction propagation and state delta distribution. At a steady-state assumption of ten DID operations per second across the entire network — which is a substantial amount of identity churn for any realistic consortium — transactions add roughly ten kilobytes per second, state deltas add roughly another ten, and attestations contribute a constant overhead of a few hundred bytes per block. The total, on the order of twenty to twenty-five kilobytes per second, is invisible on any validator-class network link and is dominated by several orders of magnitude by the DAG gossip for EVM traffic. Bursty events — a consortium onboarding a hundred thousand identities in a single day — push the peak to around ten megabytes per second for a few hours, still comfortably within normal operational envelopes.</w:t>
      </w:r>
    </w:p>
    <w:p w:rsidR="00000000" w:rsidDel="00000000" w:rsidP="00000000" w:rsidRDefault="00000000" w:rsidRPr="00000000" w14:paraId="0000003F">
      <w:pPr>
        <w:spacing w:after="160" w:before="0" w:line="300" w:lineRule="auto"/>
        <w:rPr/>
      </w:pPr>
      <w:r w:rsidDel="00000000" w:rsidR="00000000" w:rsidRPr="00000000">
        <w:rPr>
          <w:rtl w:val="0"/>
        </w:rPr>
        <w:t xml:space="preserve">CPU follows the asymmetric topology in the obvious way. POA-nodes run MoveVM on every Move transaction and participate in BLS signing rounds at each attestation epoch, which together fit comfortably on a single dedicated core at the throughput targets above. POS-nodes perform only BLS signature verification and Merkle root checks, both essentially instantaneous. The committee's BLS signing round latency at thirty members is on the order of a hundred milliseconds under a well-designed signing protocol — a number we return to below when examining alternatives.</w:t>
      </w:r>
    </w:p>
    <w:p w:rsidR="00000000" w:rsidDel="00000000" w:rsidP="00000000" w:rsidRDefault="00000000" w:rsidRPr="00000000" w14:paraId="00000040">
      <w:pPr>
        <w:spacing w:after="160" w:before="0" w:line="300" w:lineRule="auto"/>
        <w:rPr/>
      </w:pPr>
      <w:r w:rsidDel="00000000" w:rsidR="00000000" w:rsidRPr="00000000">
        <w:rPr>
          <w:rtl w:val="0"/>
        </w:rPr>
        <w:t xml:space="preserve">Storage is where the design needs to be deliberate. DID documents are small, and the current-state storage footprint grows predictably: at a million DIDs and two kilobytes each, with a threefold overhead for the authenticated tree structure, we are at six gigabytes. Ten million DIDs brings us to sixty; a hundred million to six hundred. None of these numbers stress modern node hardware, and the current-state growth curve is not a meaningful operational pressure. The concern is historical state.</w:t>
      </w:r>
    </w:p>
    <w:p w:rsidR="00000000" w:rsidDel="00000000" w:rsidP="00000000" w:rsidRDefault="00000000" w:rsidRPr="00000000" w14:paraId="00000041">
      <w:pPr>
        <w:spacing w:after="160" w:before="0" w:line="300" w:lineRule="auto"/>
        <w:rPr/>
      </w:pPr>
      <w:r w:rsidDel="00000000" w:rsidR="00000000" w:rsidRPr="00000000">
        <w:rPr>
          <w:rtl w:val="0"/>
        </w:rPr>
        <w:t xml:space="preserve">DIDs are long-lived by design, and verifiers may need to reconstruct past states in order to validate credentials that were signed years earlier. A credential issued three years ago and presented today requires the verifier to confirm that the signing key was authorized at the time of issuance, which means the verifier — or, more often, the node serving the verifier — needs access to the DID document as it stood three years ago. A naive retention policy that keeps every historical version of every DID forever produces storage that grows linearly in both DID count and time, and over a twenty-year operational horizon this becomes the dominant storage cost on the node. The solution is a tiered retention model: the authenticated current-state tree retains only latest versions, an append-only log keyed by DID and version number holds prior documents, and a compact accumulator authenticates historical roots. Archive nodes — operated by consortium members, indexers, or public-goods infrastructure providers — retain the full log and serve historical reads to the rest of the network. Regular POS-nodes prune after a configurable hot window, typically ninety days. This design bounds per-node storage growth to a tractable curve and concentrates long-tail retention on specialized archive infrastructure.</w:t>
      </w:r>
    </w:p>
    <w:p w:rsidR="00000000" w:rsidDel="00000000" w:rsidP="00000000" w:rsidRDefault="00000000" w:rsidRPr="00000000" w14:paraId="00000042">
      <w:pPr>
        <w:spacing w:after="160" w:before="0" w:line="300" w:lineRule="auto"/>
        <w:rPr/>
      </w:pPr>
      <w:r w:rsidDel="00000000" w:rsidR="00000000" w:rsidRPr="00000000">
        <w:rPr>
          <w:rtl w:val="0"/>
        </w:rPr>
        <w:t xml:space="preserve">Budgets for node operators, once these design choices are in place, look approximately as follows at the one-million-DID scale:</w:t>
      </w:r>
    </w:p>
    <w:tbl>
      <w:tblPr>
        <w:tblStyle w:val="Table1"/>
        <w:tblW w:w="9360.0" w:type="dxa"/>
        <w:jc w:val="left"/>
        <w:tblLayout w:type="fixed"/>
        <w:tblLook w:val="0000"/>
      </w:tblPr>
      <w:tblGrid>
        <w:gridCol w:w="2700"/>
        <w:gridCol w:w="2900"/>
        <w:gridCol w:w="1900"/>
        <w:gridCol w:w="1860"/>
        <w:tblGridChange w:id="0">
          <w:tblGrid>
            <w:gridCol w:w="2700"/>
            <w:gridCol w:w="2900"/>
            <w:gridCol w:w="1900"/>
            <w:gridCol w:w="1860"/>
          </w:tblGrid>
        </w:tblGridChange>
      </w:tblGrid>
      <w:tr>
        <w:trPr>
          <w:cantSplit w:val="0"/>
          <w:tblHeader w:val="1"/>
        </w:trPr>
        <w:tc>
          <w:tcPr>
            <w:tcBorders>
              <w:top w:color="cccccc" w:space="0" w:sz="4" w:val="single"/>
              <w:bottom w:color="cccccc" w:space="0" w:sz="4" w:val="single"/>
            </w:tcBorders>
            <w:shd w:fill="d5e8f0" w:val="clear"/>
          </w:tcPr>
          <w:p w:rsidR="00000000" w:rsidDel="00000000" w:rsidP="00000000" w:rsidRDefault="00000000" w:rsidRPr="00000000" w14:paraId="00000043">
            <w:pPr>
              <w:rPr/>
            </w:pPr>
            <w:r w:rsidDel="00000000" w:rsidR="00000000" w:rsidRPr="00000000">
              <w:rPr>
                <w:b w:val="1"/>
                <w:bCs w:val="1"/>
                <w:sz w:val="20"/>
                <w:szCs w:val="20"/>
                <w:rtl w:val="0"/>
              </w:rPr>
              <w:t xml:space="preserve">Node role</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44">
            <w:pPr>
              <w:rPr/>
            </w:pPr>
            <w:r w:rsidDel="00000000" w:rsidR="00000000" w:rsidRPr="00000000">
              <w:rPr>
                <w:b w:val="1"/>
                <w:bCs w:val="1"/>
                <w:sz w:val="20"/>
                <w:szCs w:val="20"/>
                <w:rtl w:val="0"/>
              </w:rPr>
              <w:t xml:space="preserve">Additional storage</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45">
            <w:pPr>
              <w:rPr/>
            </w:pPr>
            <w:r w:rsidDel="00000000" w:rsidR="00000000" w:rsidRPr="00000000">
              <w:rPr>
                <w:b w:val="1"/>
                <w:bCs w:val="1"/>
                <w:sz w:val="20"/>
                <w:szCs w:val="20"/>
                <w:rtl w:val="0"/>
              </w:rPr>
              <w:t xml:space="preserve">CPU</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46">
            <w:pPr>
              <w:rPr/>
            </w:pPr>
            <w:r w:rsidDel="00000000" w:rsidR="00000000" w:rsidRPr="00000000">
              <w:rPr>
                <w:b w:val="1"/>
                <w:bCs w:val="1"/>
                <w:sz w:val="20"/>
                <w:szCs w:val="20"/>
                <w:rtl w:val="0"/>
              </w:rPr>
              <w:t xml:space="preserve">Bandwidth overhead</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7">
            <w:pPr>
              <w:rPr/>
            </w:pPr>
            <w:r w:rsidDel="00000000" w:rsidR="00000000" w:rsidRPr="00000000">
              <w:rPr>
                <w:sz w:val="20"/>
                <w:szCs w:val="20"/>
                <w:rtl w:val="0"/>
              </w:rPr>
              <w:t xml:space="preserve">POS-node (90-day hot window)</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8">
            <w:pPr>
              <w:rPr/>
            </w:pPr>
            <w:r w:rsidDel="00000000" w:rsidR="00000000" w:rsidRPr="00000000">
              <w:rPr>
                <w:sz w:val="20"/>
                <w:szCs w:val="20"/>
                <w:rtl w:val="0"/>
              </w:rPr>
              <w:t xml:space="preserve">~20 GB beyond EVM baseline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9">
            <w:pPr>
              <w:rPr/>
            </w:pPr>
            <w:r w:rsidDel="00000000" w:rsidR="00000000" w:rsidRPr="00000000">
              <w:rPr>
                <w:sz w:val="20"/>
                <w:szCs w:val="20"/>
                <w:rtl w:val="0"/>
              </w:rPr>
              <w:t xml:space="preserve">1 core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A">
            <w:pPr>
              <w:rPr/>
            </w:pPr>
            <w:r w:rsidDel="00000000" w:rsidR="00000000" w:rsidRPr="00000000">
              <w:rPr>
                <w:sz w:val="20"/>
                <w:szCs w:val="20"/>
                <w:rtl w:val="0"/>
              </w:rPr>
              <w:t xml:space="preserve">~25 KB/s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B">
            <w:pPr>
              <w:rPr/>
            </w:pPr>
            <w:r w:rsidDel="00000000" w:rsidR="00000000" w:rsidRPr="00000000">
              <w:rPr>
                <w:sz w:val="20"/>
                <w:szCs w:val="20"/>
                <w:rtl w:val="0"/>
              </w:rPr>
              <w:t xml:space="preserve">POA-node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C">
            <w:pPr>
              <w:rPr/>
            </w:pPr>
            <w:r w:rsidDel="00000000" w:rsidR="00000000" w:rsidRPr="00000000">
              <w:rPr>
                <w:sz w:val="20"/>
                <w:szCs w:val="20"/>
                <w:rtl w:val="0"/>
              </w:rPr>
              <w:t xml:space="preserve">~25 GB beyond EVM baseline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D">
            <w:pPr>
              <w:rPr/>
            </w:pPr>
            <w:r w:rsidDel="00000000" w:rsidR="00000000" w:rsidRPr="00000000">
              <w:rPr>
                <w:sz w:val="20"/>
                <w:szCs w:val="20"/>
                <w:rtl w:val="0"/>
              </w:rPr>
              <w:t xml:space="preserve">1 dedicated core + BLS signing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E">
            <w:pPr>
              <w:rPr/>
            </w:pPr>
            <w:r w:rsidDel="00000000" w:rsidR="00000000" w:rsidRPr="00000000">
              <w:rPr>
                <w:sz w:val="20"/>
                <w:szCs w:val="20"/>
                <w:rtl w:val="0"/>
              </w:rPr>
              <w:t xml:space="preserve">same + signing rounds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4F">
            <w:pPr>
              <w:rPr/>
            </w:pPr>
            <w:r w:rsidDel="00000000" w:rsidR="00000000" w:rsidRPr="00000000">
              <w:rPr>
                <w:sz w:val="20"/>
                <w:szCs w:val="20"/>
                <w:rtl w:val="0"/>
              </w:rPr>
              <w:t xml:space="preserve">Archive node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50">
            <w:pPr>
              <w:rPr/>
            </w:pPr>
            <w:r w:rsidDel="00000000" w:rsidR="00000000" w:rsidRPr="00000000">
              <w:rPr>
                <w:sz w:val="20"/>
                <w:szCs w:val="20"/>
                <w:rtl w:val="0"/>
              </w:rPr>
              <w:t xml:space="preserve">3-10x the POS-node footprint, growing with time</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51">
            <w:pPr>
              <w:rPr/>
            </w:pPr>
            <w:r w:rsidDel="00000000" w:rsidR="00000000" w:rsidRPr="00000000">
              <w:rPr>
                <w:sz w:val="20"/>
                <w:szCs w:val="20"/>
                <w:rtl w:val="0"/>
              </w:rPr>
              <w:t xml:space="preserve">same as POS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52">
            <w:pPr>
              <w:rPr/>
            </w:pPr>
            <w:r w:rsidDel="00000000" w:rsidR="00000000" w:rsidRPr="00000000">
              <w:rPr>
                <w:sz w:val="20"/>
                <w:szCs w:val="20"/>
                <w:rtl w:val="0"/>
              </w:rPr>
              <w:t xml:space="preserve">same</w:t>
            </w:r>
            <w:r w:rsidDel="00000000" w:rsidR="00000000" w:rsidRPr="00000000">
              <w:rPr>
                <w:rtl w:val="0"/>
              </w:rPr>
            </w:r>
          </w:p>
        </w:tc>
      </w:tr>
    </w:tbl>
    <w:p w:rsidR="00000000" w:rsidDel="00000000" w:rsidP="00000000" w:rsidRDefault="00000000" w:rsidRPr="00000000" w14:paraId="00000053">
      <w:pPr>
        <w:spacing w:after="160" w:before="0" w:lineRule="auto"/>
        <w:rPr/>
      </w:pPr>
      <w:r w:rsidDel="00000000" w:rsidR="00000000" w:rsidRPr="00000000">
        <w:rPr>
          <w:rtl w:val="0"/>
        </w:rPr>
      </w:r>
    </w:p>
    <w:p w:rsidR="00000000" w:rsidDel="00000000" w:rsidP="00000000" w:rsidRDefault="00000000" w:rsidRPr="00000000" w14:paraId="00000054">
      <w:pPr>
        <w:spacing w:after="160" w:before="0" w:line="300" w:lineRule="auto"/>
        <w:rPr/>
      </w:pPr>
      <w:r w:rsidDel="00000000" w:rsidR="00000000" w:rsidRPr="00000000">
        <w:rPr>
          <w:rtl w:val="0"/>
        </w:rPr>
        <w:t xml:space="preserve">At ten million DIDs the current-state numbers multiply by ten and archive numbers by ten to twenty, still well within commodity hardware. The levers available if any of these figures become uncomfortable are mostly about DID schema discipline — keep resources tight, push large metadata like service endpoint blobs off-chain with content-addressed hashes anchored in the document — and about tuning attestation frequency and hot-window retention. None of the levers requires an architectural change.</w:t>
      </w:r>
    </w:p>
    <w:p w:rsidR="00000000" w:rsidDel="00000000" w:rsidP="00000000" w:rsidRDefault="00000000" w:rsidRPr="00000000" w14:paraId="00000055">
      <w:pPr>
        <w:pStyle w:val="Heading1"/>
        <w:rPr/>
      </w:pPr>
      <w:r w:rsidDel="00000000" w:rsidR="00000000" w:rsidRPr="00000000">
        <w:rPr>
          <w:rFonts w:ascii="Arial" w:cs="Arial" w:eastAsia="Arial" w:hAnsi="Arial"/>
          <w:b w:val="1"/>
          <w:bCs w:val="1"/>
          <w:rtl w:val="0"/>
        </w:rPr>
        <w:t xml:space="preserve">Committee Signing at Thirty Members</w:t>
      </w:r>
      <w:r w:rsidDel="00000000" w:rsidR="00000000" w:rsidRPr="00000000">
        <w:rPr>
          <w:rtl w:val="0"/>
        </w:rPr>
      </w:r>
    </w:p>
    <w:p w:rsidR="00000000" w:rsidDel="00000000" w:rsidP="00000000" w:rsidRDefault="00000000" w:rsidRPr="00000000" w14:paraId="00000056">
      <w:pPr>
        <w:spacing w:after="160" w:before="0" w:line="300" w:lineRule="auto"/>
        <w:rPr/>
      </w:pPr>
      <w:r w:rsidDel="00000000" w:rsidR="00000000" w:rsidRPr="00000000">
        <w:rPr>
          <w:rtl w:val="0"/>
        </w:rPr>
        <w:t xml:space="preserve">A committee of thirty is large enough that naive BLS aggregation — where every member broadcasts a partial signature to every other member and each node locally aggregates — starts to produce noticeable latency. On a geographically distributed committee over WAN links, a naive signing round takes between one hundred and three hundred milliseconds, most of which is network round-trip rather than cryptographic work. Whether this is a problem depends entirely on what latency budget the application demands, and for DIDs the honest answer is that it probably is not a problem at all, provided one design choice is made correctly.</w:t>
      </w:r>
    </w:p>
    <w:p w:rsidR="00000000" w:rsidDel="00000000" w:rsidP="00000000" w:rsidRDefault="00000000" w:rsidRPr="00000000" w14:paraId="00000057">
      <w:pPr>
        <w:spacing w:after="160" w:before="0" w:line="300" w:lineRule="auto"/>
        <w:rPr/>
      </w:pPr>
      <w:r w:rsidDel="00000000" w:rsidR="00000000" w:rsidRPr="00000000">
        <w:rPr>
          <w:rtl w:val="0"/>
        </w:rPr>
        <w:t xml:space="preserve">The design choice is to decouple attestation production from DAG block production. If attestations ride in block headers, then slow signing rounds slow blocks, which is an unacceptable coupling for the network's overall throughput. If attestations live out of band, produced on their own cadence and referenced by whichever blocks happen to be available when they arrive, then signing-round latency affects only the freshness of DID reads — and DID reads tolerate a few seconds of staleness without any meaningful loss of utility. The decoupled design is strictly preferable regardless of the signing scheme chosen underneath, and its effect is to make the question of signing-round latency largely moot for user-visible behavior.</w:t>
      </w:r>
    </w:p>
    <w:p w:rsidR="00000000" w:rsidDel="00000000" w:rsidP="00000000" w:rsidRDefault="00000000" w:rsidRPr="00000000" w14:paraId="00000058">
      <w:pPr>
        <w:spacing w:after="160" w:before="0" w:line="300" w:lineRule="auto"/>
        <w:rPr/>
      </w:pPr>
      <w:r w:rsidDel="00000000" w:rsidR="00000000" w:rsidRPr="00000000">
        <w:rPr>
          <w:rtl w:val="0"/>
        </w:rPr>
        <w:t xml:space="preserve">With that design choice in hand, the specific signing scheme becomes a choice driven by where verification happens rather than by signing latency. Four options are worth considering, and they sit on a spectrum of operational complexity against on-chain verification cost.</w:t>
      </w:r>
    </w:p>
    <w:p w:rsidR="00000000" w:rsidDel="00000000" w:rsidP="00000000" w:rsidRDefault="00000000" w:rsidRPr="00000000" w14:paraId="00000059">
      <w:pPr>
        <w:spacing w:after="160" w:before="0" w:line="300" w:lineRule="auto"/>
        <w:rPr/>
      </w:pPr>
      <w:r w:rsidDel="00000000" w:rsidR="00000000" w:rsidRPr="00000000">
        <w:rPr>
          <w:rtl w:val="0"/>
        </w:rPr>
        <w:t xml:space="preserve">The simplest production-grade option is aggregator-rotated BLS, in which a rotating aggregator per epoch collects partial signatures from a quorum of committee members and broadcasts the aggregate. Message complexity drops from quadratic to linear in committee size, signing latency drops to roughly one round-trip, and the scheme requires no setup beyond publishing each member's BLS public key. The cost on the verification side is that consumers must reconstruct the aggregate public key from the signer bitmap, which at thirty members adds tens of thousands of gas of Ethereum mainnet verification cost beyond the pairing check itself.</w:t>
      </w:r>
    </w:p>
    <w:p w:rsidR="00000000" w:rsidDel="00000000" w:rsidP="00000000" w:rsidRDefault="00000000" w:rsidRPr="00000000" w14:paraId="0000005A">
      <w:pPr>
        <w:spacing w:after="160" w:before="0" w:line="300" w:lineRule="auto"/>
        <w:rPr/>
      </w:pPr>
      <w:r w:rsidDel="00000000" w:rsidR="00000000" w:rsidRPr="00000000">
        <w:rPr>
          <w:rtl w:val="0"/>
        </w:rPr>
        <w:t xml:space="preserve">The next option is threshold BLS with distributed key generation, in which the committee runs a DKG ceremony to establish a shared key and any t-of-n subset can thereafter produce signatures that verify against a single group public key. Verification becomes constant-size and constant-cost regardless of committee size — the signature looks like an ordinary BLS signature against an ordinary key. The operational cost is that DKG must be rerun whenever committee membership changes, which is a non-trivial ceremony and introduces real operational complexity. For a stable consortium that rotates membership on a quarterly or annual cadence, this cost is amortized comfortably; for a volatile committee, it dominates.</w:t>
      </w:r>
    </w:p>
    <w:p w:rsidR="00000000" w:rsidDel="00000000" w:rsidP="00000000" w:rsidRDefault="00000000" w:rsidRPr="00000000" w14:paraId="0000005B">
      <w:pPr>
        <w:spacing w:after="160" w:before="0" w:line="300" w:lineRule="auto"/>
        <w:rPr/>
      </w:pPr>
      <w:r w:rsidDel="00000000" w:rsidR="00000000" w:rsidRPr="00000000">
        <w:rPr>
          <w:rtl w:val="0"/>
        </w:rPr>
        <w:t xml:space="preserve">A third option is FROST or another Schnorr-based threshold signature scheme, with similar properties to threshold BLS but on secp256k1 rather than BLS12-381. The distinguishing advantage is that Schnorr verification on Ethereum can be done for roughly three to ten thousand gas using the well-known ecrecover trick, an order of magnitude cheaper than BLS even after EIP-2537. If the architecture's primary verification target is Ethereum mainnet, FROST is economically compelling despite the DKG overhead, because the gas savings compound with every verification the system ever performs.</w:t>
      </w:r>
    </w:p>
    <w:p w:rsidR="00000000" w:rsidDel="00000000" w:rsidP="00000000" w:rsidRDefault="00000000" w:rsidRPr="00000000" w14:paraId="0000005C">
      <w:pPr>
        <w:spacing w:after="160" w:before="0" w:line="300" w:lineRule="auto"/>
        <w:rPr/>
      </w:pPr>
      <w:r w:rsidDel="00000000" w:rsidR="00000000" w:rsidRPr="00000000">
        <w:rPr>
          <w:rtl w:val="0"/>
        </w:rPr>
        <w:t xml:space="preserve">The final option is naive ECDSA multi-signature, in which each committee member produces an ordinary ECDSA signature and the verifier checks t of them individually. This is operationally trivial and has no DKG overhead, but its verification cost scales linearly with the threshold, which at twenty-one-of-thirty is painful and at larger committees becomes infeasible. For a committee that might grow beyond the initial thirty, this scheme does not extend gracefully.</w:t>
      </w:r>
    </w:p>
    <w:p w:rsidR="00000000" w:rsidDel="00000000" w:rsidP="00000000" w:rsidRDefault="00000000" w:rsidRPr="00000000" w14:paraId="0000005D">
      <w:pPr>
        <w:spacing w:after="160" w:before="0" w:line="300" w:lineRule="auto"/>
        <w:rPr/>
      </w:pPr>
      <w:r w:rsidDel="00000000" w:rsidR="00000000" w:rsidRPr="00000000">
        <w:rPr>
          <w:rtl w:val="0"/>
        </w:rPr>
        <w:t xml:space="preserve">The comparative picture, summarized:</w:t>
      </w:r>
    </w:p>
    <w:tbl>
      <w:tblPr>
        <w:tblStyle w:val="Table2"/>
        <w:tblW w:w="9360.0" w:type="dxa"/>
        <w:jc w:val="left"/>
        <w:tblLayout w:type="fixed"/>
        <w:tblLook w:val="0000"/>
      </w:tblPr>
      <w:tblGrid>
        <w:gridCol w:w="2199"/>
        <w:gridCol w:w="1801"/>
        <w:gridCol w:w="1899"/>
        <w:gridCol w:w="2000"/>
        <w:gridCol w:w="1461"/>
        <w:tblGridChange w:id="0">
          <w:tblGrid>
            <w:gridCol w:w="2199"/>
            <w:gridCol w:w="1801"/>
            <w:gridCol w:w="1899"/>
            <w:gridCol w:w="2000"/>
            <w:gridCol w:w="1461"/>
          </w:tblGrid>
        </w:tblGridChange>
      </w:tblGrid>
      <w:tr>
        <w:trPr>
          <w:cantSplit w:val="0"/>
          <w:tblHeader w:val="1"/>
        </w:trPr>
        <w:tc>
          <w:tcPr>
            <w:tcBorders>
              <w:top w:color="cccccc" w:space="0" w:sz="4" w:val="single"/>
              <w:bottom w:color="cccccc" w:space="0" w:sz="4" w:val="single"/>
            </w:tcBorders>
            <w:shd w:fill="d5e8f0" w:val="clear"/>
          </w:tcPr>
          <w:p w:rsidR="00000000" w:rsidDel="00000000" w:rsidP="00000000" w:rsidRDefault="00000000" w:rsidRPr="00000000" w14:paraId="0000005E">
            <w:pPr>
              <w:rPr/>
            </w:pPr>
            <w:r w:rsidDel="00000000" w:rsidR="00000000" w:rsidRPr="00000000">
              <w:rPr>
                <w:b w:val="1"/>
                <w:bCs w:val="1"/>
                <w:sz w:val="20"/>
                <w:szCs w:val="20"/>
                <w:rtl w:val="0"/>
              </w:rPr>
              <w:t xml:space="preserve">Scheme</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5F">
            <w:pPr>
              <w:rPr/>
            </w:pPr>
            <w:r w:rsidDel="00000000" w:rsidR="00000000" w:rsidRPr="00000000">
              <w:rPr>
                <w:b w:val="1"/>
                <w:bCs w:val="1"/>
                <w:sz w:val="20"/>
                <w:szCs w:val="20"/>
                <w:rtl w:val="0"/>
              </w:rPr>
              <w:t xml:space="preserve">Signing latency</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60">
            <w:pPr>
              <w:rPr/>
            </w:pPr>
            <w:r w:rsidDel="00000000" w:rsidR="00000000" w:rsidRPr="00000000">
              <w:rPr>
                <w:b w:val="1"/>
                <w:bCs w:val="1"/>
                <w:sz w:val="20"/>
                <w:szCs w:val="20"/>
                <w:rtl w:val="0"/>
              </w:rPr>
              <w:t xml:space="preserve">On-chain verify gas</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61">
            <w:pPr>
              <w:rPr/>
            </w:pPr>
            <w:r w:rsidDel="00000000" w:rsidR="00000000" w:rsidRPr="00000000">
              <w:rPr>
                <w:b w:val="1"/>
                <w:bCs w:val="1"/>
                <w:sz w:val="20"/>
                <w:szCs w:val="20"/>
                <w:rtl w:val="0"/>
              </w:rPr>
              <w:t xml:space="preserve">Trust anchor</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62">
            <w:pPr>
              <w:rPr/>
            </w:pPr>
            <w:r w:rsidDel="00000000" w:rsidR="00000000" w:rsidRPr="00000000">
              <w:rPr>
                <w:b w:val="1"/>
                <w:bCs w:val="1"/>
                <w:sz w:val="20"/>
                <w:szCs w:val="20"/>
                <w:rtl w:val="0"/>
              </w:rPr>
              <w:t xml:space="preserve">Committee change</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3">
            <w:pPr>
              <w:rPr/>
            </w:pPr>
            <w:r w:rsidDel="00000000" w:rsidR="00000000" w:rsidRPr="00000000">
              <w:rPr>
                <w:sz w:val="20"/>
                <w:szCs w:val="20"/>
                <w:rtl w:val="0"/>
              </w:rPr>
              <w:t xml:space="preserve">Aggregator BLS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4">
            <w:pPr>
              <w:rPr/>
            </w:pPr>
            <w:r w:rsidDel="00000000" w:rsidR="00000000" w:rsidRPr="00000000">
              <w:rPr>
                <w:sz w:val="20"/>
                <w:szCs w:val="20"/>
                <w:rtl w:val="0"/>
              </w:rPr>
              <w:t xml:space="preserve">~100 ms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5">
            <w:pPr>
              <w:rPr/>
            </w:pPr>
            <w:r w:rsidDel="00000000" w:rsidR="00000000" w:rsidRPr="00000000">
              <w:rPr>
                <w:sz w:val="20"/>
                <w:szCs w:val="20"/>
                <w:rtl w:val="0"/>
              </w:rPr>
              <w:t xml:space="preserve">80-130K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6">
            <w:pPr>
              <w:rPr/>
            </w:pPr>
            <w:r w:rsidDel="00000000" w:rsidR="00000000" w:rsidRPr="00000000">
              <w:rPr>
                <w:sz w:val="20"/>
                <w:szCs w:val="20"/>
                <w:rtl w:val="0"/>
              </w:rPr>
              <w:t xml:space="preserve">30 public keys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7">
            <w:pPr>
              <w:rPr/>
            </w:pPr>
            <w:r w:rsidDel="00000000" w:rsidR="00000000" w:rsidRPr="00000000">
              <w:rPr>
                <w:sz w:val="20"/>
                <w:szCs w:val="20"/>
                <w:rtl w:val="0"/>
              </w:rPr>
              <w:t xml:space="preserve">Cheap; update list</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8">
            <w:pPr>
              <w:rPr/>
            </w:pPr>
            <w:r w:rsidDel="00000000" w:rsidR="00000000" w:rsidRPr="00000000">
              <w:rPr>
                <w:sz w:val="20"/>
                <w:szCs w:val="20"/>
                <w:rtl w:val="0"/>
              </w:rPr>
              <w:t xml:space="preserve">Threshold BLS (DKG)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9">
            <w:pPr>
              <w:rPr/>
            </w:pPr>
            <w:r w:rsidDel="00000000" w:rsidR="00000000" w:rsidRPr="00000000">
              <w:rPr>
                <w:sz w:val="20"/>
                <w:szCs w:val="20"/>
                <w:rtl w:val="0"/>
              </w:rPr>
              <w:t xml:space="preserve">~100 ms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A">
            <w:pPr>
              <w:rPr/>
            </w:pPr>
            <w:r w:rsidDel="00000000" w:rsidR="00000000" w:rsidRPr="00000000">
              <w:rPr>
                <w:sz w:val="20"/>
                <w:szCs w:val="20"/>
                <w:rtl w:val="0"/>
              </w:rPr>
              <w:t xml:space="preserve">50-80K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B">
            <w:pPr>
              <w:rPr/>
            </w:pPr>
            <w:r w:rsidDel="00000000" w:rsidR="00000000" w:rsidRPr="00000000">
              <w:rPr>
                <w:sz w:val="20"/>
                <w:szCs w:val="20"/>
                <w:rtl w:val="0"/>
              </w:rPr>
              <w:t xml:space="preserve">1 group public key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C">
            <w:pPr>
              <w:rPr/>
            </w:pPr>
            <w:r w:rsidDel="00000000" w:rsidR="00000000" w:rsidRPr="00000000">
              <w:rPr>
                <w:sz w:val="20"/>
                <w:szCs w:val="20"/>
                <w:rtl w:val="0"/>
              </w:rPr>
              <w:t xml:space="preserve">Expensive; rerun DKG</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D">
            <w:pPr>
              <w:rPr/>
            </w:pPr>
            <w:r w:rsidDel="00000000" w:rsidR="00000000" w:rsidRPr="00000000">
              <w:rPr>
                <w:sz w:val="20"/>
                <w:szCs w:val="20"/>
                <w:rtl w:val="0"/>
              </w:rPr>
              <w:t xml:space="preserve">FROST / Schnorr</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E">
            <w:pPr>
              <w:rPr/>
            </w:pPr>
            <w:r w:rsidDel="00000000" w:rsidR="00000000" w:rsidRPr="00000000">
              <w:rPr>
                <w:sz w:val="20"/>
                <w:szCs w:val="20"/>
                <w:rtl w:val="0"/>
              </w:rPr>
              <w:t xml:space="preserve">~100 ms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6F">
            <w:pPr>
              <w:rPr/>
            </w:pPr>
            <w:r w:rsidDel="00000000" w:rsidR="00000000" w:rsidRPr="00000000">
              <w:rPr>
                <w:sz w:val="20"/>
                <w:szCs w:val="20"/>
                <w:rtl w:val="0"/>
              </w:rPr>
              <w:t xml:space="preserve">3-10K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70">
            <w:pPr>
              <w:rPr/>
            </w:pPr>
            <w:r w:rsidDel="00000000" w:rsidR="00000000" w:rsidRPr="00000000">
              <w:rPr>
                <w:sz w:val="20"/>
                <w:szCs w:val="20"/>
                <w:rtl w:val="0"/>
              </w:rPr>
              <w:t xml:space="preserve">1 group public key</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71">
            <w:pPr>
              <w:rPr/>
            </w:pPr>
            <w:r w:rsidDel="00000000" w:rsidR="00000000" w:rsidRPr="00000000">
              <w:rPr>
                <w:sz w:val="20"/>
                <w:szCs w:val="20"/>
                <w:rtl w:val="0"/>
              </w:rPr>
              <w:t xml:space="preserve">Expensive; rerun DKG</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72">
            <w:pPr>
              <w:rPr/>
            </w:pPr>
            <w:r w:rsidDel="00000000" w:rsidR="00000000" w:rsidRPr="00000000">
              <w:rPr>
                <w:sz w:val="20"/>
                <w:szCs w:val="20"/>
                <w:rtl w:val="0"/>
              </w:rPr>
              <w:t xml:space="preserve">Naive ECDSA multi-sig</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73">
            <w:pPr>
              <w:rPr/>
            </w:pPr>
            <w:r w:rsidDel="00000000" w:rsidR="00000000" w:rsidRPr="00000000">
              <w:rPr>
                <w:sz w:val="20"/>
                <w:szCs w:val="20"/>
                <w:rtl w:val="0"/>
              </w:rPr>
              <w:t xml:space="preserve">Depends on N</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74">
            <w:pPr>
              <w:rPr/>
            </w:pPr>
            <w:r w:rsidDel="00000000" w:rsidR="00000000" w:rsidRPr="00000000">
              <w:rPr>
                <w:sz w:val="20"/>
                <w:szCs w:val="20"/>
                <w:rtl w:val="0"/>
              </w:rPr>
              <w:t xml:space="preserve">60-90K</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75">
            <w:pPr>
              <w:rPr/>
            </w:pPr>
            <w:r w:rsidDel="00000000" w:rsidR="00000000" w:rsidRPr="00000000">
              <w:rPr>
                <w:sz w:val="20"/>
                <w:szCs w:val="20"/>
                <w:rtl w:val="0"/>
              </w:rPr>
              <w:t xml:space="preserve">30 addresses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76">
            <w:pPr>
              <w:rPr/>
            </w:pPr>
            <w:r w:rsidDel="00000000" w:rsidR="00000000" w:rsidRPr="00000000">
              <w:rPr>
                <w:sz w:val="20"/>
                <w:szCs w:val="20"/>
                <w:rtl w:val="0"/>
              </w:rPr>
              <w:t xml:space="preserve">Cheap; update list</w:t>
            </w:r>
            <w:r w:rsidDel="00000000" w:rsidR="00000000" w:rsidRPr="00000000">
              <w:rPr>
                <w:rtl w:val="0"/>
              </w:rPr>
            </w:r>
          </w:p>
        </w:tc>
      </w:tr>
    </w:tbl>
    <w:p w:rsidR="00000000" w:rsidDel="00000000" w:rsidP="00000000" w:rsidRDefault="00000000" w:rsidRPr="00000000" w14:paraId="00000077">
      <w:pPr>
        <w:spacing w:after="160" w:before="0" w:lineRule="auto"/>
        <w:rPr/>
      </w:pPr>
      <w:r w:rsidDel="00000000" w:rsidR="00000000" w:rsidRPr="00000000">
        <w:rPr>
          <w:rtl w:val="0"/>
        </w:rPr>
      </w:r>
    </w:p>
    <w:p w:rsidR="00000000" w:rsidDel="00000000" w:rsidP="00000000" w:rsidRDefault="00000000" w:rsidRPr="00000000" w14:paraId="00000078">
      <w:pPr>
        <w:spacing w:after="160" w:before="0" w:line="300" w:lineRule="auto"/>
        <w:rPr/>
      </w:pPr>
      <w:r w:rsidDel="00000000" w:rsidR="00000000" w:rsidRPr="00000000">
        <w:rPr>
          <w:rtl w:val="0"/>
        </w:rPr>
        <w:t xml:space="preserve">The recommended progression, from launch toward long-term stability, is to begin with aggregator-rotated BLS and the attestation decoupling, since this combination requires no ceremony and achieves sub-second attestation freshness with well-understood operational properties. Once the committee stabilizes and cross-chain verification volume grows, migrating to threshold BLS or FROST becomes attractive for the verification economics, and the migration itself is feasible because the on-chain signature verification code is versioned at the verifier contract rather than baked into consensus.</w:t>
      </w:r>
    </w:p>
    <w:p w:rsidR="00000000" w:rsidDel="00000000" w:rsidP="00000000" w:rsidRDefault="00000000" w:rsidRPr="00000000" w14:paraId="00000079">
      <w:pPr>
        <w:pStyle w:val="Heading1"/>
        <w:rPr/>
      </w:pPr>
      <w:r w:rsidDel="00000000" w:rsidR="00000000" w:rsidRPr="00000000">
        <w:rPr>
          <w:rFonts w:ascii="Arial" w:cs="Arial" w:eastAsia="Arial" w:hAnsi="Arial"/>
          <w:b w:val="1"/>
          <w:bCs w:val="1"/>
          <w:rtl w:val="0"/>
        </w:rPr>
        <w:t xml:space="preserve">What the Smart Contract Actually Does</w:t>
      </w:r>
      <w:r w:rsidDel="00000000" w:rsidR="00000000" w:rsidRPr="00000000">
        <w:rPr>
          <w:rtl w:val="0"/>
        </w:rPr>
      </w:r>
    </w:p>
    <w:p w:rsidR="00000000" w:rsidDel="00000000" w:rsidP="00000000" w:rsidRDefault="00000000" w:rsidRPr="00000000" w14:paraId="0000007A">
      <w:pPr>
        <w:spacing w:after="160" w:before="0" w:line="300" w:lineRule="auto"/>
        <w:rPr/>
      </w:pPr>
      <w:r w:rsidDel="00000000" w:rsidR="00000000" w:rsidRPr="00000000">
        <w:rPr>
          <w:rtl w:val="0"/>
        </w:rPr>
        <w:t xml:space="preserve">The signing scheme is not an abstract concern; it directly shapes what a verifier contract looks like and what it costs to run. The broader verification logic is the same across all schemes: the contract holds committee public keys, checks a signature on an attested state root, walks a Merkle proof from that root to a DID document, parses the document's BCS encoding, and applies whatever application-specific predicate the use case demands. Only the signature-verification step varies with the signing scheme, and only that step drives the gas cost differences that make the signing-scheme choice consequential.</w:t>
      </w:r>
    </w:p>
    <w:p w:rsidR="00000000" w:rsidDel="00000000" w:rsidP="00000000" w:rsidRDefault="00000000" w:rsidRPr="00000000" w14:paraId="0000007B">
      <w:pPr>
        <w:spacing w:after="160" w:before="0" w:line="300" w:lineRule="auto"/>
        <w:rPr/>
      </w:pPr>
      <w:r w:rsidDel="00000000" w:rsidR="00000000" w:rsidRPr="00000000">
        <w:rPr>
          <w:rtl w:val="0"/>
        </w:rPr>
        <w:t xml:space="preserve">An important simplification is available for same-chain verification. When a smart contract on the same chain needs to consult DID state, it does not need to go through the attestation mechanism at all. The Move state is physically present on the node executing the EVM transaction, and a precompile can read it directly. The architecture reserves a precompile address for this purpose, exposing DID resolution, key authorization checks, and signature verification as native functions to every EVM contract on the chain. Gas cost drops to negligible; latency drops to memory-access speeds. The attestation-based verification is reserved for external-chain consumers, where the chain's local state is not available and the cryptographic proof is the only route to verified DID reads.</w:t>
      </w:r>
    </w:p>
    <w:p w:rsidR="00000000" w:rsidDel="00000000" w:rsidP="00000000" w:rsidRDefault="00000000" w:rsidRPr="00000000" w14:paraId="0000007C">
      <w:pPr>
        <w:spacing w:after="160" w:before="0" w:line="300" w:lineRule="auto"/>
        <w:rPr/>
      </w:pPr>
      <w:r w:rsidDel="00000000" w:rsidR="00000000" w:rsidRPr="00000000">
        <w:rPr>
          <w:rtl w:val="0"/>
        </w:rPr>
        <w:t xml:space="preserve">For external-chain verification, the full verification cost breaks down approximately as follows, assuming Ethereum mainnet gas prices and modern precompile support:</w:t>
      </w:r>
    </w:p>
    <w:tbl>
      <w:tblPr>
        <w:tblStyle w:val="Table3"/>
        <w:tblW w:w="9360.0" w:type="dxa"/>
        <w:jc w:val="left"/>
        <w:tblLayout w:type="fixed"/>
        <w:tblLook w:val="0000"/>
      </w:tblPr>
      <w:tblGrid>
        <w:gridCol w:w="2500"/>
        <w:gridCol w:w="2000"/>
        <w:gridCol w:w="2500"/>
        <w:gridCol w:w="2360"/>
        <w:tblGridChange w:id="0">
          <w:tblGrid>
            <w:gridCol w:w="2500"/>
            <w:gridCol w:w="2000"/>
            <w:gridCol w:w="2500"/>
            <w:gridCol w:w="2360"/>
          </w:tblGrid>
        </w:tblGridChange>
      </w:tblGrid>
      <w:tr>
        <w:trPr>
          <w:cantSplit w:val="0"/>
          <w:tblHeader w:val="1"/>
        </w:trPr>
        <w:tc>
          <w:tcPr>
            <w:tcBorders>
              <w:top w:color="cccccc" w:space="0" w:sz="4" w:val="single"/>
              <w:bottom w:color="cccccc" w:space="0" w:sz="4" w:val="single"/>
            </w:tcBorders>
            <w:shd w:fill="d5e8f0" w:val="clear"/>
          </w:tcPr>
          <w:p w:rsidR="00000000" w:rsidDel="00000000" w:rsidP="00000000" w:rsidRDefault="00000000" w:rsidRPr="00000000" w14:paraId="0000007D">
            <w:pPr>
              <w:rPr/>
            </w:pPr>
            <w:r w:rsidDel="00000000" w:rsidR="00000000" w:rsidRPr="00000000">
              <w:rPr>
                <w:b w:val="1"/>
                <w:bCs w:val="1"/>
                <w:sz w:val="20"/>
                <w:szCs w:val="20"/>
                <w:rtl w:val="0"/>
              </w:rPr>
              <w:t xml:space="preserve">Signing scheme</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7E">
            <w:pPr>
              <w:rPr/>
            </w:pPr>
            <w:r w:rsidDel="00000000" w:rsidR="00000000" w:rsidRPr="00000000">
              <w:rPr>
                <w:b w:val="1"/>
                <w:bCs w:val="1"/>
                <w:sz w:val="20"/>
                <w:szCs w:val="20"/>
                <w:rtl w:val="0"/>
              </w:rPr>
              <w:t xml:space="preserve">Signature verify</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7F">
            <w:pPr>
              <w:rPr/>
            </w:pPr>
            <w:r w:rsidDel="00000000" w:rsidR="00000000" w:rsidRPr="00000000">
              <w:rPr>
                <w:b w:val="1"/>
                <w:bCs w:val="1"/>
                <w:sz w:val="20"/>
                <w:szCs w:val="20"/>
                <w:rtl w:val="0"/>
              </w:rPr>
              <w:t xml:space="preserve">+ Merkle proof + BCS parse</w:t>
            </w:r>
            <w:r w:rsidDel="00000000" w:rsidR="00000000" w:rsidRPr="00000000">
              <w:rPr>
                <w:rtl w:val="0"/>
              </w:rPr>
            </w:r>
          </w:p>
        </w:tc>
        <w:tc>
          <w:tcPr>
            <w:tcBorders>
              <w:top w:color="cccccc" w:space="0" w:sz="4" w:val="single"/>
              <w:bottom w:color="cccccc" w:space="0" w:sz="4" w:val="single"/>
            </w:tcBorders>
            <w:shd w:fill="d5e8f0" w:val="clear"/>
          </w:tcPr>
          <w:p w:rsidR="00000000" w:rsidDel="00000000" w:rsidP="00000000" w:rsidRDefault="00000000" w:rsidRPr="00000000" w14:paraId="00000080">
            <w:pPr>
              <w:rPr/>
            </w:pPr>
            <w:r w:rsidDel="00000000" w:rsidR="00000000" w:rsidRPr="00000000">
              <w:rPr>
                <w:b w:val="1"/>
                <w:bCs w:val="1"/>
                <w:sz w:val="20"/>
                <w:szCs w:val="20"/>
                <w:rtl w:val="0"/>
              </w:rPr>
              <w:t xml:space="preserve">Total per DID read</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1">
            <w:pPr>
              <w:rPr/>
            </w:pPr>
            <w:r w:rsidDel="00000000" w:rsidR="00000000" w:rsidRPr="00000000">
              <w:rPr>
                <w:sz w:val="20"/>
                <w:szCs w:val="20"/>
                <w:rtl w:val="0"/>
              </w:rPr>
              <w:t xml:space="preserve">FROST / Schnorr</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2">
            <w:pPr>
              <w:rPr/>
            </w:pPr>
            <w:r w:rsidDel="00000000" w:rsidR="00000000" w:rsidRPr="00000000">
              <w:rPr>
                <w:sz w:val="20"/>
                <w:szCs w:val="20"/>
                <w:rtl w:val="0"/>
              </w:rPr>
              <w:t xml:space="preserve">~5K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3">
            <w:pPr>
              <w:rPr/>
            </w:pPr>
            <w:r w:rsidDel="00000000" w:rsidR="00000000" w:rsidRPr="00000000">
              <w:rPr>
                <w:sz w:val="20"/>
                <w:szCs w:val="20"/>
                <w:rtl w:val="0"/>
              </w:rPr>
              <w:t xml:space="preserve">~37K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4">
            <w:pPr>
              <w:rPr/>
            </w:pPr>
            <w:r w:rsidDel="00000000" w:rsidR="00000000" w:rsidRPr="00000000">
              <w:rPr>
                <w:sz w:val="20"/>
                <w:szCs w:val="20"/>
                <w:rtl w:val="0"/>
              </w:rPr>
              <w:t xml:space="preserve">~40K gas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5">
            <w:pPr>
              <w:rPr/>
            </w:pPr>
            <w:r w:rsidDel="00000000" w:rsidR="00000000" w:rsidRPr="00000000">
              <w:rPr>
                <w:sz w:val="20"/>
                <w:szCs w:val="20"/>
                <w:rtl w:val="0"/>
              </w:rPr>
              <w:t xml:space="preserve">Threshold BLS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6">
            <w:pPr>
              <w:rPr/>
            </w:pPr>
            <w:r w:rsidDel="00000000" w:rsidR="00000000" w:rsidRPr="00000000">
              <w:rPr>
                <w:sz w:val="20"/>
                <w:szCs w:val="20"/>
                <w:rtl w:val="0"/>
              </w:rPr>
              <w:t xml:space="preserve">~60K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7">
            <w:pPr>
              <w:rPr/>
            </w:pPr>
            <w:r w:rsidDel="00000000" w:rsidR="00000000" w:rsidRPr="00000000">
              <w:rPr>
                <w:sz w:val="20"/>
                <w:szCs w:val="20"/>
                <w:rtl w:val="0"/>
              </w:rPr>
              <w:t xml:space="preserve">~37K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8">
            <w:pPr>
              <w:rPr/>
            </w:pPr>
            <w:r w:rsidDel="00000000" w:rsidR="00000000" w:rsidRPr="00000000">
              <w:rPr>
                <w:sz w:val="20"/>
                <w:szCs w:val="20"/>
                <w:rtl w:val="0"/>
              </w:rPr>
              <w:t xml:space="preserve">~100K gas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9">
            <w:pPr>
              <w:rPr/>
            </w:pPr>
            <w:r w:rsidDel="00000000" w:rsidR="00000000" w:rsidRPr="00000000">
              <w:rPr>
                <w:sz w:val="20"/>
                <w:szCs w:val="20"/>
                <w:rtl w:val="0"/>
              </w:rPr>
              <w:t xml:space="preserve">Aggregator BLS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A">
            <w:pPr>
              <w:rPr/>
            </w:pPr>
            <w:r w:rsidDel="00000000" w:rsidR="00000000" w:rsidRPr="00000000">
              <w:rPr>
                <w:sz w:val="20"/>
                <w:szCs w:val="20"/>
                <w:rtl w:val="0"/>
              </w:rPr>
              <w:t xml:space="preserve">~100K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B">
            <w:pPr>
              <w:rPr/>
            </w:pPr>
            <w:r w:rsidDel="00000000" w:rsidR="00000000" w:rsidRPr="00000000">
              <w:rPr>
                <w:sz w:val="20"/>
                <w:szCs w:val="20"/>
                <w:rtl w:val="0"/>
              </w:rPr>
              <w:t xml:space="preserve">~37K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C">
            <w:pPr>
              <w:rPr/>
            </w:pPr>
            <w:r w:rsidDel="00000000" w:rsidR="00000000" w:rsidRPr="00000000">
              <w:rPr>
                <w:sz w:val="20"/>
                <w:szCs w:val="20"/>
                <w:rtl w:val="0"/>
              </w:rPr>
              <w:t xml:space="preserve">~150K gas</w:t>
            </w:r>
            <w:r w:rsidDel="00000000" w:rsidR="00000000" w:rsidRPr="00000000">
              <w:rPr>
                <w:rtl w:val="0"/>
              </w:rPr>
            </w:r>
          </w:p>
        </w:tc>
      </w:tr>
      <w:tr>
        <w:trPr>
          <w:cantSplit w:val="0"/>
          <w:tblHeader w:val="0"/>
        </w:trPr>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D">
            <w:pPr>
              <w:rPr/>
            </w:pPr>
            <w:r w:rsidDel="00000000" w:rsidR="00000000" w:rsidRPr="00000000">
              <w:rPr>
                <w:sz w:val="20"/>
                <w:szCs w:val="20"/>
                <w:rtl w:val="0"/>
              </w:rPr>
              <w:t xml:space="preserve">SNARK-wrapped</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E">
            <w:pPr>
              <w:rPr/>
            </w:pPr>
            <w:r w:rsidDel="00000000" w:rsidR="00000000" w:rsidRPr="00000000">
              <w:rPr>
                <w:sz w:val="20"/>
                <w:szCs w:val="20"/>
                <w:rtl w:val="0"/>
              </w:rPr>
              <w:t xml:space="preserve">~250K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8F">
            <w:pPr>
              <w:rPr/>
            </w:pPr>
            <w:r w:rsidDel="00000000" w:rsidR="00000000" w:rsidRPr="00000000">
              <w:rPr>
                <w:sz w:val="20"/>
                <w:szCs w:val="20"/>
                <w:rtl w:val="0"/>
              </w:rPr>
              <w:t xml:space="preserve">~37K gas</w:t>
            </w:r>
            <w:r w:rsidDel="00000000" w:rsidR="00000000" w:rsidRPr="00000000">
              <w:rPr>
                <w:rtl w:val="0"/>
              </w:rPr>
            </w:r>
          </w:p>
        </w:tc>
        <w:tc>
          <w:tcPr>
            <w:tcBorders>
              <w:top w:color="cccccc" w:space="0" w:sz="4" w:val="single"/>
              <w:bottom w:color="cccccc" w:space="0" w:sz="4" w:val="single"/>
            </w:tcBorders>
            <w:tcMar>
              <w:top w:w="80.0" w:type="dxa"/>
              <w:bottom w:w="80.0" w:type="dxa"/>
            </w:tcMar>
          </w:tcPr>
          <w:p w:rsidR="00000000" w:rsidDel="00000000" w:rsidP="00000000" w:rsidRDefault="00000000" w:rsidRPr="00000000" w14:paraId="00000090">
            <w:pPr>
              <w:rPr/>
            </w:pPr>
            <w:r w:rsidDel="00000000" w:rsidR="00000000" w:rsidRPr="00000000">
              <w:rPr>
                <w:sz w:val="20"/>
                <w:szCs w:val="20"/>
                <w:rtl w:val="0"/>
              </w:rPr>
              <w:t xml:space="preserve">~290K gas</w:t>
            </w:r>
            <w:r w:rsidDel="00000000" w:rsidR="00000000" w:rsidRPr="00000000">
              <w:rPr>
                <w:rtl w:val="0"/>
              </w:rPr>
            </w:r>
          </w:p>
        </w:tc>
      </w:tr>
    </w:tbl>
    <w:p w:rsidR="00000000" w:rsidDel="00000000" w:rsidP="00000000" w:rsidRDefault="00000000" w:rsidRPr="00000000" w14:paraId="00000091">
      <w:pPr>
        <w:spacing w:after="160" w:before="0" w:lineRule="auto"/>
        <w:rPr/>
      </w:pPr>
      <w:r w:rsidDel="00000000" w:rsidR="00000000" w:rsidRPr="00000000">
        <w:rPr>
          <w:rtl w:val="0"/>
        </w:rPr>
      </w:r>
    </w:p>
    <w:p w:rsidR="00000000" w:rsidDel="00000000" w:rsidP="00000000" w:rsidRDefault="00000000" w:rsidRPr="00000000" w14:paraId="00000092">
      <w:pPr>
        <w:spacing w:after="160" w:before="0" w:line="300" w:lineRule="auto"/>
        <w:rPr/>
      </w:pPr>
      <w:r w:rsidDel="00000000" w:rsidR="00000000" w:rsidRPr="00000000">
        <w:rPr>
          <w:rtl w:val="0"/>
        </w:rPr>
        <w:t xml:space="preserve">For context, an ERC-20 transfer is roughly fifty thousand gas, so a FROST-based DID verification is less than a single token transfer, while a naive BLS-aggregation approach is three times a transfer. Whether this difference matters depends on how often the verification runs. A contract that checks a DID once per user onboarding is indifferent; a contract that checks DIDs on every call is not, and for the latter the case for FROST becomes strong.</w:t>
      </w:r>
    </w:p>
    <w:p w:rsidR="00000000" w:rsidDel="00000000" w:rsidP="00000000" w:rsidRDefault="00000000" w:rsidRPr="00000000" w14:paraId="00000093">
      <w:pPr>
        <w:spacing w:after="160" w:before="0" w:line="300" w:lineRule="auto"/>
        <w:rPr/>
      </w:pPr>
      <w:r w:rsidDel="00000000" w:rsidR="00000000" w:rsidRPr="00000000">
        <w:rPr>
          <w:rtl w:val="0"/>
        </w:rPr>
        <w:t xml:space="preserve">Batching provides one further economy worth mentioning. Contracts that verify several DIDs in a single transaction — a credential chain with multiple issuers, for instance, or a compliance check requiring signatures from multiple authorized parties — can batch-verify BLS or Schnorr signatures by combining their pairing checks into one. Costs scale sub-linearly with the number of DIDs verified, approaching a constant per-transaction overhead plus a small incremental cost per additional DID. ECDSA does not admit efficient batching, which is another reason that naive ECDSA multi-signature does not scale gracefully beyond small committees. If the application pattern involves frequent multi-DID verification, this is one of several factors pushing the design toward BLS or Schnorr primitives.</w:t>
      </w:r>
    </w:p>
    <w:p w:rsidR="00000000" w:rsidDel="00000000" w:rsidP="00000000" w:rsidRDefault="00000000" w:rsidRPr="00000000" w14:paraId="00000094">
      <w:pPr>
        <w:pStyle w:val="Heading1"/>
        <w:rPr/>
      </w:pPr>
      <w:r w:rsidDel="00000000" w:rsidR="00000000" w:rsidRPr="00000000">
        <w:rPr>
          <w:rFonts w:ascii="Arial" w:cs="Arial" w:eastAsia="Arial" w:hAnsi="Arial"/>
          <w:b w:val="1"/>
          <w:bCs w:val="1"/>
          <w:rtl w:val="0"/>
        </w:rPr>
        <w:t xml:space="preserve">The Architecture in One Picture</w:t>
      </w:r>
      <w:r w:rsidDel="00000000" w:rsidR="00000000" w:rsidRPr="00000000">
        <w:rPr>
          <w:rtl w:val="0"/>
        </w:rPr>
      </w:r>
    </w:p>
    <w:p w:rsidR="00000000" w:rsidDel="00000000" w:rsidP="00000000" w:rsidRDefault="00000000" w:rsidRPr="00000000" w14:paraId="00000095">
      <w:pPr>
        <w:spacing w:after="160" w:before="0" w:line="300" w:lineRule="auto"/>
        <w:rPr/>
      </w:pPr>
      <w:r w:rsidDel="00000000" w:rsidR="00000000" w:rsidRPr="00000000">
        <w:rPr>
          <w:rtl w:val="0"/>
        </w:rPr>
        <w:t xml:space="preserve">The pieces fit together into a coherent whole in which each design choice reinforces the others. The DAG orders transactions for both virtual machines impartially and gossips every transaction to every node, which makes the physical dissemination problem free. The EVM runs on every node with no modification to its semantics, preserving the ecosystem's tooling and familiar programming model. MoveVM runs only on POA-nodes, and its write authority is enforced deterministically at the post-ordering validity check rather than in the consensus layer, which keeps the DAG's security story unchanged while still producing the desired permissioning. The POA-committee signs state roots periodically, out of band from the DAG, and those signatures are the universal trust anchor for DID reads: every POS-node uses them to validate deltas, every off-chain verifier uses them to validate proofs, and every external chain uses them to validate cross-chain reads. The verification logic is structurally identical across contexts — only the host environment differs.</w:t>
      </w:r>
    </w:p>
    <w:p w:rsidR="00000000" w:rsidDel="00000000" w:rsidP="00000000" w:rsidRDefault="00000000" w:rsidRPr="00000000" w14:paraId="00000096">
      <w:pPr>
        <w:spacing w:after="160" w:before="0" w:line="300" w:lineRule="auto"/>
        <w:rPr/>
      </w:pPr>
      <w:r w:rsidDel="00000000" w:rsidR="00000000" w:rsidRPr="00000000">
        <w:rPr>
          <w:rtl w:val="0"/>
        </w:rPr>
        <w:t xml:space="preserve">DIDs sit in Move because Move expresses their semantics directly, and Ethereum account bindings sit in the DID document as verification methods with an EVM registry serving as an efficient index. Both directions of the binding require proof of control at creation time, and both directions are trivially revocable by the DID controller. Storage grows predictably and is bounded by a tiered retention model that concentrates long-tail history on archive infrastructure. Bandwidth is invisible. CPU is modest. The committee signing scheme is chosen based on where verification is most expensive: aggregator BLS for same-chain primacy, threshold BLS or FROST for cross-chain-heavy deployments, with a migration path between them that does not require hard forks.</w:t>
      </w:r>
    </w:p>
    <w:p w:rsidR="00000000" w:rsidDel="00000000" w:rsidP="00000000" w:rsidRDefault="00000000" w:rsidRPr="00000000" w14:paraId="00000097">
      <w:pPr>
        <w:spacing w:after="160" w:before="0" w:line="300" w:lineRule="auto"/>
        <w:rPr/>
      </w:pPr>
      <w:r w:rsidDel="00000000" w:rsidR="00000000" w:rsidRPr="00000000">
        <w:rPr>
          <w:rtl w:val="0"/>
        </w:rPr>
        <w:t xml:space="preserve">The architectural payoff, finally, is that writes are permissioned, reads are universal, dissemination is free, verifiability is preserved, identity semantics are VM-enforced, and EVM applications are first-class consumers of identity state through precompiles rather than through trusted oracles. The system scales comfortably to tens of millions of DIDs on commodity hardware, and does so without requiring any of the participants — whether they are writers, readers, on-chain contracts, off-chain applications, or verifiers on entirely different chains — to trust any node operator beyond verifying a signature on a state root. That reduction, from operational trust to cryptographic verification, is what makes the design defensible as infrastructure rather than merely as application code.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center"/>
      <w:rPr/>
    </w:pPr>
    <w:r w:rsidDel="00000000" w:rsidR="00000000" w:rsidRPr="00000000">
      <w:rPr>
        <w:color w:val="666666"/>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color w:val="666666"/>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i w:val="1"/>
        <w:iCs w:val="1"/>
        <w:color w:val="666666"/>
        <w:sz w:val="18"/>
        <w:szCs w:val="18"/>
        <w:rtl w:val="0"/>
      </w:rPr>
      <w:t xml:space="preserve">A Hybrid MoveVM + EVM Architecture for Decentralized Identity</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i w:val="1"/>
        <w:iCs w:val="1"/>
        <w:color w:val="666666"/>
        <w:sz w:val="18"/>
        <w:szCs w:val="18"/>
        <w:rtl w:val="0"/>
      </w:rPr>
      <w:t xml:space="preserve">A Hybrid MoveVM + EVM Architecture for Decentralized Identity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400" w:lineRule="auto"/>
    </w:pPr>
    <w:rPr>
      <w:rFonts w:ascii="Arial" w:cs="Arial" w:eastAsia="Arial" w:hAnsi="Arial"/>
      <w:b w:val="1"/>
      <w:bCs w:val="1"/>
      <w:color w:val="1f3864"/>
      <w:sz w:val="32"/>
      <w:szCs w:val="32"/>
    </w:rPr>
  </w:style>
  <w:style w:type="paragraph" w:styleId="Heading2">
    <w:name w:val="heading 2"/>
    <w:basedOn w:val="Normal"/>
    <w:next w:val="Normal"/>
    <w:pPr>
      <w:keepNext w:val="1"/>
      <w:spacing w:after="140" w:before="280" w:lineRule="auto"/>
    </w:pPr>
    <w:rPr>
      <w:rFonts w:ascii="Arial" w:cs="Arial" w:eastAsia="Arial" w:hAnsi="Arial"/>
      <w:b w:val="1"/>
      <w:bCs w:val="1"/>
      <w:color w:val="2e5496"/>
      <w:sz w:val="26"/>
      <w:szCs w:val="26"/>
    </w:rPr>
  </w:style>
  <w:style w:type="paragraph" w:styleId="Heading3">
    <w:name w:val="heading 3"/>
    <w:basedOn w:val="Normal"/>
    <w:next w:val="Normal"/>
    <w:pPr>
      <w:keepNext w:val="1"/>
      <w:spacing w:after="120" w:before="240" w:lineRule="auto"/>
    </w:pPr>
    <w:rPr>
      <w:rFonts w:ascii="Liberation Sans" w:cs="Liberation Sans" w:eastAsia="Liberation Sans" w:hAnsi="Liberation Sans"/>
      <w:color w:val="1f4d78"/>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4byYPEk6CxMi01jjzPqCOPGtfw==">CgMxLjA4AHIhMUp5cXBsVDl4RDdDVWZrdW5pZmpjQkhBTVAzWVN1ZmIt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