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bookmarkStart ns0:id="12" ns0:name="현악-주법-분류-연구-원고-및-투고-검토-요약"/>
    <ns0:p>
      <ns0:pPr>
        <ns0:pStyle ns0:val="Heading1"/>
      </ns0:pPr>
      <ns0:r>
        <ns0:t xml:space="preserve">현악 주법 분류 연구 — 원고 및 투고 검토 요약</ns0:t>
      </ns0:r>
    </ns0:p>
    <ns0:p>
      <ns0:pPr>
        <ns0:pStyle ns0:val="FirstParagraph"/>
      </ns0:pPr>
      <ns0:r>
        <ns0:t xml:space="preserve">2026-10-07 · 지도 검토용 · 첨부 원고: 국문 v2, 19쪽</ns0:t>
      </ns0:r>
    </ns0:p>
    <ns0:bookmarkStart ns0:id="9" ns0:name="현재-원고와-완료한-작업"/>
    <ns0:p>
      <ns0:pPr>
        <ns0:pStyle ns0:val="Heading2"/>
      </ns0:pPr>
      <ns0:r>
        <ns0:t xml:space="preserve">1. 현재 원고와 완료한 작업</ns0:t>
      </ns0:r>
    </ns0:p>
    <ns0:p>
      <ns0:pPr>
        <ns0:pStyle ns0:val="FirstParagraph"/>
      </ns0:pPr>
      <ns0:r>
        <ns0:t xml:space="preserve">연구 질문은 제한된 라벨로 학습하고 한 악기종을 보류했을 때, 음향 특징 기반 SVM과 고정 MERT 표현 기반 분류기가 어떤 성능과 오류를 보이는가입니다.</ns0:t>
      </ns0:r>
    </ns0:p>
    <ns0:p>
      <ns0:pPr>
        <ns0:pStyle ns0:val="BodyText"/>
      </ns0:pPr>
      <ns0:r>
        <ns0:t xml:space="preserve">OrchideaSOL의 네 현악기종·다섯 주법·3,402개 고립 음을 사용했습니다. 한 악기종씩 보류하는 네 fold에서 라벨 예산마다 세 번 표집했습니다. 관측 라벨 예산에는 학습뿐 아니라 조기종료·설정 선택용 라벨도 포함됩니다.</ns0:t>
      </ns0:r>
    </ns0:p>
    <ns0:p>
      <ns0:pPr>
        <ns0:pStyle ns0:val="BodyText"/>
      </ns0:pPr>
      <ns0:r>
        <ns0:t xml:space="preserve">국문 전체 원고, 그림 6개, 본문·부록 표 7개, 참고문헌 11편을 정리했습니다. 25번 계획의 네 검증인 숨은 정답 접근 제거, 학습 자료만으로 전처리·가중치 계산, 모델–예측–결과 연결, 평가 단위와 주장 범위 일치를 현재 원고에 채택한 결과에 대해 완료했습니다. 저장 예측에서 결과표를 재계산했고 연구 기여·음악적 해석을 검토해 반영했습니다. 저자 정보·최종 선언과 저널별 제출 형식은 확정 전입니다.</ns0:t>
      </ns0:r>
    </ns0:p>
    <ns0:bookmarkEnd ns0:id="9"/>
    <ns0:bookmarkStart ns0:id="10" ns0:name="주요-결과"/>
    <ns0:p>
      <ns0:pPr>
        <ns0:pStyle ns0:val="Heading2"/>
      </ns0:pPr>
      <ns0:r>
        <ns0:t xml:space="preserve">2. 주요 결과</ns0:t>
      </ns0:r>
    </ns0:p>
    <ns0:tbl>
      <ns0:tblPr>
        <ns0:tblStyle ns0:val="Table"/>
        <ns0:tblW ns0:type="auto" ns0:w="0"/>
        <ns0:tblLook ns0:firstRow="1" ns0:lastRow="0" ns0:firstColumn="0" ns0:lastColumn="0" ns0:noHBand="0" ns0:noVBand="0" ns0:val="0020"/>
      </ns0:tblPr>
      <ns0:tblGrid>
        <ns0:gridCol ns0:w="2640"/>
        <ns0:gridCol ns0:w="2640"/>
        <ns0:gridCol ns0:w="2640"/>
      </ns0:tblGrid>
      <ns0:tr>
        <ns0:trPr>
          <ns0:tblHeader ns0:val="on"/>
        </ns0:trPr>
        <ns0:tc>
          <ns0:tcPr/>
          <ns0:p>
            <ns0:pPr>
              <ns0:pStyle ns0:val="Compact"/>
            </ns0:pPr>
            <ns0:r>
              <ns0:t xml:space="preserve">관측 라벨 예산</ns0:t>
            </ns0:r>
          </ns0:p>
        </ns0:tc>
        <ns0:tc>
          <ns0:tcPr/>
          <ns0:p>
            <ns0:pPr>
              <ns0:pStyle ns0:val="Compact"/>
              <ns0:jc ns0:val="right"/>
            </ns0:pPr>
            <ns0:r>
              <ns0:t xml:space="preserve">MERT macro F1</ns0:t>
            </ns0:r>
          </ns0:p>
        </ns0:tc>
        <ns0:tc>
          <ns0:tcPr/>
          <ns0:p>
            <ns0:pPr>
              <ns0:pStyle ns0:val="Compact"/>
              <ns0:jc ns0:val="right"/>
            </ns0:pPr>
            <ns0:r>
              <ns0:t xml:space="preserve">SVM macro F1</ns0:t>
            </ns0:r>
          </ns0:p>
        </ns0:tc>
      </ns0:tr>
      <ns0:tr>
        <ns0:tc>
          <ns0:tcPr/>
          <ns0:p>
            <ns0:pPr>
              <ns0:pStyle ns0:val="Compact"/>
            </ns0:pPr>
            <ns0:r>
              <ns0:t xml:space="preserve">5%</ns0:t>
            </ns0:r>
          </ns0:p>
        </ns0:tc>
        <ns0:tc>
          <ns0:tcPr/>
          <ns0:p>
            <ns0:pPr>
              <ns0:pStyle ns0:val="Compact"/>
              <ns0:jc ns0:val="right"/>
            </ns0:pPr>
            <ns0:r>
              <ns0:t xml:space="preserve">0.6655</ns0:t>
            </ns0:r>
          </ns0:p>
        </ns0:tc>
        <ns0:tc>
          <ns0:tcPr/>
          <ns0:p>
            <ns0:pPr>
              <ns0:pStyle ns0:val="Compact"/>
              <ns0:jc ns0:val="right"/>
            </ns0:pPr>
            <ns0:r>
              <ns0:t xml:space="preserve">0.6613</ns0:t>
            </ns0:r>
          </ns0:p>
        </ns0:tc>
      </ns0:tr>
      <ns0:tr>
        <ns0:tc>
          <ns0:tcPr/>
          <ns0:p>
            <ns0:pPr>
              <ns0:pStyle ns0:val="Compact"/>
            </ns0:pPr>
            <ns0:r>
              <ns0:t xml:space="preserve">10%</ns0:t>
            </ns0:r>
          </ns0:p>
        </ns0:tc>
        <ns0:tc>
          <ns0:tcPr/>
          <ns0:p>
            <ns0:pPr>
              <ns0:pStyle ns0:val="Compact"/>
              <ns0:jc ns0:val="right"/>
            </ns0:pPr>
            <ns0:r>
              <ns0:t xml:space="preserve">0.7634</ns0:t>
            </ns0:r>
          </ns0:p>
        </ns0:tc>
        <ns0:tc>
          <ns0:tcPr/>
          <ns0:p>
            <ns0:pPr>
              <ns0:pStyle ns0:val="Compact"/>
              <ns0:jc ns0:val="right"/>
            </ns0:pPr>
            <ns0:r>
              <ns0:t xml:space="preserve">0.7542</ns0:t>
            </ns0:r>
          </ns0:p>
        </ns0:tc>
      </ns0:tr>
      <ns0:tr>
        <ns0:tc>
          <ns0:tcPr/>
          <ns0:p>
            <ns0:pPr>
              <ns0:pStyle ns0:val="Compact"/>
            </ns0:pPr>
            <ns0:r>
              <ns0:t xml:space="preserve">20%</ns0:t>
            </ns0:r>
          </ns0:p>
        </ns0:tc>
        <ns0:tc>
          <ns0:tcPr/>
          <ns0:p>
            <ns0:pPr>
              <ns0:pStyle ns0:val="Compact"/>
              <ns0:jc ns0:val="right"/>
            </ns0:pPr>
            <ns0:r>
              <ns0:t xml:space="preserve">0.8242</ns0:t>
            </ns0:r>
          </ns0:p>
        </ns0:tc>
        <ns0:tc>
          <ns0:tcPr/>
          <ns0:p>
            <ns0:pPr>
              <ns0:pStyle ns0:val="Compact"/>
              <ns0:jc ns0:val="right"/>
            </ns0:pPr>
            <ns0:r>
              <ns0:t xml:space="preserve">0.8316</ns0:t>
            </ns0:r>
          </ns0:p>
        </ns0:tc>
      </ns0:tr>
      <ns0:tr>
        <ns0:tc>
          <ns0:tcPr/>
          <ns0:p>
            <ns0:pPr>
              <ns0:pStyle ns0:val="Compact"/>
            </ns0:pPr>
            <ns0:r>
              <ns0:t xml:space="preserve">50%</ns0:t>
            </ns0:r>
          </ns0:p>
        </ns0:tc>
        <ns0:tc>
          <ns0:tcPr/>
          <ns0:p>
            <ns0:pPr>
              <ns0:pStyle ns0:val="Compact"/>
              <ns0:jc ns0:val="right"/>
            </ns0:pPr>
            <ns0:r>
              <ns0:t xml:space="preserve">0.8599</ns0:t>
            </ns0:r>
          </ns0:p>
        </ns0:tc>
        <ns0:tc>
          <ns0:tcPr/>
          <ns0:p>
            <ns0:pPr>
              <ns0:pStyle ns0:val="Compact"/>
              <ns0:jc ns0:val="right"/>
            </ns0:pPr>
            <ns0:r>
              <ns0:t xml:space="preserve">0.8681</ns0:t>
            </ns0:r>
          </ns0:p>
        </ns0:tc>
      </ns0:tr>
    </ns0:tbl>
    <ns0:p>
      <ns0:pPr>
        <ns0:pStyle ns0:val="BodyText"/>
      </ns0:pPr>
      <ns0:r>
        <ns0:t xml:space="preserve">각 점수는 악기종 안의 세 반복을 평균한 뒤 네 악기종을 같은 비중으로 평균했습니다. 평균 차이는 작지만 악기종·주법별 상대 성능은 달랐습니다. 50%에서 col legno battuto F1은 MERT/SVM 0.7423/0.8248, sul ponticello는 0.7678/0.7386이었습니다.</ns0:t>
      </ns0:r>
    </ns0:p>
    <ns0:p>
      <ns0:pPr>
        <ns0:pStyle ns0:val="BodyText"/>
      </ns0:pPr>
      <ns0:r>
        <ns0:t xml:space="preserve">별도의 고정 설정 자기학습 비교에서 5% 의사 라벨 조건은 감독 대조군보다 macro F1이 0.0322 낮았습니다. 다섯 클래스 모두 F1이 낮아졌고 가장 큰 하락은 pizzicato secco에서 관찰했습니다. 이는 해당 자기학습 절차의 진단으로 보고합니다.</ns0:t>
      </ns0:r>
    </ns0:p>
    <ns0:bookmarkEnd ns0:id="10"/>
    <ns0:bookmarkStart ns0:id="11" ns0:name="현재-기여와-해석-범위"/>
    <ns0:p>
      <ns0:pPr>
        <ns0:pStyle ns0:val="Heading2"/>
      </ns0:pPr>
      <ns0:r>
        <ns0:t xml:space="preserve">3. 현재 기여와 해석 범위</ns0:t>
      </ns0:r>
    </ns0:p>
    <ns0:p>
      <ns0:pPr>
        <ns0:pStyle ns0:val="FirstParagraph"/>
      </ns0:pPr>
      <ns0:r>
        <ns0:t xml:space="preserve">현재 기여는 라벨 전달·학습 통계·검증 선택·저장 예측을 연결한 평가 사례, 제한 라벨의 구성 비교와 자기학습 진단, 같은 예측의 재표집 민감도와 결과 재계산 자료입니다. 특징/SVM 현악 주법 분류와 MERT 기반 주법 인식은 선행연구가 있으므로 적용 자체의 최초성을 주장하지 않습니다.</ns0:t>
      </ns0:r>
    </ns0:p>
    <ns0:p>
      <ns0:pPr>
        <ns0:pStyle ns0:val="BodyText"/>
      </ns0:pPr>
      <ns0:r>
        <ns0:t xml:space="preserve">두 구성은 표현과 분류기가 함께 달라져 표현 자체의 효과를 분리하지 못했습니다. 평균 차이 구간이 0을 포함한다는 사실을 모델 동등성으로 해석하지 않습니다. 주법 혼동의 음향적 원인, 새 연주자·세션 및 실제 연주 환경의 성능은 아직 확인하지 않았습니다.</ns0:t>
      </ns0:r>
    </ns0:p>
    <ns0:p>
      <ns0:r>
        <ns0:br ns0:type="page"/>
      </ns0:r>
    </ns0:p>
    <ns0:bookmarkEnd ns0:id="11"/>
    <ns0:bookmarkEnd ns0:id="12"/>
    <ns0:bookmarkStart ns0:id="21" ns0:name="투고-방향-검토와-의견을-부탁드릴-사항"/>
    <ns0:p>
      <ns0:pPr>
        <ns0:pStyle ns0:val="Heading1"/>
      </ns0:pPr>
      <ns0:r>
        <ns0:t xml:space="preserve">투고 방향 검토와 의견을 부탁드릴 사항</ns0:t>
      </ns0:r>
    </ns0:p>
    <ns0:bookmarkStart ns0:id="13" ns0:name="선행연구게재-사례와-현재-원고의-위치"/>
    <ns0:p>
      <ns0:pPr>
        <ns0:pStyle ns0:val="Heading2"/>
      </ns0:pPr>
      <ns0:r>
        <ns0:t xml:space="preserve">4. 선행연구·게재 사례와 현재 원고의 위치</ns0:t>
      </ns0:r>
    </ns0:p>
    <ns0:p>
      <ns0:pPr>
        <ns0:pStyle ns0:val="FirstParagraph"/>
      </ns0:pPr>
      <ns0:r>
        <ns0:t xml:space="preserve">Kruger &amp; Jacobs의 JNMR 논문[1]은 네 현악기의 특징·SVM 주법 분류를 다뤘습니다. MERTech[2]는 MERT 기반 주법 검출과 고정 probing을 포함합니다. 현재 원고는 제한 라벨과 악기종 보류 조건의 구성 비교에 범위를 둡니다.</ns0:t>
      </ns0:r>
    </ns0:p>
    <ns0:p>
      <ns0:pPr>
        <ns0:pStyle ns0:val="BodyText"/>
      </ns0:pPr>
      <ns0:r>
        <ns0:t xml:space="preserve">2026년 MLWA 논문[3]은 기존 오디오 임베딩 비교에 세션 분리, 헤드 대조와 잡음·보컬 간섭 평가를 결합했습니다. 비교 연구도 기여가 될 수 있는 선례지만, 현재 원고는 차이를 해석할 대조가 더 제한적입니다. [3]은 공식 초록·Highlights와 저자 기관 서지를 확인했고 전문 전체를 대조하지는 못했습니다.</ns0:t>
      </ns0:r>
    </ns0:p>
    <ns0:bookmarkEnd ns0:id="13"/>
    <ns0:bookmarkStart ns0:id="14" ns0:name="투고처별-검토-의견"/>
    <ns0:p>
      <ns0:pPr>
        <ns0:pStyle ns0:val="Heading2"/>
      </ns0:pPr>
      <ns0:r>
        <ns0:t xml:space="preserve">5. 투고처별 검토 의견</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on"/>
        </ns0:trPr>
        <ns0:tc>
          <ns0:tcPr/>
          <ns0:p>
            <ns0:pPr>
              <ns0:pStyle ns0:val="Compact"/>
            </ns0:pPr>
            <ns0:r>
              <ns0:t xml:space="preserve">후보</ns0:t>
            </ns0:r>
          </ns0:p>
        </ns0:tc>
        <ns0:tc>
          <ns0:tcPr/>
          <ns0:p>
            <ns0:pPr>
              <ns0:pStyle ns0:val="Compact"/>
            </ns0:pPr>
            <ns0:r>
              <ns0:t xml:space="preserve">현재 원고에 대한 검토 의견</ns0:t>
            </ns0:r>
          </ns0:p>
        </ns0:tc>
      </ns0:tr>
      <ns0:tr>
        <ns0:tc>
          <ns0:tcPr/>
          <ns0:p>
            <ns0:pPr>
              <ns0:pStyle ns0:val="Compact"/>
            </ns0:pPr>
            <ns0:r>
              <ns0:t xml:space="preserve">멀티미디어학회논문지</ns0:t>
            </ns0:r>
          </ns0:p>
        </ns0:tc>
        <ns0:tc>
          <ns0:tcPr/>
          <ns0:p>
            <ns0:pPr>
              <ns0:pStyle ns0:val="Compact"/>
            </ns0:pPr>
            <ns0:r>
              <ns0:t xml:space="preserve">현재 1순위 후보. 좁은 국문 구성 비교·평가 논문으로 제출 준비를 권고합니다.</ns0:t>
            </ns0:r>
          </ns0:p>
        </ns0:tc>
      </ns0:tr>
      <ns0:tr>
        <ns0:tc>
          <ns0:tcPr/>
          <ns0:p>
            <ns0:pPr>
              <ns0:pStyle ns0:val="Compact"/>
            </ns0:pPr>
            <ns0:r>
              <ns0:t xml:space="preserve">Machine Learning with Applications</ns0:t>
            </ns0:r>
          </ns0:p>
        </ns0:tc>
        <ns0:tc>
          <ns0:tcPr/>
          <ns0:p>
            <ns0:pPr>
              <ns0:pStyle ns0:val="Compact"/>
            </ns0:pPr>
            <ns0:r>
              <ns0:t xml:space="preserve">해외 우선 검토 후보. 현재의 검증된 구성 비교·자기학습 진단을 응용·평가 연구로 제시하는 방향입니다.</ns0:t>
            </ns0:r>
          </ns0:p>
        </ns0:tc>
      </ns0:tr>
      <ns0:tr>
        <ns0:tc>
          <ns0:tcPr/>
          <ns0:p>
            <ns0:pPr>
              <ns0:pStyle ns0:val="Compact"/>
            </ns0:pPr>
            <ns0:r>
              <ns0:t xml:space="preserve">TISMIR</ns0:t>
            </ns0:r>
          </ns0:p>
        </ns0:tc>
        <ns0:tc>
          <ns0:tcPr/>
          <ns0:p>
            <ns0:pPr>
              <ns0:pStyle ns0:val="Compact"/>
            </ns0:pPr>
            <ns0:r>
              <ns0:t xml:space="preserve">현재 조건부 비교만으로는 넓은 방법론적·경험적 기여가 충분하지 않다고 판단했습니다.</ns0:t>
            </ns0:r>
          </ns0:p>
        </ns0:tc>
      </ns0:tr>
      <ns0:tr>
        <ns0:tc>
          <ns0:tcPr/>
          <ns0:p>
            <ns0:pPr>
              <ns0:pStyle ns0:val="Compact"/>
            </ns0:pPr>
            <ns0:r>
              <ns0:t xml:space="preserve">Journal of New Music Research</ns0:t>
            </ns0:r>
          </ns0:p>
        </ns0:tc>
        <ns0:tc>
          <ns0:tcPr/>
          <ns0:p>
            <ns0:pPr>
              <ns0:pStyle ns0:val="Compact"/>
            </ns0:pPr>
            <ns0:r>
              <ns0:t xml:space="preserve">주제는 적합하지만 음악적으로 새롭게 밝혀낸 점을 더 강화할 필요가 있습니다.</ns0:t>
            </ns0:r>
          </ns0:p>
        </ns0:tc>
      </ns0:tr>
    </ns0:tbl>
    <ns0:p>
      <ns0:pPr>
        <ns0:pStyle ns0:val="BodyText"/>
      </ns0:pPr>
      <ns0:r>
        <ns0:t xml:space="preserve">위 평가는 현재 원고와 게재 사례를 대조한 검토 의견이며 저널의 공식 합격선이나 게재 보장이 아닙니다. 국내 후보는 공식 분야와 비교 연구 게재 기록을 확인했으나, 최근 현악 주법 논문 여러 편의 전문을 대조한 판단은 아닙니다.</ns0:t>
      </ns0:r>
    </ns0:p>
    <ns0:bookmarkEnd ns0:id="14"/>
    <ns0:bookmarkStart ns0:id="15" ns0:name="선택-가능한-다음-단계"/>
    <ns0:p>
      <ns0:pPr>
        <ns0:pStyle ns0:val="Heading2"/>
      </ns0:pPr>
      <ns0:r>
        <ns0:t xml:space="preserve">6. 선택 가능한 다음 단계</ns0:t>
      </ns0:r>
    </ns0:p>
    <ns0:p>
      <ns0:pPr>
        <ns0:pStyle ns0:val="FirstParagraph"/>
      </ns0:pPr>
      <ns0:r>
        <ns0:t xml:space="preserve">국내 투고를 먼저 준비한다면 현재 결과를 유지하면서 선행연구 대비 범위와 반복별 변동을 더 명확히 제시하고, 국문 학회지 양식과 자료 접근·저자 선언을 정리할 수 있습니다.</ns0:t>
      </ns0:r>
    </ns0:p>
    <ns0:p>
      <ns0:pPr>
        <ns0:pStyle ns0:val="BodyText"/>
      </ns0:pPr>
      <ns0:r>
        <ns0:t xml:space="preserve">추가적인 공통 분류기 대조는 비교의 해석을 강화하려고 별도로 제안했던 선택적 보강안입니다. 25번 계획의 네 필수 검증과는 구별하며, 확정된 다음 작업이나 투고의 공통 필수 조건으로 두지 않습니다. 해당 대조 실험은 수행하지 않았습니다.</ns0:t>
      </ns0:r>
    </ns0:p>
    <ns0:bookmarkEnd ns0:id="15"/>
    <ns0:bookmarkStart ns0:id="16" ns0:name="선생님께-검토를-부탁드리는-사항"/>
    <ns0:p>
      <ns0:pPr>
        <ns0:pStyle ns0:val="Heading2"/>
      </ns0:pPr>
      <ns0:r>
        <ns0:t xml:space="preserve">7. 선생님께 검토를 부탁드리는 사항</ns0:t>
      </ns0:r>
    </ns0:p>
    <ns0:p>
      <ns0:pPr>
        <ns0:pStyle ns0:val="Compact"/>
        <ns0:numPr>
          <ns0:ilvl ns0:val="0"/>
          <ns0:numId ns0:val="1001"/>
        </ns0:numPr>
      </ns0:pPr>
      <ns0:r>
        <ns0:t xml:space="preserve">현재 비교 결과와 원고 범위가 독립된 논문으로 충분한지 의견을 부탁드립니다.</ns0:t>
      </ns0:r>
    </ns0:p>
    <ns0:p>
      <ns0:pPr>
        <ns0:pStyle ns0:val="Compact"/>
        <ns0:numPr>
          <ns0:ilvl ns0:val="0"/>
          <ns0:numId ns0:val="1001"/>
        </ns0:numPr>
      </ns0:pPr>
      <ns0:r>
        <ns0:t xml:space="preserve">검증을 완료한 현재 결과와 기여에 맞는 논문지 및 원고 구성 방향에 대해 의견을 부탁드립니다.</ns0:t>
      </ns0:r>
    </ns0:p>
    <ns0:p>
      <ns0:pPr>
        <ns0:pStyle ns0:val="Compact"/>
        <ns0:numPr>
          <ns0:ilvl ns0:val="0"/>
          <ns0:numId ns0:val="1001"/>
        </ns0:numPr>
      </ns0:pPr>
      <ns0:r>
        <ns0:t xml:space="preserve">기여·음악적 해석에서 보완하거나 축소해야 할 부분이 있는지 검토를 부탁드립니다.</ns0:t>
      </ns0:r>
    </ns0:p>
    <ns0:bookmarkEnd ns0:id="16"/>
    <ns0:bookmarkStart ns0:id="20" ns0:name="주요-근거-문헌"/>
    <ns0:p>
      <ns0:pPr>
        <ns0:pStyle ns0:val="Heading2"/>
      </ns0:pPr>
      <ns0:r>
        <ns0:t xml:space="preserve">주요 근거 문헌</ns0:t>
      </ns0:r>
    </ns0:p>
    <ns0:p>
      <ns0:pPr>
        <ns0:pStyle ns0:val="FirstParagraph"/>
      </ns0:pPr>
      <ns0:r>
        <ns0:t xml:space="preserve">[1]</ns0:t>
      </ns0:r>
      <ns0:r>
        <ns0:t xml:space="preserve"> </ns0:t>
      </ns0:r>
      <ns0:hyperlink ns1:id="rId17">
        <ns0:r>
          <ns0:rPr>
            <ns0:rStyle ns0:val="Hyperlink"/>
          </ns0:rPr>
          <ns0:t xml:space="preserve">Kruger &amp; Jacobs (2020), Playing technique classification for bowed string instruments from raw audio. JNMR.</ns0:t>
        </ns0:r>
      </ns0:hyperlink>
    </ns0:p>
    <ns0:p>
      <ns0:pPr>
        <ns0:pStyle ns0:val="BodyText"/>
      </ns0:pPr>
      <ns0:r>
        <ns0:t xml:space="preserve">[2]</ns0:t>
      </ns0:r>
      <ns0:r>
        <ns0:t xml:space="preserve"> </ns0:t>
      </ns0:r>
      <ns0:hyperlink ns1:id="rId18">
        <ns0:r>
          <ns0:rPr>
            <ns0:rStyle ns0:val="Hyperlink"/>
          </ns0:rPr>
          <ns0:t xml:space="preserve">D. Li et al. (2023), MERTech. 직접 대조한 arXiv 프리프린트 v1.</ns0:t>
        </ns0:r>
      </ns0:hyperlink>
    </ns0:p>
    <ns0:p>
      <ns0:pPr>
        <ns0:pStyle ns0:val="BodyText"/>
      </ns0:pPr>
      <ns0:r>
        <ns0:t xml:space="preserve">[3]</ns0:t>
      </ns0:r>
      <ns0:r>
        <ns0:t xml:space="preserve"> </ns0:t>
      </ns0:r>
      <ns0:hyperlink ns1:id="rId19">
        <ns0:r>
          <ns0:rPr>
            <ns0:rStyle ns0:val="Hyperlink"/>
          </ns0:rPr>
          <ns0:t xml:space="preserve">García González et al. (2026), Evaluating pre-trained audio embeddings for the classification of traditional Portuguese musical instruments. MLWA.</ns0:t>
        </ns0:r>
      </ns0:hyperlink>
    </ns0:p>
    <ns0:bookmarkEnd ns0:id="20"/>
    <ns0:bookmarkEnd ns0:id="21"/>
    <ns0:sectPr>
      <ns0:footnotePr>
        <ns0:numRestart ns0:val="eachSect"/>
      </ns0:footnotePr>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ns0:styles xmlns:ns0="http://schemas.openxmlformats.org/wordprocessingml/2006/main">
  <ns0:docDefaults>
    <ns0:rPrDefault>
      <ns0:rPr>
        <ns0:rFonts ns0:ascii="AppleGothic" ns0:hAnsi="AppleGothic" ns0:eastAsia="AppleGothic" ns0:cs="AppleGothic"/>
        <ns0:sz ns0:val="24"/>
        <ns0:szCs ns0:val="24"/>
        <ns0:lang ns0:bidi="ar-SA" ns0:eastAsia="ko-KR"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qFormat/>
    <ns0:pPr>
      <ns0:spacing ns0:after="180" ns0:before="180"/>
    </ns0:pPr>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AppleGothic" ns0:hAnsi="AppleGothic" ns0:eastAsia="AppleGothic" ns0:cs="AppleGothic"/>
      <ns0:sz ns0:val="56"/>
      <ns0:szCs ns0:val="56"/>
    </ns0:rPr>
  </ns0:style>
  <ns0:style ns0:customStyle="1" ns0:styleId="TitleChar" ns0:type="character">
    <ns0:name ns0:val="Title Char"/>
    <ns0:basedOn ns0:val="DefaultParagraphFont"/>
    <ns0:link ns0:val="Title"/>
    <ns0:uiPriority ns0:val="10"/>
    <ns0:rsid ns0:val="00A10FD9"/>
    <ns0:rPr>
      <ns0:rFonts ns0:ascii="AppleGothic" ns0:hAnsi="AppleGothic" ns0:eastAsia="AppleGothic" ns0:cs="AppleGothic"/>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AppleGothic" ns0:hAnsi="AppleGothic" ns0:eastAsia="AppleGothic" ns0:cs="AppleGothic"/>
      <ns0:spacing ns0:val="15"/>
      <ns0:sz ns0:val="28"/>
      <ns0:szCs ns0:val="28"/>
    </ns0:rPr>
  </ns0:style>
  <ns0:style ns0:customStyle="1" ns0:styleId="SubtitleChar" ns0:type="character">
    <ns0:name ns0:val="Subtitle Char"/>
    <ns0:basedOn ns0:val="DefaultParagraphFont"/>
    <ns0:link ns0:val="Subtitle"/>
    <ns0:uiPriority ns0:val="11"/>
    <ns0:rsid ns0:val="00A10FD9"/>
    <ns0:rPr>
      <ns0:rFonts ns0:ascii="AppleGothic" ns0:hAnsi="AppleGothic" ns0:eastAsia="AppleGothic" ns0:cs="AppleGothic"/>
      <ns0:color ns0:themeColor="text1" ns0:themeTint="A6" ns0:val="595959"/>
      <ns0:spacing ns0:val="15"/>
      <ns0:sz ns0:val="28"/>
      <ns0:szCs ns0:val="28"/>
    </ns0:rPr>
  </ns0:style>
  <ns0:style ns0:customStyle="1" ns0:styleId="Author" ns0:type="paragraph">
    <ns0:name ns0:val="Author"/>
    <ns0:basedOn ns0:val="Title"/>
    <ns0:next ns0:val="BodyText"/>
    <ns0:qFormat/>
    <ns0:pPr>
      <ns0:keepNext/>
      <ns0:keepLines/>
    </ns0:pPr>
    <ns0:rPr>
      <ns0:sz ns0:val="24"/>
      <ns0:szCs ns0:val="24"/>
    </ns0:rPr>
  </ns0:style>
  <ns0:style ns0:styleId="Date" ns0:type="paragraph">
    <ns0:name ns0:val="Date"/>
    <ns0:basedOn ns0:val="Title"/>
    <ns0:next ns0:val="BodyText"/>
    <ns0:qFormat/>
    <ns0:pPr>
      <ns0:keepNext/>
      <ns0:keepLines/>
    </ns0:pPr>
    <ns0:rPr>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AppleGothic" ns0:hAnsi="AppleGothic" ns0:eastAsia="AppleGothic" ns0:cs="AppleGothic"/>
      <ns0:color ns0:themeColor="accent1" ns0:themeShade="BF" ns0:val="0F4761"/>
      <ns0:sz ns0:val="40"/>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AppleGothic" ns0:hAnsi="AppleGothic" ns0:eastAsia="AppleGothic" ns0:cs="AppleGothic"/>
      <ns0:color ns0:themeColor="accent1" ns0:themeShade="BF" ns0:val="0F4761"/>
      <ns0:sz ns0:val="32"/>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AppleGothic" ns0:hAnsi="AppleGothic" ns0:eastAsia="AppleGothic" ns0:cs="AppleGothic"/>
      <ns0:color ns0:themeColor="accent1" ns0:themeShade="BF" ns0:val="0F4761"/>
      <ns0:sz ns0:val="28"/>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AppleGothic" ns0:hAnsi="AppleGothic" ns0:eastAsia="AppleGothic" ns0:cs="AppleGothic"/>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AppleGothic" ns0:hAnsi="AppleGothic" ns0:eastAsia="AppleGothic" ns0:cs="AppleGothic"/>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AppleGothic" ns0:hAnsi="AppleGothic" ns0:eastAsia="AppleGothic" ns0:cs="AppleGothic"/>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AppleGothic" ns0:hAnsi="AppleGothic" ns0:eastAsia="AppleGothic" ns0:cs="AppleGothic"/>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AppleGothic" ns0:hAnsi="AppleGothic" ns0:eastAsia="AppleGothic" ns0:cs="AppleGothic"/>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AppleGothic" ns0:hAnsi="AppleGothic" ns0:eastAsia="AppleGothic" ns0:cs="AppleGothic"/>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AppleGothic" ns0:hAnsi="AppleGothic" ns0:eastAsia="AppleGothic" ns0:cs="AppleGothic"/>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AppleGothic" ns0:hAnsi="AppleGothic" ns0:eastAsia="AppleGothic" ns0:cs="AppleGothic"/>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AppleGothic" ns0:hAnsi="AppleGothic" ns0:eastAsia="AppleGothic" ns0:cs="AppleGothic"/>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AppleGothic" ns0:hAnsi="AppleGothic" ns0:eastAsia="AppleGothic" ns0:cs="AppleGothic"/>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AppleGothic" ns0:hAnsi="AppleGothic" ns0:eastAsia="AppleGothic" ns0:cs="AppleGothic"/>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AppleGothic" ns0:hAnsi="AppleGothic" ns0:eastAsia="AppleGothic" ns0:cs="AppleGothic"/>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AppleGothic" ns0:hAnsi="AppleGothic" ns0:eastAsia="AppleGothic" ns0:cs="AppleGothic"/>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AppleGothic" ns0:hAnsi="AppleGothic" ns0:eastAsia="AppleGothic" ns0:cs="AppleGothic"/>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AppleGothic" ns0:hAnsi="AppleGothic" ns0:eastAsia="AppleGothic" ns0:cs="AppleGothic"/>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AppleGothic" ns0:hAnsi="AppleGothic" ns0:eastAsia="AppleGothic" ns0:cs="AppleGothi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AppleGothic" ns0:hAnsi="AppleGothic" ns0:eastAsia="AppleGothic" ns0:cs="AppleGothi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b/>
      <ns0:color ns0:val="007020"/>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b/>
      <ns0:color ns0:val="008000"/>
    </ns0:rPr>
  </ns0:style>
  <ns0:style ns0:type="character" ns0:customStyle="1" ns0:styleId="CommentTok">
    <ns0:name ns0:val="CommentTok"/>
    <ns0:basedOn ns0:val="VerbatimChar"/>
    <ns0:rPr>
      <ns0:i/>
      <ns0:color ns0:val="60a0b0"/>
    </ns0:rPr>
  </ns0:style>
  <ns0:style ns0:type="character" ns0:customStyle="1" ns0:styleId="DocumentationTok">
    <ns0:name ns0:val="DocumentationTok"/>
    <ns0:basedOn ns0:val="VerbatimChar"/>
    <ns0:rPr>
      <ns0:i/>
      <ns0:color ns0:val="ba2121"/>
    </ns0:rPr>
  </ns0:style>
  <ns0:style ns0:type="character" ns0:customStyle="1" ns0:styleId="AnnotationTok">
    <ns0:name ns0:val="AnnotationTok"/>
    <ns0:basedOn ns0:val="VerbatimChar"/>
    <ns0:rPr>
      <ns0:b/>
      <ns0:i/>
      <ns0:color ns0:val="60a0b0"/>
    </ns0:rPr>
  </ns0:style>
  <ns0:style ns0:type="character" ns0:customStyle="1" ns0:styleId="CommentVarTok">
    <ns0:name ns0:val="CommentVarTok"/>
    <ns0:basedOn ns0:val="VerbatimChar"/>
    <ns0:rPr>
      <ns0:b/>
      <ns0:i/>
      <ns0:color ns0:val="60a0b0"/>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b/>
      <ns0:color ns0:val="007020"/>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color ns0:val="008000"/>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b/>
      <ns0:i/>
      <ns0:color ns0:val="60a0b0"/>
    </ns0:rPr>
  </ns0:style>
  <ns0:style ns0:type="character" ns0:customStyle="1" ns0:styleId="WarningTok">
    <ns0:name ns0:val="WarningTok"/>
    <ns0:basedOn ns0:val="VerbatimChar"/>
    <ns0:rPr>
      <ns0:b/>
      <ns0:i/>
      <ns0:color ns0:val="60a0b0"/>
    </ns0:rPr>
  </ns0:style>
  <ns0:style ns0:type="character" ns0:customStyle="1" ns0:styleId="AlertTok">
    <ns0:name ns0:val="AlertTok"/>
    <ns0:basedOn ns0:val="VerbatimChar"/>
    <ns0:rPr>
      <ns0:b/>
      <ns0:color ns0:val="ff0000"/>
    </ns0:rPr>
  </ns0:style>
  <ns0:style ns0:type="character" ns0:customStyle="1" ns0:styleId="ErrorTok">
    <ns0:name ns0:val="ErrorTok"/>
    <ns0:basedOn ns0:val="VerbatimChar"/>
    <ns0:rPr>
      <ns0:b/>
      <ns0:color ns0:val="ff0000"/>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arxiv.org/abs/2310.09853v1" TargetMode="External" /><Relationship Type="http://schemas.openxmlformats.org/officeDocument/2006/relationships/hyperlink" Id="rId19" Target="https://doi.org/10.1016/j.mlwa.2026.100910" TargetMode="External" /><Relationship Type="http://schemas.openxmlformats.org/officeDocument/2006/relationships/hyperlink" Id="rId17" Target="https://doi.org/10.1080/09298215.2020.1784957" TargetMode="External" /></Relationships>
</file>

<file path=word/_rels/footnotes.xml.rels><?xml version="1.0" encoding="UTF-8"?><Relationships xmlns="http://schemas.openxmlformats.org/package/2006/relationships"><Relationship Type="http://schemas.openxmlformats.org/officeDocument/2006/relationships/hyperlink" Id="rId18" Target="https://arxiv.org/abs/2310.09853v1" TargetMode="External" /><Relationship Type="http://schemas.openxmlformats.org/officeDocument/2006/relationships/hyperlink" Id="rId19" Target="https://doi.org/10.1016/j.mlwa.2026.100910" TargetMode="External" /><Relationship Type="http://schemas.openxmlformats.org/officeDocument/2006/relationships/hyperlink" Id="rId17" Target="https://doi.org/10.1080/09298215.2020.17849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ko-KR</dc:language>
  <cp:keywords/>
  <dcterms:created xsi:type="dcterms:W3CDTF">2026-10-07T12:38:06Z</dcterms:created>
  <dcterms:modified xsi:type="dcterms:W3CDTF">2026-10-07T12:38:06Z</dcterms:modified>
</cp:coreProperties>
</file>

<file path=docProps/custom.xml><?xml version="1.0" encoding="utf-8"?>
<Properties xmlns="http://schemas.openxmlformats.org/officeDocument/2006/custom-properties" xmlns:vt="http://schemas.openxmlformats.org/officeDocument/2006/docPropsVTypes"/>
</file>