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43ee6326dd18cca30f5903ff3bcc5649810911"/>
    <w:p>
      <w:pPr>
        <w:pStyle w:val="Heading1"/>
      </w:pPr>
      <w:r>
        <w:t xml:space="preserve">When Foundation Models Only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Better: Three Evaluation Pitfalls in Fine-Grained String Articulation Classification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Self-supervised audio foundation models are increasingly assumed to outperform handcrafted</w:t>
      </w:r>
      <w:r>
        <w:t xml:space="preserve"> </w:t>
      </w:r>
      <w:r>
        <w:t xml:space="preserve">acoustic features on music understanding tasks. We test this assumption on fine-grained string</w:t>
      </w:r>
      <w:r>
        <w:t xml:space="preserve"> </w:t>
      </w:r>
      <w:r>
        <w:t xml:space="preserve">articulation classification (five techniques —</w:t>
      </w:r>
      <w:r>
        <w:t xml:space="preserve"> </w:t>
      </w:r>
      <w:r>
        <w:rPr>
          <w:i/>
          <w:iCs/>
        </w:rPr>
        <w:t xml:space="preserve">ordinario, pizzicato secco, tremolo,</w:t>
      </w:r>
      <w:r>
        <w:rPr>
          <w:i/>
          <w:iCs/>
        </w:rPr>
        <w:t xml:space="preserve"> </w:t>
      </w:r>
      <w:r>
        <w:rPr>
          <w:i/>
          <w:iCs/>
        </w:rPr>
        <w:t xml:space="preserve">sul ponticello, col legno battuto</w:t>
      </w:r>
      <w:r>
        <w:t xml:space="preserve"> </w:t>
      </w:r>
      <w:r>
        <w:t xml:space="preserve">— on OrchideaSOL, evaluated leave-one-instrument-out). An</w:t>
      </w:r>
      <w:r>
        <w:t xml:space="preserve"> </w:t>
      </w:r>
      <w:r>
        <w:t xml:space="preserve">initial pipeline suggested a foundation-model (MERT) advantage under limited labels. Auditing</w:t>
      </w:r>
      <w:r>
        <w:t xml:space="preserve"> </w:t>
      </w:r>
      <w:r>
        <w:t xml:space="preserve">our own protocol, we find this advantage is an artifact of three evaluation pitfalls: (i)</w:t>
      </w:r>
      <w:r>
        <w:t xml:space="preserve"> </w:t>
      </w:r>
      <w:r>
        <w:t xml:space="preserve">selection-time test-set leakage in self-training, (ii) backbone undertuning, and (iii) a</w:t>
      </w:r>
      <w:r>
        <w:t xml:space="preserve"> </w:t>
      </w:r>
      <w:r>
        <w:t xml:space="preserve">mismatched resampling unit in uncertainty quantification. Removing the first two</w:t>
      </w:r>
      <w:r>
        <w:t xml:space="preserve"> </w:t>
      </w:r>
      <w:r>
        <w:rPr>
          <w:b/>
          <w:bCs/>
        </w:rPr>
        <w:t xml:space="preserve">flips the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 twice</w:t>
      </w:r>
      <w:r>
        <w:t xml:space="preserve">; the third, left uncorrected, would flip it a third time. After correction,</w:t>
      </w:r>
      <w:r>
        <w:t xml:space="preserve"> </w:t>
      </w:r>
      <w:r>
        <w:t xml:space="preserve">a tuned MERT head and a tuned SVM over 245-dimensional descriptors are</w:t>
      </w:r>
      <w:r>
        <w:t xml:space="preserve"> </w:t>
      </w:r>
      <w:r>
        <w:rPr>
          <w:b/>
          <w:bCs/>
        </w:rPr>
        <w:t xml:space="preserve">statistically</w:t>
      </w:r>
      <w:r>
        <w:rPr>
          <w:b/>
          <w:bCs/>
        </w:rPr>
        <w:t xml:space="preserve"> </w:t>
      </w:r>
      <w:r>
        <w:rPr>
          <w:b/>
          <w:bCs/>
        </w:rPr>
        <w:t xml:space="preserve">indistinguishable</w:t>
      </w:r>
      <w:r>
        <w:t xml:space="preserve"> </w:t>
      </w:r>
      <w:r>
        <w:t xml:space="preserve">across 5–50% label budgets (all gaps within ±0.7 fold-std, n=4). A</w:t>
      </w:r>
      <w:r>
        <w:t xml:space="preserve"> </w:t>
      </w:r>
      <w:r>
        <w:t xml:space="preserve">layer-wise descriptor probe explains why: the discriminative low-level cue (onset-strength</w:t>
      </w:r>
      <w:r>
        <w:t xml:space="preserve"> </w:t>
      </w:r>
      <w:r>
        <w:t xml:space="preserve">envelope) is already linearly recoverable at MERT’s convolutional front-end (R²=0.77, before</w:t>
      </w:r>
      <w:r>
        <w:t xml:space="preserve"> </w:t>
      </w:r>
      <w:r>
        <w:t xml:space="preserve">any transformer layer), and depth adds mainly harmonic abstraction this task does not require.</w:t>
      </w:r>
      <w:r>
        <w:t xml:space="preserve"> </w:t>
      </w:r>
      <w:r>
        <w:t xml:space="preserve">The conclusion holds even when the backbone itself is fine-tuned: a larger tuning budget does</w:t>
      </w:r>
      <w:r>
        <w:t xml:space="preserve"> </w:t>
      </w:r>
      <w:r>
        <w:t xml:space="preserve">not improve MERT. Our contribution is not a new state-of-the-art model but a reproducible account of three</w:t>
      </w:r>
      <w:r>
        <w:t xml:space="preserve"> </w:t>
      </w:r>
      <w:r>
        <w:t xml:space="preserve">pitfalls, a practical checklist, and a scoped negative result: for low-dimensional</w:t>
      </w:r>
      <w:r>
        <w:t xml:space="preserve"> </w:t>
      </w:r>
      <w:r>
        <w:t xml:space="preserve">strong-signal, small-data fine-grained tasks, heavy models offer no practical gain.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Automatic recognition of instrumental playing techniques is a core problem in music information</w:t>
      </w:r>
      <w:r>
        <w:t xml:space="preserve"> </w:t>
      </w:r>
      <w:r>
        <w:t xml:space="preserve">retrieval, with applications in performance analysis, music education, and expressive-content</w:t>
      </w:r>
      <w:r>
        <w:t xml:space="preserve"> </w:t>
      </w:r>
      <w:r>
        <w:t xml:space="preserve">indexing. String articulations in particular carry fine acoustic distinctions — the bow</w:t>
      </w:r>
      <w:r>
        <w:t xml:space="preserve"> </w:t>
      </w:r>
      <w:r>
        <w:t xml:space="preserve">striking the string (</w:t>
      </w:r>
      <w:r>
        <w:rPr>
          <w:i/>
          <w:iCs/>
        </w:rPr>
        <w:t xml:space="preserve">col legno</w:t>
      </w:r>
      <w:r>
        <w:t xml:space="preserve">), bowing near the bridge (</w:t>
      </w:r>
      <w:r>
        <w:rPr>
          <w:i/>
          <w:iCs/>
        </w:rPr>
        <w:t xml:space="preserve">sul ponticello</w:t>
      </w:r>
      <w:r>
        <w:t xml:space="preserve">), rapid re-bowing</w:t>
      </w:r>
      <w:r>
        <w:t xml:space="preserve"> </w:t>
      </w:r>
      <w:r>
        <w:t xml:space="preserve">(</w:t>
      </w:r>
      <w:r>
        <w:rPr>
          <w:i/>
          <w:iCs/>
        </w:rPr>
        <w:t xml:space="preserve">tremolo</w:t>
      </w:r>
      <w:r>
        <w:t xml:space="preserve">). As self-supervised audio foundation models (e.g., MERT) achieve strong results</w:t>
      </w:r>
      <w:r>
        <w:t xml:space="preserve"> </w:t>
      </w:r>
      <w:r>
        <w:t xml:space="preserve">across MIR benchmarks, a common expectation is that such models also dominate fine-grained</w:t>
      </w:r>
      <w:r>
        <w:t xml:space="preserve"> </w:t>
      </w:r>
      <w:r>
        <w:t xml:space="preserve">technique classification, rendering handcrafted acoustic features obsolete.</w:t>
      </w:r>
    </w:p>
    <w:p>
      <w:pPr>
        <w:pStyle w:val="BodyText"/>
      </w:pPr>
      <w:r>
        <w:t xml:space="preserve">We show this expectation is easy to</w:t>
      </w:r>
      <w:r>
        <w:t xml:space="preserve"> </w:t>
      </w:r>
      <w:r>
        <w:rPr>
          <w:i/>
          <w:iCs/>
        </w:rPr>
        <w:t xml:space="preserve">manufacture</w:t>
      </w:r>
      <w:r>
        <w:t xml:space="preserve"> </w:t>
      </w:r>
      <w:r>
        <w:t xml:space="preserve">and hard to</w:t>
      </w:r>
      <w:r>
        <w:t xml:space="preserve"> </w:t>
      </w:r>
      <w:r>
        <w:rPr>
          <w:i/>
          <w:iCs/>
        </w:rPr>
        <w:t xml:space="preserve">verify</w:t>
      </w:r>
      <w:r>
        <w:t xml:space="preserve">. Small, individually</w:t>
      </w:r>
      <w:r>
        <w:t xml:space="preserve"> </w:t>
      </w:r>
      <w:r>
        <w:t xml:space="preserve">reasonable evaluation choices can inflate an apparent foundation-model advantage without any</w:t>
      </w:r>
      <w:r>
        <w:t xml:space="preserve"> </w:t>
      </w:r>
      <w:r>
        <w:t xml:space="preserve">real modeling gain. We isolate three such choices that arose in our own pipeline and quantify</w:t>
      </w:r>
      <w:r>
        <w:t xml:space="preserve"> </w:t>
      </w:r>
      <w:r>
        <w:t xml:space="preserve">each with a before/after comparison.</w:t>
      </w:r>
    </w:p>
    <w:p>
      <w:pPr>
        <w:pStyle w:val="BodyText"/>
      </w:pPr>
      <w:r>
        <w:rPr>
          <w:i/>
          <w:iCs/>
        </w:rPr>
        <w:t xml:space="preserve">(i) Selection-time test-set leakage.</w:t>
      </w:r>
      <w:r>
        <w:t xml:space="preserve"> </w:t>
      </w:r>
      <w:r>
        <w:t xml:space="preserve">Choosing the self-training iteration (or a decision</w:t>
      </w:r>
      <w:r>
        <w:t xml:space="preserve"> </w:t>
      </w:r>
      <w:r>
        <w:t xml:space="preserve">threshold) by test-set F1 leaks the target into model selection; removing it drops</w:t>
      </w:r>
      <w:r>
        <w:t xml:space="preserve"> </w:t>
      </w:r>
      <w:r>
        <w:t xml:space="preserve">self-training macro-F1 by up to 0.107 at the 5% label budget and erases an apparent SVM–MERT</w:t>
      </w:r>
      <w:r>
        <w:t xml:space="preserve"> </w:t>
      </w:r>
      <w:r>
        <w:t xml:space="preserve">crossover.</w:t>
      </w:r>
      <w:r>
        <w:t xml:space="preserve"> </w:t>
      </w:r>
      <w:r>
        <w:rPr>
          <w:i/>
          <w:iCs/>
        </w:rPr>
        <w:t xml:space="preserve">(ii) Backbone undertuning.</w:t>
      </w:r>
      <w:r>
        <w:t xml:space="preserve"> </w:t>
      </w:r>
      <w:r>
        <w:t xml:space="preserve">A single linear head on the last hidden state</w:t>
      </w:r>
      <w:r>
        <w:t xml:space="preserve"> </w:t>
      </w:r>
      <w:r>
        <w:t xml:space="preserve">understates the backbone; a convention-matched search (MLP / layer-weighted head, disjoint</w:t>
      </w:r>
      <w:r>
        <w:t xml:space="preserve"> </w:t>
      </w:r>
      <w:r>
        <w:t xml:space="preserve">selection val) raises tuned MERT by 0.025–0.046.</w:t>
      </w:r>
      <w:r>
        <w:t xml:space="preserve"> </w:t>
      </w:r>
      <w:r>
        <w:rPr>
          <w:i/>
          <w:iCs/>
        </w:rPr>
        <w:t xml:space="preserve">(iii) Resampling unit in uncertainty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quantification.</w:t>
      </w:r>
      <w:r>
        <w:t xml:space="preserve"> </w:t>
      </w:r>
      <w:r>
        <w:t xml:space="preserve">A BCa bootstrap that resamples only test clips — holding folds fixed — reports</w:t>
      </w:r>
      <w:r>
        <w:t xml:space="preserve"> </w:t>
      </w:r>
      <w:r>
        <w:t xml:space="preserve">SVM as significantly ahead at 5% and 20%; resampling at the correct unit (instruments/folds, the</w:t>
      </w:r>
      <w:r>
        <w:t xml:space="preserve"> </w:t>
      </w:r>
      <w:r>
        <w:t xml:space="preserve">dominant variance component for a cross-instrument claim) returns confidence intervals that cover</w:t>
      </w:r>
      <w:r>
        <w:t xml:space="preserve"> </w:t>
      </w:r>
      <w:r>
        <w:t xml:space="preserve">zero everywhere. Pitfalls (i) and (ii) each</w:t>
      </w:r>
      <w:r>
        <w:t xml:space="preserve"> </w:t>
      </w:r>
      <w:r>
        <w:rPr>
          <w:b/>
          <w:bCs/>
        </w:rPr>
        <w:t xml:space="preserve">flipped our conclusion</w:t>
      </w:r>
      <w:r>
        <w:t xml:space="preserve"> </w:t>
      </w:r>
      <w:r>
        <w:t xml:space="preserve">— first toward, then away</w:t>
      </w:r>
      <w:r>
        <w:t xml:space="preserve"> </w:t>
      </w:r>
      <w:r>
        <w:t xml:space="preserve">from the foundation model; (iii) was caught before it flipped it a third time.</w:t>
      </w:r>
    </w:p>
    <w:p>
      <w:pPr>
        <w:pStyle w:val="BodyText"/>
      </w:pPr>
      <w:r>
        <w:t xml:space="preserve">With all three controlled, and under</w:t>
      </w:r>
      <w:r>
        <w:t xml:space="preserve"> </w:t>
      </w:r>
      <w:r>
        <w:rPr>
          <w:b/>
          <w:bCs/>
        </w:rPr>
        <w:t xml:space="preserve">equal training data</w:t>
      </w:r>
      <w:r>
        <w:t xml:space="preserve">, tuned MERT and a tuned</w:t>
      </w:r>
      <w:r>
        <w:t xml:space="preserve"> </w:t>
      </w:r>
      <w:r>
        <w:t xml:space="preserve">245-dimensional SVM are indistinguishable across label budgets (5–50%; all gaps within ±0.7</w:t>
      </w:r>
      <w:r>
        <w:t xml:space="preserve"> </w:t>
      </w:r>
      <w:r>
        <w:t xml:space="preserve">fold-std). A layer-wise descriptor probe locates the reason: the onset-strength envelope that</w:t>
      </w:r>
      <w:r>
        <w:t xml:space="preserve"> </w:t>
      </w:r>
      <w:r>
        <w:t xml:space="preserve">separates these techniques is already linearly present at MERT’s convolutional front-end</w:t>
      </w:r>
      <w:r>
        <w:t xml:space="preserve"> </w:t>
      </w:r>
      <w:r>
        <w:t xml:space="preserve">(R²=0.77, pre-transformer), and the twelve transformer layers add almost nothing to its band</w:t>
      </w:r>
      <w:r>
        <w:t xml:space="preserve"> </w:t>
      </w:r>
      <w:r>
        <w:t xml:space="preserve">average (+0.008, peaking only +0.083 above the front-end); the only descriptor that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with</w:t>
      </w:r>
      <w:r>
        <w:t xml:space="preserve"> </w:t>
      </w:r>
      <w:r>
        <w:t xml:space="preserve">depth is chroma — harmonic abstraction this articulation task does not need. The heavy model has</w:t>
      </w:r>
      <w:r>
        <w:t xml:space="preserve"> </w:t>
      </w:r>
      <w:r>
        <w:t xml:space="preserve">nothing task-relevant to add that the front-end has not already exposed.</w:t>
      </w:r>
    </w:p>
    <w:p>
      <w:pPr>
        <w:pStyle w:val="BodyText"/>
      </w:pPr>
      <w:r>
        <w:t xml:space="preserve">Our contributions are: (1) a reproducible account of three evaluation pitfalls in fine-grained</w:t>
      </w:r>
      <w:r>
        <w:t xml:space="preserve"> </w:t>
      </w:r>
      <w:r>
        <w:t xml:space="preserve">audio classification, each with a before/after quantification on the same data; (2) a</w:t>
      </w:r>
      <w:r>
        <w:t xml:space="preserve"> </w:t>
      </w:r>
      <w:r>
        <w:t xml:space="preserve">practitioner checklist for avoiding them; and (3) a scoped negative result — on low-dimensional,</w:t>
      </w:r>
      <w:r>
        <w:t xml:space="preserve"> </w:t>
      </w:r>
      <w:r>
        <w:t xml:space="preserve">strong-signal, small-data fine-grained tasks, self-supervised foundation models yield no</w:t>
      </w:r>
      <w:r>
        <w:t xml:space="preserve"> </w:t>
      </w:r>
      <w:r>
        <w:t xml:space="preserve">practical advantage over well-tuned handcrafted features — supported by a mechanistic</w:t>
      </w:r>
      <w:r>
        <w:t xml:space="preserve"> </w:t>
      </w:r>
      <w:r>
        <w:t xml:space="preserve">layer-wise analysis rather than accuracy alone.</w:t>
      </w:r>
    </w:p>
    <w:p>
      <w:r>
        <w:pict>
          <v:rect style="width:0;height:1.5pt" o:hralign="center" o:hrstd="t" o:hr="t"/>
        </w:pict>
      </w:r>
    </w:p>
    <w:bookmarkEnd w:id="10"/>
    <w:bookmarkStart w:id="14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We organize prior work along two axes:</w:t>
      </w:r>
      <w:r>
        <w:t xml:space="preserve"> </w:t>
      </w:r>
      <w:r>
        <w:rPr>
          <w:i/>
          <w:iCs/>
        </w:rPr>
        <w:t xml:space="preserve">what is classified</w:t>
      </w:r>
      <w:r>
        <w:t xml:space="preserve"> </w:t>
      </w:r>
      <w:r>
        <w:t xml:space="preserve">(§2.1, the feature/model lineage of</w:t>
      </w:r>
      <w:r>
        <w:t xml:space="preserve"> </w:t>
      </w:r>
      <w:r>
        <w:t xml:space="preserve">string playing-technique recognition) and</w:t>
      </w:r>
      <w:r>
        <w:t xml:space="preserve"> </w:t>
      </w:r>
      <w:r>
        <w:rPr>
          <w:i/>
          <w:iCs/>
        </w:rPr>
        <w:t xml:space="preserve">how it is evaluated</w:t>
      </w:r>
      <w:r>
        <w:t xml:space="preserve"> </w:t>
      </w:r>
      <w:r>
        <w:t xml:space="preserve">(§2.2, the SSL/semi-supervised</w:t>
      </w:r>
      <w:r>
        <w:t xml:space="preserve"> </w:t>
      </w:r>
      <w:r>
        <w:t xml:space="preserve">evaluation-pitfalls literature). §2.3 bridges them with a coding of prior technique-classification</w:t>
      </w:r>
      <w:r>
        <w:t xml:space="preserve"> </w:t>
      </w:r>
      <w:r>
        <w:t xml:space="preserve">work along evaluation-practice axes, exposing the gap our three pitfalls occupy.</w:t>
      </w:r>
    </w:p>
    <w:bookmarkStart w:id="11" w:name="playing-technique-classification"/>
    <w:p>
      <w:pPr>
        <w:pStyle w:val="Heading3"/>
      </w:pPr>
      <w:r>
        <w:t xml:space="preserve">2.1 Playing-technique classification</w:t>
      </w:r>
    </w:p>
    <w:p>
      <w:pPr>
        <w:pStyle w:val="FirstParagraph"/>
      </w:pPr>
      <w:r>
        <w:rPr>
          <w:b/>
          <w:bCs/>
        </w:rPr>
        <w:t xml:space="preserve">Handcrafted acoustic features on bowed strings.</w:t>
      </w:r>
      <w:r>
        <w:t xml:space="preserve"> </w:t>
      </w:r>
      <w:r>
        <w:t xml:space="preserve">The task closest to ours is instrument</w:t>
      </w:r>
      <w:r>
        <w:t xml:space="preserve"> </w:t>
      </w:r>
      <w:r>
        <w:t xml:space="preserve">playing-technique (IPT) classification on bowed strings from audio. Su et al. [cite, 2014 TASLP]</w:t>
      </w:r>
      <w:r>
        <w:t xml:space="preserve"> </w:t>
      </w:r>
      <w:r>
        <w:t xml:space="preserve">classify nine techniques on exactly the four instruments we use (violin, viola, cello,</w:t>
      </w:r>
      <w:r>
        <w:t xml:space="preserve"> </w:t>
      </w:r>
      <w:r>
        <w:t xml:space="preserve">contrabass), showing that phase-derived features (group-delay, instantaneous-frequency) with</w:t>
      </w:r>
      <w:r>
        <w:t xml:space="preserve"> </w:t>
      </w:r>
      <w:r>
        <w:t xml:space="preserve">sparse coding lift macro-F1 from 0.835 (magnitude-only) to 0.915 — but also that cross-corpus</w:t>
      </w:r>
      <w:r>
        <w:t xml:space="preserve"> </w:t>
      </w:r>
      <w:r>
        <w:t xml:space="preserve">transfer (RWC → real recordings) collapses to 0.547. Kruger &amp; Jacobs [cite, 2020 JNMR] classify</w:t>
      </w:r>
      <w:r>
        <w:t xml:space="preserve"> </w:t>
      </w:r>
      <w:r>
        <w:t xml:space="preserve">up to eleven techniques with an SVM over handcrafted features on RWC under a random 70/30 split.</w:t>
      </w:r>
      <w:r>
        <w:t xml:space="preserve"> </w:t>
      </w:r>
      <w:r>
        <w:t xml:space="preserve">Barbancho et al. [cite, 2009 ICASSP] detect six violin techniques with a hand-built decision</w:t>
      </w:r>
      <w:r>
        <w:t xml:space="preserve"> </w:t>
      </w:r>
      <w:r>
        <w:t xml:space="preserve">flowchart (no learning). These establish that (a) fine articulation distinctions are carried by</w:t>
      </w:r>
      <w:r>
        <w:t xml:space="preserve"> </w:t>
      </w:r>
      <w:r>
        <w:t xml:space="preserve">low-level spectral/temporal cues, and (b) generalization</w:t>
      </w:r>
      <w:r>
        <w:t xml:space="preserve"> </w:t>
      </w:r>
      <w:r>
        <w:rPr>
          <w:i/>
          <w:iCs/>
        </w:rPr>
        <w:t xml:space="preserve">across recording sources</w:t>
      </w:r>
      <w:r>
        <w:t xml:space="preserve"> </w:t>
      </w:r>
      <w:r>
        <w:t xml:space="preserve">is the hard</w:t>
      </w:r>
      <w:r>
        <w:t xml:space="preserve"> </w:t>
      </w:r>
      <w:r>
        <w:t xml:space="preserve">part — the tension our leave-one-instrument-out protocol targets.</w:t>
      </w:r>
    </w:p>
    <w:p>
      <w:pPr>
        <w:pStyle w:val="BodyText"/>
      </w:pPr>
      <w:r>
        <w:rPr>
          <w:b/>
          <w:bCs/>
        </w:rPr>
        <w:t xml:space="preserve">Scattering-transform and multi-scale lineage.</w:t>
      </w:r>
      <w:r>
        <w:t xml:space="preserve"> </w:t>
      </w:r>
      <w:r>
        <w:t xml:space="preserve">A second line argues MFCCs miss the</w:t>
      </w:r>
      <w:r>
        <w:t xml:space="preserve"> </w:t>
      </w:r>
      <w:r>
        <w:t xml:space="preserve">amplitude/frequency modulation that defines many techniques (tremolo, vibrato), and replaces</w:t>
      </w:r>
      <w:r>
        <w:t xml:space="preserve"> </w:t>
      </w:r>
      <w:r>
        <w:t xml:space="preserve">them with (joint time-frequency) scattering transforms. Lostanlen et al. [cite, 2018 DLfM]</w:t>
      </w:r>
      <w:r>
        <w:t xml:space="preserve"> </w:t>
      </w:r>
      <w:r>
        <w:t xml:space="preserve">introduce this on SOL — the dataset underlying our OrchideaSOL — and frame IPT as harder than</w:t>
      </w:r>
      <w:r>
        <w:t xml:space="preserve"> </w:t>
      </w:r>
      <w:r>
        <w:t xml:space="preserve">instrument recognition. Wang et al. extend adaptive scattering to Chinese bamboo flute [cite,</w:t>
      </w:r>
      <w:r>
        <w:t xml:space="preserve"> </w:t>
      </w:r>
      <w:r>
        <w:t xml:space="preserve">2020 ICASSP; 2022 TASLP], reporting macro-F1 79.9% vs 35.9% for MFCCs. Ducher &amp; Esling [cite,</w:t>
      </w:r>
      <w:r>
        <w:t xml:space="preserve"> </w:t>
      </w:r>
      <w:r>
        <w:t xml:space="preserve">2019 ISMIR] decompose cello IPT into orthogonal axes and cross-validate over five soundbanks</w:t>
      </w:r>
      <w:r>
        <w:t xml:space="preserve"> </w:t>
      </w:r>
      <w:r>
        <w:t xml:space="preserve">(their</w:t>
      </w:r>
      <w:r>
        <w:t xml:space="preserve"> </w:t>
      </w:r>
      <w:r>
        <w:rPr>
          <w:i/>
          <w:iCs/>
        </w:rPr>
        <w:t xml:space="preserve">minus-1db</w:t>
      </w:r>
      <w:r>
        <w:t xml:space="preserve"> </w:t>
      </w:r>
      <w:r>
        <w:t xml:space="preserve">protocol), showing a flat 18-way classifier fails (41.5%) where a</w:t>
      </w:r>
      <w:r>
        <w:t xml:space="preserve"> </w:t>
      </w:r>
      <w:r>
        <w:t xml:space="preserve">taxonomy-aware CQT-RCNN reaches 57.6%. This lineage motivates our</w:t>
      </w:r>
      <w:r>
        <w:t xml:space="preserve"> </w:t>
      </w:r>
      <w:r>
        <w:rPr>
          <w:i/>
          <w:iCs/>
        </w:rPr>
        <w:t xml:space="preserve">Chroma-as-control</w:t>
      </w:r>
      <w:r>
        <w:t xml:space="preserve"> </w:t>
      </w:r>
      <w:r>
        <w:t xml:space="preserve">ablation</w:t>
      </w:r>
      <w:r>
        <w:t xml:space="preserve"> </w:t>
      </w:r>
      <w:r>
        <w:t xml:space="preserve">and our reading of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as a technique that moves several acoustic axes at once.</w:t>
      </w:r>
    </w:p>
    <w:p>
      <w:pPr>
        <w:pStyle w:val="BodyText"/>
      </w:pPr>
      <w:r>
        <w:rPr>
          <w:b/>
          <w:bCs/>
        </w:rPr>
        <w:t xml:space="preserve">Spectrogram-CNN and onset-fusion.</w:t>
      </w:r>
      <w:r>
        <w:t xml:space="preserve"> </w:t>
      </w:r>
      <w:r>
        <w:t xml:space="preserve">On the deep-learning side, frame-level detectors on</w:t>
      </w:r>
      <w:r>
        <w:t xml:space="preserve"> </w:t>
      </w:r>
      <w:r>
        <w:t xml:space="preserve">Guzheng and Erhu [cite, 2019 arXiv; 2022 ISMIR; 2023 ICASSP] show that fusing note-onset</w:t>
      </w:r>
      <w:r>
        <w:t xml:space="preserve"> </w:t>
      </w:r>
      <w:r>
        <w:t xml:space="preserve">information roughly doubles note-level F1 (39.5% → 80.8%), directly evidencing that</w:t>
      </w:r>
      <w:r>
        <w:t xml:space="preserve"> </w:t>
      </w:r>
      <w:r>
        <w:rPr>
          <w:i/>
          <w:iCs/>
        </w:rPr>
        <w:t xml:space="preserve">attack/onset</w:t>
      </w:r>
      <w:r>
        <w:t xml:space="preserve"> </w:t>
      </w:r>
      <w:r>
        <w:t xml:space="preserve">cues dominate IPT — consistent with our SHAP finding that the onset-strength envelope is the</w:t>
      </w:r>
      <w:r>
        <w:t xml:space="preserve"> </w:t>
      </w:r>
      <w:r>
        <w:t xml:space="preserve">single most important feature. CNN-on-spectrogram studies on violin bowing [cite, 2021</w:t>
      </w:r>
      <w:r>
        <w:t xml:space="preserve"> </w:t>
      </w:r>
      <w:r>
        <w:t xml:space="preserve">MLwithApps] and electric guitar [cite, 2025 SciRep] report &gt;90% accuracy but under evaluation</w:t>
      </w:r>
      <w:r>
        <w:t xml:space="preserve"> </w:t>
      </w:r>
      <w:r>
        <w:t xml:space="preserve">designs (mixed-source random 5-fold; same-data testing) that their own authors flag as</w:t>
      </w:r>
      <w:r>
        <w:t xml:space="preserve"> </w:t>
      </w:r>
      <w:r>
        <w:t xml:space="preserve">generalization-weak, with accuracy dropping to ~70% on held-out real recordings.</w:t>
      </w:r>
    </w:p>
    <w:p>
      <w:pPr>
        <w:pStyle w:val="BodyText"/>
      </w:pPr>
      <w:r>
        <w:rPr>
          <w:b/>
          <w:bCs/>
        </w:rPr>
        <w:t xml:space="preserve">Self-supervised pretraining on IPT.</w:t>
      </w:r>
      <w:r>
        <w:t xml:space="preserve"> </w:t>
      </w:r>
      <w:r>
        <w:t xml:space="preserve">Closest to the</w:t>
      </w:r>
      <w:r>
        <w:t xml:space="preserve"> </w:t>
      </w:r>
      <w:r>
        <w:t xml:space="preserve">“foundation model”</w:t>
      </w:r>
      <w:r>
        <w:t xml:space="preserve"> </w:t>
      </w:r>
      <w:r>
        <w:t xml:space="preserve">question, MERTech</w:t>
      </w:r>
      <w:r>
        <w:t xml:space="preserve"> </w:t>
      </w:r>
      <w:r>
        <w:t xml:space="preserve">[cite, 2024 ICASSP] fine-tunes MERT-v1-95M — the same backbone we use — for multi-task</w:t>
      </w:r>
      <w:r>
        <w:t xml:space="preserve"> </w:t>
      </w:r>
      <w:r>
        <w:t xml:space="preserve">IPT/pitch/onset, reaching SOTA on Guzheng (MI-F1 90.0%) yet only 53.36% on violin RWC technique</w:t>
      </w:r>
      <w:r>
        <w:t xml:space="preserve"> </w:t>
      </w:r>
      <w:r>
        <w:t xml:space="preserve">classification; VioPTT [cite, 2025 arXiv] surpasses it (77.22%) via synthetic augmentation but</w:t>
      </w:r>
      <w:r>
        <w:t xml:space="preserve"> </w:t>
      </w:r>
      <w:r>
        <w:t xml:space="preserve">covers only four techniques (excluding col legno, tremolo, sul ponticello). Both report accuracy</w:t>
      </w:r>
      <w:r>
        <w:t xml:space="preserve"> </w:t>
      </w:r>
      <w:r>
        <w:t xml:space="preserve">on a single task 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compare the SSL model against a tuning-matched handcrafted</w:t>
      </w:r>
      <w:r>
        <w:t xml:space="preserve"> </w:t>
      </w:r>
      <w:r>
        <w:t xml:space="preserve">baseline — precisely the comparison our audit isolates.</w:t>
      </w:r>
    </w:p>
    <w:p>
      <w:pPr>
        <w:pStyle w:val="BodyText"/>
      </w:pPr>
      <w:r>
        <w:rPr>
          <w:b/>
          <w:bCs/>
        </w:rPr>
        <w:t xml:space="preserve">Motion / multimodal (context).</w:t>
      </w:r>
      <w:r>
        <w:t xml:space="preserve"> </w:t>
      </w:r>
      <w:r>
        <w:t xml:space="preserve">A distinct branch classifies bowing gestures from</w:t>
      </w:r>
      <w:r>
        <w:t xml:space="preserve"> </w:t>
      </w:r>
      <w:r>
        <w:t xml:space="preserve">IMU/MOCAP/EMG rather than audio [cite, 2018 iWOAR; 2019/2021 FrontPsychol; 2024 JAIT], often</w:t>
      </w:r>
      <w:r>
        <w:t xml:space="preserve"> </w:t>
      </w:r>
      <w:r>
        <w:t xml:space="preserve">exceeding 99% but typically with a single performer (N=1) and fixed 80/20 splits, and with motion</w:t>
      </w:r>
      <w:r>
        <w:t xml:space="preserve"> </w:t>
      </w:r>
      <w:r>
        <w:t xml:space="preserve">dominating audio. We note these only to bound scope: our claim is about</w:t>
      </w:r>
      <w:r>
        <w:t xml:space="preserve"> </w:t>
      </w:r>
      <w:r>
        <w:rPr>
          <w:i/>
          <w:iCs/>
        </w:rPr>
        <w:t xml:space="preserve">audio-only</w:t>
      </w:r>
      <w:r>
        <w:t xml:space="preserve"> </w:t>
      </w:r>
      <w:r>
        <w:t xml:space="preserve">classification, where the technique boundary is acoustically — not kinematically — defined.</w:t>
      </w:r>
    </w:p>
    <w:bookmarkEnd w:id="11"/>
    <w:bookmarkStart w:id="12" w:name="X9ea4ce7224359270967c9393fdfd2583a8571a8"/>
    <w:p>
      <w:pPr>
        <w:pStyle w:val="Heading3"/>
      </w:pPr>
      <w:r>
        <w:t xml:space="preserve">2.2 Evaluation pitfalls, semi-supervised learning, and SSL probing</w:t>
      </w:r>
    </w:p>
    <w:p>
      <w:pPr>
        <w:pStyle w:val="FirstParagraph"/>
      </w:pPr>
      <w:r>
        <w:rPr>
          <w:b/>
          <w:bCs/>
        </w:rPr>
        <w:t xml:space="preserve">Tuned baselines and realistic SSL evaluation.</w:t>
      </w:r>
      <w:r>
        <w:t xml:space="preserve"> </w:t>
      </w:r>
      <w:r>
        <w:t xml:space="preserve">Our central methodological ancestor is Oliver</w:t>
      </w:r>
      <w:r>
        <w:t xml:space="preserve"> </w:t>
      </w:r>
      <w:r>
        <w:t xml:space="preserve">et al. [cite, 2018 NeurIPS], who show in the image domain that once baselines are properly tuned,</w:t>
      </w:r>
      <w:r>
        <w:t xml:space="preserve"> </w:t>
      </w:r>
      <w:r>
        <w:t xml:space="preserve">the apparent benefit of semi-supervised learning shrinks dramatically. We port this warning to</w:t>
      </w:r>
      <w:r>
        <w:t xml:space="preserve"> </w:t>
      </w:r>
      <w:r>
        <w:t xml:space="preserve">audio/MIR in the foundation-model era and add a failure mode they do not treat:</w:t>
      </w:r>
      <w:r>
        <w:t xml:space="preserve"> </w:t>
      </w:r>
      <w:r>
        <w:rPr>
          <w:b/>
          <w:bCs/>
        </w:rPr>
        <w:t xml:space="preserve">selection-time</w:t>
      </w:r>
      <w:r>
        <w:rPr>
          <w:b/>
          <w:bCs/>
        </w:rPr>
        <w:t xml:space="preserve"> </w:t>
      </w:r>
      <w:r>
        <w:rPr>
          <w:b/>
          <w:bCs/>
        </w:rPr>
        <w:t xml:space="preserve">leakage</w:t>
      </w:r>
      <w:r>
        <w:t xml:space="preserve"> </w:t>
      </w:r>
      <w:r>
        <w:t xml:space="preserve">from choosing the self-training iteration / confidence threshold by test performance.</w:t>
      </w:r>
      <w:r>
        <w:t xml:space="preserve"> </w:t>
      </w:r>
      <w:r>
        <w:t xml:space="preserve">Musgrave et al. [cite, 2020 ECCV] make a parallel</w:t>
      </w:r>
      <w:r>
        <w:t xml:space="preserve"> </w:t>
      </w:r>
      <w:r>
        <w:t xml:space="preserve">“reality check”</w:t>
      </w:r>
      <w:r>
        <w:t xml:space="preserve"> </w:t>
      </w:r>
      <w:r>
        <w:t xml:space="preserve">for metric learning,</w:t>
      </w:r>
      <w:r>
        <w:t xml:space="preserve"> </w:t>
      </w:r>
      <w:r>
        <w:t xml:space="preserve">attributing inflated gains to weak baselines and flawed protocols.</w:t>
      </w:r>
    </w:p>
    <w:p>
      <w:pPr>
        <w:pStyle w:val="BodyText"/>
      </w:pPr>
      <w:r>
        <w:rPr>
          <w:b/>
          <w:bCs/>
        </w:rPr>
        <w:t xml:space="preserve">Leakage as a general failure mode.</w:t>
      </w:r>
      <w:r>
        <w:t xml:space="preserve"> </w:t>
      </w:r>
      <w:r>
        <w:t xml:space="preserve">Kapoor &amp; Narayanan [cite, 2023 Patterns] document leakage</w:t>
      </w:r>
      <w:r>
        <w:t xml:space="preserve"> </w:t>
      </w:r>
      <w:r>
        <w:t xml:space="preserve">across 294 papers in 17 fields and propose a reporting taxonomy; our pitfall (i) is an instance</w:t>
      </w:r>
      <w:r>
        <w:t xml:space="preserve"> </w:t>
      </w:r>
      <w:r>
        <w:t xml:space="preserve">of their</w:t>
      </w:r>
      <w:r>
        <w:t xml:space="preserve"> </w:t>
      </w:r>
      <w:r>
        <w:t xml:space="preserve">“test-set information used in model selection”</w:t>
      </w:r>
      <w:r>
        <w:t xml:space="preserve"> </w:t>
      </w:r>
      <w:r>
        <w:t xml:space="preserve">category, localized to self-training and</w:t>
      </w:r>
      <w:r>
        <w:t xml:space="preserve"> </w:t>
      </w:r>
      <w:r>
        <w:t xml:space="preserve">quantified with a before/after table. We adopt their</w:t>
      </w:r>
      <w:r>
        <w:t xml:space="preserve"> </w:t>
      </w:r>
      <w:r>
        <w:rPr>
          <w:i/>
          <w:iCs/>
        </w:rPr>
        <w:t xml:space="preserve">model info sheet</w:t>
      </w:r>
      <w:r>
        <w:t xml:space="preserve"> </w:t>
      </w:r>
      <w:r>
        <w:t xml:space="preserve">as the template for our</w:t>
      </w:r>
      <w:r>
        <w:t xml:space="preserve"> </w:t>
      </w:r>
      <w:r>
        <w:t xml:space="preserve">§6 checklist.</w:t>
      </w:r>
    </w:p>
    <w:p>
      <w:pPr>
        <w:pStyle w:val="BodyText"/>
      </w:pPr>
      <w:r>
        <w:rPr>
          <w:b/>
          <w:bCs/>
        </w:rPr>
        <w:t xml:space="preserve">Resampling unit and variance decomposition.</w:t>
      </w:r>
      <w:r>
        <w:t xml:space="preserve"> </w:t>
      </w:r>
      <w:r>
        <w:t xml:space="preserve">Bouthillier et al. [cite, 2021 MLSys] argue that</w:t>
      </w:r>
      <w:r>
        <w:t xml:space="preserve"> </w:t>
      </w:r>
      <w:r>
        <w:t xml:space="preserve">a valid benchmark must model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sources of variance; fixing some (e.g., data split) while</w:t>
      </w:r>
      <w:r>
        <w:t xml:space="preserve"> </w:t>
      </w:r>
      <w:r>
        <w:t xml:space="preserve">resampling others fabricates significance. This is the general theory behind our pitfall (iii):</w:t>
      </w:r>
      <w:r>
        <w:t xml:space="preserve"> </w:t>
      </w:r>
      <w:r>
        <w:t xml:space="preserve">a bootstrap that resamples only test clips while holding folds fixed narrows the interval 2.6–5.0×</w:t>
      </w:r>
      <w:r>
        <w:t xml:space="preserve"> </w:t>
      </w:r>
      <w:r>
        <w:t xml:space="preserve">and reports a difference that vanishes once the dominant cross-instrument variance component is</w:t>
      </w:r>
      <w:r>
        <w:t xml:space="preserve"> </w:t>
      </w:r>
      <w:r>
        <w:t xml:space="preserve">resampled at the fold unit.</w:t>
      </w:r>
    </w:p>
    <w:p>
      <w:pPr>
        <w:pStyle w:val="BodyText"/>
      </w:pPr>
      <w:r>
        <w:rPr>
          <w:b/>
          <w:bCs/>
        </w:rPr>
        <w:t xml:space="preserve">Layer-wise probing and control tasks.</w:t>
      </w:r>
      <w:r>
        <w:t xml:space="preserve"> </w:t>
      </w:r>
      <w:r>
        <w:t xml:space="preserve">Pasad et al. [cite, 2021 ASRU] show, layer-by-layer,</w:t>
      </w:r>
      <w:r>
        <w:t xml:space="preserve"> </w:t>
      </w:r>
      <w:r>
        <w:t xml:space="preserve">that a wav2vec2-style speech model’s early layers mirror low-level acoustics (mel-filterbank-like)</w:t>
      </w:r>
      <w:r>
        <w:t xml:space="preserve"> </w:t>
      </w:r>
      <w:r>
        <w:t xml:space="preserve">while upper layers encode global/semantic structure. As MERT is architecturally the same family,</w:t>
      </w:r>
      <w:r>
        <w:t xml:space="preserve"> </w:t>
      </w:r>
      <w:r>
        <w:t xml:space="preserve">this is the direct precedent for our descriptor probe, where the onset-strength envelope saturates</w:t>
      </w:r>
      <w:r>
        <w:t xml:space="preserve"> </w:t>
      </w:r>
      <w:r>
        <w:t xml:space="preserve">at the convolutional front-end (R²=0.77) before any transformer layer. Hewitt &amp; Liang [cite, 2019</w:t>
      </w:r>
      <w:r>
        <w:t xml:space="preserve"> </w:t>
      </w:r>
      <w:r>
        <w:t xml:space="preserve">EMNLP] justify pairing probes with control tasks so a probe reads representations rather than</w:t>
      </w:r>
      <w:r>
        <w:t xml:space="preserve"> </w:t>
      </w:r>
      <w:r>
        <w:t xml:space="preserve">learning the task itself — the rationale for keeping our probes low-capacity and our Chroma control</w:t>
      </w:r>
      <w:r>
        <w:t xml:space="preserve"> </w:t>
      </w:r>
      <w:r>
        <w:t xml:space="preserve">in place.</w:t>
      </w:r>
    </w:p>
    <w:p>
      <w:pPr>
        <w:pStyle w:val="BodyText"/>
      </w:pPr>
      <w:r>
        <w:rPr>
          <w:b/>
          <w:bCs/>
        </w:rPr>
        <w:t xml:space="preserve">Probing conventions in music SSL benchmarks.</w:t>
      </w:r>
      <w:r>
        <w:t xml:space="preserve"> </w:t>
      </w:r>
      <w:r>
        <w:t xml:space="preserve">Standardized SSL benchmarks — MARBLE [cite, 2023</w:t>
      </w:r>
      <w:r>
        <w:t xml:space="preserve"> </w:t>
      </w:r>
      <w:r>
        <w:t xml:space="preserve">arXiv] for music, USB [cite, 2022 NeurIPS] for SSL broadly — matter to our pitfall (ii) in a</w:t>
      </w:r>
      <w:r>
        <w:t xml:space="preserve"> </w:t>
      </w:r>
      <w:r>
        <w:t xml:space="preserve">specific way: MARBLE’s probing head is an MLP (hidden 512), not a single linear layer. Thus the</w:t>
      </w:r>
      <w:r>
        <w:t xml:space="preserve"> </w:t>
      </w:r>
      <w:r>
        <w:t xml:space="preserve">“convention”</w:t>
      </w:r>
      <w:r>
        <w:t xml:space="preserve"> </w:t>
      </w:r>
      <w:r>
        <w:t xml:space="preserve">does not undertune the backbone;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did, by starting from a last-layer</w:t>
      </w:r>
      <w:r>
        <w:t xml:space="preserve"> </w:t>
      </w:r>
      <w:r>
        <w:t xml:space="preserve">single-linear head. Pitfall (ii) is therefore not</w:t>
      </w:r>
      <w:r>
        <w:t xml:space="preserve"> </w:t>
      </w:r>
      <w:r>
        <w:t xml:space="preserve">“the field undertunes SSL”</w:t>
      </w:r>
      <w:r>
        <w:t xml:space="preserve"> </w:t>
      </w:r>
      <w:r>
        <w:t xml:space="preserve">but</w:t>
      </w:r>
      <w:r>
        <w:t xml:space="preserve"> </w:t>
      </w:r>
      <w:r>
        <w:t xml:space="preserve">“probe design</w:t>
      </w:r>
      <w:r>
        <w:t xml:space="preserve"> </w:t>
      </w:r>
      <w:r>
        <w:t xml:space="preserve">(head capacity, layer selection) can flip the conclusion, and we fooled ourselves once by sitting</w:t>
      </w:r>
      <w:r>
        <w:t xml:space="preserve"> </w:t>
      </w:r>
      <w:r>
        <w:t xml:space="preserve">below convention.”</w:t>
      </w:r>
      <w:r>
        <w:t xml:space="preserve"> </w:t>
      </w:r>
      <w:r>
        <w:t xml:space="preserve">MERT itself [cite, 2024 ICLR] is the backbone under test. Fine-tuning under</w:t>
      </w:r>
      <w:r>
        <w:t xml:space="preserve"> </w:t>
      </w:r>
      <w:r>
        <w:t xml:space="preserve">distribution shift is treated by Kumar et al. [cite, 2022 ICLR], whose LP-FT effect we invoke in</w:t>
      </w:r>
      <w:r>
        <w:t xml:space="preserve"> </w:t>
      </w:r>
      <w:r>
        <w:t xml:space="preserve">§4.4.</w:t>
      </w:r>
    </w:p>
    <w:bookmarkEnd w:id="12"/>
    <w:bookmarkStart w:id="13" w:name="X7a21cef6ee1ca4266453161941bebcc3ca46469"/>
    <w:p>
      <w:pPr>
        <w:pStyle w:val="Heading3"/>
      </w:pPr>
      <w:r>
        <w:t xml:space="preserve">2.3 Positioning: an evaluation-practice coding of prior IPT work</w:t>
      </w:r>
    </w:p>
    <w:p>
      <w:pPr>
        <w:pStyle w:val="FirstParagraph"/>
      </w:pPr>
      <w:r>
        <w:t xml:space="preserve">We code the §2.1 studies along three</w:t>
      </w:r>
      <w:r>
        <w:t xml:space="preserve"> </w:t>
      </w:r>
      <w:r>
        <w:rPr>
          <w:i/>
          <w:iCs/>
        </w:rPr>
        <w:t xml:space="preserve">evaluation-practice</w:t>
      </w:r>
      <w:r>
        <w:t xml:space="preserve"> </w:t>
      </w:r>
      <w:r>
        <w:t xml:space="preserve">axes:</w:t>
      </w:r>
      <w:r>
        <w:t xml:space="preserve"> </w:t>
      </w:r>
      <w:r>
        <w:rPr>
          <w:b/>
          <w:bCs/>
        </w:rPr>
        <w:t xml:space="preserve">(A) source/instrument-disjoint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</w:t>
      </w:r>
      <w:r>
        <w:t xml:space="preserve"> </w:t>
      </w:r>
      <w:r>
        <w:t xml:space="preserve">(random splits invite optimism),</w:t>
      </w:r>
      <w:r>
        <w:t xml:space="preserve"> </w:t>
      </w:r>
      <w:r>
        <w:rPr>
          <w:b/>
          <w:bCs/>
        </w:rPr>
        <w:t xml:space="preserve">(B) comparison of a heavy model against a</w:t>
      </w:r>
      <w:r>
        <w:rPr>
          <w:b/>
          <w:bCs/>
        </w:rPr>
        <w:t xml:space="preserve"> </w:t>
      </w:r>
      <w:r>
        <w:rPr>
          <w:b/>
          <w:bCs/>
        </w:rPr>
        <w:t xml:space="preserve">tuning- and budget-matched cheap baseline</w:t>
      </w:r>
      <w:r>
        <w:t xml:space="preserve">, and</w:t>
      </w:r>
      <w:r>
        <w:t xml:space="preserve"> </w:t>
      </w:r>
      <w:r>
        <w:rPr>
          <w:b/>
          <w:bCs/>
        </w:rPr>
        <w:t xml:space="preserve">(C) uncertainty reported at the unit of the</w:t>
      </w:r>
      <w:r>
        <w:rPr>
          <w:b/>
          <w:bCs/>
        </w:rPr>
        <w:t xml:space="preserve"> </w:t>
      </w:r>
      <w:r>
        <w:rPr>
          <w:b/>
          <w:bCs/>
        </w:rPr>
        <w:t xml:space="preserve">generalization claim</w:t>
      </w:r>
      <w:r>
        <w:t xml:space="preserve">. As the table shows, some studies satisfy (A) well, but</w:t>
      </w:r>
      <w:r>
        <w:t xml:space="preserve"> </w:t>
      </w:r>
      <w:r>
        <w:rPr>
          <w:b/>
          <w:bCs/>
        </w:rPr>
        <w:t xml:space="preserve">none satisfies</w:t>
      </w:r>
      <w:r>
        <w:rPr>
          <w:b/>
          <w:bCs/>
        </w:rPr>
        <w:t xml:space="preserve"> </w:t>
      </w:r>
      <w:r>
        <w:rPr>
          <w:b/>
          <w:bCs/>
        </w:rPr>
        <w:t xml:space="preserve">(B) and (C) together</w:t>
      </w:r>
      <w:r>
        <w:t xml:space="preserve"> </w:t>
      </w:r>
      <w:r>
        <w:t xml:space="preserve">— the gap our three pitfalls occupy.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 work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(A) Source/instr.-disjoint</w:t>
            </w:r>
          </w:p>
        </w:tc>
        <w:tc>
          <w:tcPr/>
          <w:p>
            <w:pPr>
              <w:pStyle w:val="Compact"/>
            </w:pPr>
            <w:r>
              <w:t xml:space="preserve">(B) Heavy vs</w:t>
            </w:r>
            <w:r>
              <w:t xml:space="preserve"> </w:t>
            </w:r>
            <w:r>
              <w:rPr>
                <w:i/>
                <w:iCs/>
              </w:rPr>
              <w:t xml:space="preserve">tuned</w:t>
            </w:r>
            <w:r>
              <w:t xml:space="preserve"> </w:t>
            </w:r>
            <w:r>
              <w:t xml:space="preserve">cheap, equal budget</w:t>
            </w:r>
          </w:p>
        </w:tc>
        <w:tc>
          <w:tcPr/>
          <w:p>
            <w:pPr>
              <w:pStyle w:val="Compact"/>
            </w:pPr>
            <w:r>
              <w:t xml:space="preserve">(C) Uncertainty at claim’s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 et al. 2014 [cite]</w:t>
            </w:r>
          </w:p>
        </w:tc>
        <w:tc>
          <w:tcPr/>
          <w:p>
            <w:pPr>
              <w:pStyle w:val="Compact"/>
            </w:pPr>
            <w:r>
              <w:t xml:space="preserve">violin/viola/cello/CB</w:t>
            </w:r>
          </w:p>
        </w:tc>
        <w:tc>
          <w:tcPr/>
          <w:p>
            <w:pPr>
              <w:pStyle w:val="Compact"/>
            </w:pPr>
            <w:r>
              <w:t xml:space="preserve">~ cross-corpus (RWC→real)</w:t>
            </w:r>
          </w:p>
        </w:tc>
        <w:tc>
          <w:tcPr/>
          <w:p>
            <w:pPr>
              <w:pStyle w:val="Compact"/>
            </w:pPr>
            <w:r>
              <w:t xml:space="preserve">✗ (no deep/SSL)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Barbancho 2009 [cite]</w:t>
            </w:r>
          </w:p>
        </w:tc>
        <w:tc>
          <w:tcPr/>
          <w:p>
            <w:pPr>
              <w:pStyle w:val="Compact"/>
            </w:pPr>
            <w:r>
              <w:t xml:space="preserve">violin</w:t>
            </w:r>
          </w:p>
        </w:tc>
        <w:tc>
          <w:tcPr/>
          <w:p>
            <w:pPr>
              <w:pStyle w:val="Compact"/>
            </w:pPr>
            <w:r>
              <w:t xml:space="preserve">✗ (pooled)</w:t>
            </w:r>
          </w:p>
        </w:tc>
        <w:tc>
          <w:tcPr/>
          <w:p>
            <w:pPr>
              <w:pStyle w:val="Compact"/>
            </w:pPr>
            <w:r>
              <w:t xml:space="preserve">✗ (rule-based)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Kruger &amp; Jacobs 2020 [cite]</w:t>
            </w:r>
          </w:p>
        </w:tc>
        <w:tc>
          <w:tcPr/>
          <w:p>
            <w:pPr>
              <w:pStyle w:val="Compact"/>
            </w:pPr>
            <w:r>
              <w:t xml:space="preserve">bowed string</w:t>
            </w:r>
          </w:p>
        </w:tc>
        <w:tc>
          <w:tcPr/>
          <w:p>
            <w:pPr>
              <w:pStyle w:val="Compact"/>
            </w:pPr>
            <w:r>
              <w:t xml:space="preserve">✗ random 70/30</w:t>
            </w:r>
          </w:p>
        </w:tc>
        <w:tc>
          <w:tcPr/>
          <w:p>
            <w:pPr>
              <w:pStyle w:val="Compact"/>
            </w:pPr>
            <w:r>
              <w:t xml:space="preserve">✗ (SVM only)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Lostanlen 2018 [cite]</w:t>
            </w:r>
          </w:p>
        </w:tc>
        <w:tc>
          <w:tcPr/>
          <w:p>
            <w:pPr>
              <w:pStyle w:val="Compact"/>
            </w:pPr>
            <w:r>
              <w:t xml:space="preserve">SOL (all fam.)</w:t>
            </w:r>
          </w:p>
        </w:tc>
        <w:tc>
          <w:tcPr/>
          <w:p>
            <w:pPr>
              <w:pStyle w:val="Compact"/>
            </w:pPr>
            <w:r>
              <w:t xml:space="preserve">~ held-out</w:t>
            </w:r>
          </w:p>
        </w:tc>
        <w:tc>
          <w:tcPr/>
          <w:p>
            <w:pPr>
              <w:pStyle w:val="Compact"/>
            </w:pPr>
            <w:r>
              <w:t xml:space="preserve">✗ (scattering vs MFCC only)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Ducher &amp; Esling 2019 [cite]</w:t>
            </w:r>
          </w:p>
        </w:tc>
        <w:tc>
          <w:tcPr/>
          <w:p>
            <w:pPr>
              <w:pStyle w:val="Compact"/>
            </w:pPr>
            <w:r>
              <w:t xml:space="preserve">cello</w:t>
            </w:r>
          </w:p>
        </w:tc>
        <w:tc>
          <w:tcPr/>
          <w:p>
            <w:pPr>
              <w:pStyle w:val="Compact"/>
            </w:pPr>
            <w:r>
              <w:t xml:space="preserve">✓ 5 soundbanks (minus-1db)</w:t>
            </w:r>
          </w:p>
        </w:tc>
        <w:tc>
          <w:tcPr/>
          <w:p>
            <w:pPr>
              <w:pStyle w:val="Compact"/>
            </w:pPr>
            <w:r>
              <w:t xml:space="preserve">✗ (no cheap baseline audit)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2020/2022 [cite]</w:t>
            </w:r>
          </w:p>
        </w:tc>
        <w:tc>
          <w:tcPr/>
          <w:p>
            <w:pPr>
              <w:pStyle w:val="Compact"/>
            </w:pPr>
            <w:r>
              <w:t xml:space="preserve">CBF</w:t>
            </w:r>
          </w:p>
        </w:tc>
        <w:tc>
          <w:tcPr/>
          <w:p>
            <w:pPr>
              <w:pStyle w:val="Compact"/>
            </w:pPr>
            <w:r>
              <w:t xml:space="preserve">~ held-out</w:t>
            </w:r>
          </w:p>
        </w:tc>
        <w:tc>
          <w:tcPr/>
          <w:p>
            <w:pPr>
              <w:pStyle w:val="Compact"/>
            </w:pPr>
            <w:r>
              <w:t xml:space="preserve">✗ (scattering+SVM)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Guzheng/Erhu 2019–2023 [cite]</w:t>
            </w:r>
          </w:p>
        </w:tc>
        <w:tc>
          <w:tcPr/>
          <w:p>
            <w:pPr>
              <w:pStyle w:val="Compact"/>
            </w:pPr>
            <w:r>
              <w:t xml:space="preserve">Chinese strings</w:t>
            </w:r>
          </w:p>
        </w:tc>
        <w:tc>
          <w:tcPr/>
          <w:p>
            <w:pPr>
              <w:pStyle w:val="Compact"/>
            </w:pPr>
            <w:r>
              <w:t xml:space="preserve">✓ VSB→RW (synth→real)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 2021 [cite]</w:t>
            </w:r>
          </w:p>
        </w:tc>
        <w:tc>
          <w:tcPr/>
          <w:p>
            <w:pPr>
              <w:pStyle w:val="Compact"/>
            </w:pPr>
            <w:r>
              <w:t xml:space="preserve">violin bowing</w:t>
            </w:r>
          </w:p>
        </w:tc>
        <w:tc>
          <w:tcPr/>
          <w:p>
            <w:pPr>
              <w:pStyle w:val="Compact"/>
            </w:pPr>
            <w:r>
              <w:t xml:space="preserve">✗ mixed-source random 5-fold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MERTech 2024 [cite]</w:t>
            </w:r>
          </w:p>
        </w:tc>
        <w:tc>
          <w:tcPr/>
          <w:p>
            <w:pPr>
              <w:pStyle w:val="Compact"/>
            </w:pPr>
            <w:r>
              <w:t xml:space="preserve">multi (incl. violin)</w:t>
            </w:r>
          </w:p>
        </w:tc>
        <w:tc>
          <w:tcPr/>
          <w:p>
            <w:pPr>
              <w:pStyle w:val="Compact"/>
            </w:pPr>
            <w:r>
              <w:t xml:space="preserve">~ dataset-standard</w:t>
            </w:r>
          </w:p>
        </w:tc>
        <w:tc>
          <w:tcPr/>
          <w:p>
            <w:pPr>
              <w:pStyle w:val="Compact"/>
            </w:pPr>
            <w:r>
              <w:t xml:space="preserve">✗ (SSL only, no tuned SVM)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VioPTT 2025 [cite]</w:t>
            </w:r>
          </w:p>
        </w:tc>
        <w:tc>
          <w:tcPr/>
          <w:p>
            <w:pPr>
              <w:pStyle w:val="Compact"/>
            </w:pPr>
            <w:r>
              <w:t xml:space="preserve">violin</w:t>
            </w:r>
          </w:p>
        </w:tc>
        <w:tc>
          <w:tcPr/>
          <w:p>
            <w:pPr>
              <w:pStyle w:val="Compact"/>
            </w:pPr>
            <w:r>
              <w:t xml:space="preserve">~ synth→RWC</w:t>
            </w:r>
          </w:p>
        </w:tc>
        <w:tc>
          <w:tcPr/>
          <w:p>
            <w:pPr>
              <w:pStyle w:val="Compact"/>
            </w:pPr>
            <w:r>
              <w:t xml:space="preserve">✗ (SSL/CRNN only)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SpectroFusionNet 2025 [cite]</w:t>
            </w:r>
          </w:p>
        </w:tc>
        <w:tc>
          <w:tcPr/>
          <w:p>
            <w:pPr>
              <w:pStyle w:val="Compact"/>
            </w:pPr>
            <w:r>
              <w:t xml:space="preserve">e-guitar</w:t>
            </w:r>
          </w:p>
        </w:tc>
        <w:tc>
          <w:tcPr/>
          <w:p>
            <w:pPr>
              <w:pStyle w:val="Compact"/>
            </w:pPr>
            <w:r>
              <w:t xml:space="preserve">✗ same-data test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violin/viola/cello/CB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LOSO (instrument-grouped)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tuned MERT vs tuned 245-d SVM, matched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2-level BCa (instrument-resampled)</w:t>
            </w:r>
          </w:p>
        </w:tc>
      </w:tr>
    </w:tbl>
    <w:p>
      <w:pPr>
        <w:pStyle w:val="BlockText"/>
      </w:pPr>
      <w:r>
        <w:t xml:space="preserve">✗ = not met, ~ = partial/implicit, ✓ = explicitly met. A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in (A) denotes source separation</w:t>
      </w:r>
      <w:r>
        <w:t xml:space="preserve"> </w:t>
      </w:r>
      <w:r>
        <w:t xml:space="preserve">weaker than our LOSO, or a synthetic→real special case.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data-and-method"/>
    <w:p>
      <w:pPr>
        <w:pStyle w:val="Heading2"/>
      </w:pPr>
      <w:r>
        <w:t xml:space="preserve">3. Data and Method</w:t>
      </w:r>
    </w:p>
    <w:bookmarkStart w:id="15" w:name="data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We use the string subset of</w:t>
      </w:r>
      <w:r>
        <w:t xml:space="preserve"> </w:t>
      </w:r>
      <w:r>
        <w:rPr>
          <w:b/>
          <w:bCs/>
        </w:rPr>
        <w:t xml:space="preserve">OrchideaSOL</w:t>
      </w:r>
      <w:r>
        <w:t xml:space="preserve"> </w:t>
      </w:r>
      <w:r>
        <w:t xml:space="preserve">[cite], a library of isolated instrumental notes. We</w:t>
      </w:r>
      <w:r>
        <w:t xml:space="preserve"> </w:t>
      </w:r>
      <w:r>
        <w:t xml:space="preserve">retain five bowed-string articulation classes —</w:t>
      </w:r>
      <w:r>
        <w:t xml:space="preserve"> </w:t>
      </w:r>
      <w:r>
        <w:rPr>
          <w:i/>
          <w:iCs/>
        </w:rPr>
        <w:t xml:space="preserve">ordinario, pizzicato secco, tremolo,</w:t>
      </w:r>
      <w:r>
        <w:rPr>
          <w:i/>
          <w:iCs/>
        </w:rPr>
        <w:t xml:space="preserve"> </w:t>
      </w:r>
      <w:r>
        <w:rPr>
          <w:i/>
          <w:iCs/>
        </w:rPr>
        <w:t xml:space="preserve">sul ponticello, col legno battuto</w:t>
      </w:r>
      <w:r>
        <w:t xml:space="preserve"> </w:t>
      </w:r>
      <w:r>
        <w:t xml:space="preserve">— across four instruments (violin, viola, violoncello,</w:t>
      </w:r>
      <w:r>
        <w:t xml:space="preserve"> </w:t>
      </w:r>
      <w:r>
        <w:t xml:space="preserve">contrabass), yielding</w:t>
      </w:r>
      <w:r>
        <w:t xml:space="preserve"> </w:t>
      </w:r>
      <w:r>
        <w:rPr>
          <w:b/>
          <w:bCs/>
        </w:rPr>
        <w:t xml:space="preserve">3,402 clips</w:t>
      </w:r>
      <w:r>
        <w:t xml:space="preserve"> </w:t>
      </w:r>
      <w:r>
        <w:t xml:space="preserve">with the class distribution in Table 3.1. The set is</w:t>
      </w:r>
      <w:r>
        <w:t xml:space="preserve"> </w:t>
      </w:r>
      <w:r>
        <w:t xml:space="preserve">imbalanced (ordinario 1,193 to col legno battuto 227), motivating macro-F1 as the primary metric.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dur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ordinario</w:t>
            </w:r>
          </w:p>
        </w:tc>
        <w:tc>
          <w:tcPr/>
          <w:p>
            <w:pPr>
              <w:pStyle w:val="Compact"/>
            </w:pPr>
            <w:r>
              <w:t xml:space="preserve">1,193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tremolo</w:t>
            </w:r>
          </w:p>
        </w:tc>
        <w:tc>
          <w:tcPr/>
          <w:p>
            <w:pPr>
              <w:pStyle w:val="Compact"/>
            </w:pPr>
            <w:r>
              <w:t xml:space="preserve">1,041</w:t>
            </w:r>
          </w:p>
        </w:tc>
        <w:tc>
          <w:tcPr/>
          <w:p>
            <w:pPr>
              <w:pStyle w:val="Compact"/>
            </w:pPr>
            <w:r>
              <w:t xml:space="preserve">7.25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pizzicato secco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 ponticello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7.61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 legno battuto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</w:tr>
    </w:tbl>
    <w:p>
      <w:pPr>
        <w:pStyle w:val="BodyText"/>
      </w:pPr>
      <w:r>
        <w:t xml:space="preserve">We deliberately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TinySOL (ordinario only) and note that clip duration itself carries</w:t>
      </w:r>
      <w:r>
        <w:t xml:space="preserve"> </w:t>
      </w:r>
      <w:r>
        <w:t xml:space="preserve">class information (§4.4/§5); durations are reported for transparency, not used as a feature except</w:t>
      </w:r>
      <w:r>
        <w:t xml:space="preserve"> </w:t>
      </w:r>
      <w:r>
        <w:t xml:space="preserve">in the confound-control baseline.</w:t>
      </w:r>
    </w:p>
    <w:bookmarkEnd w:id="15"/>
    <w:bookmarkStart w:id="16" w:name="X676b6167e3a64b13fafedb70246dd287fb2cf63"/>
    <w:p>
      <w:pPr>
        <w:pStyle w:val="Heading3"/>
      </w:pPr>
      <w:r>
        <w:t xml:space="preserve">3.2 Evaluation protocol: leave-one-instrument-out</w:t>
      </w:r>
    </w:p>
    <w:p>
      <w:pPr>
        <w:pStyle w:val="FirstParagraph"/>
      </w:pPr>
      <w:r>
        <w:t xml:space="preserve">All models are evaluated under</w:t>
      </w:r>
      <w:r>
        <w:t xml:space="preserve"> </w:t>
      </w:r>
      <w:r>
        <w:rPr>
          <w:b/>
          <w:bCs/>
        </w:rPr>
        <w:t xml:space="preserve">instrument-grouped GroupKFold (leave-one-instrument-out, LOSO)</w:t>
      </w:r>
      <w:r>
        <w:t xml:space="preserve">:</w:t>
      </w:r>
      <w:r>
        <w:t xml:space="preserve"> </w:t>
      </w:r>
      <w:r>
        <w:t xml:space="preserve">four folds, each holding out one instrument entirely for testing. This prevents notes from the</w:t>
      </w:r>
      <w:r>
        <w:t xml:space="preserve"> </w:t>
      </w:r>
      <w:r>
        <w:t xml:space="preserve">same instrument/recording appearing in both train and test — the optimistic bias random splits</w:t>
      </w:r>
      <w:r>
        <w:t xml:space="preserve"> </w:t>
      </w:r>
      <w:r>
        <w:t xml:space="preserve">incur on this data. Grouping keys are the recording identifiers parsed by</w:t>
      </w:r>
      <w:r>
        <w:t xml:space="preserve"> </w:t>
      </w:r>
      <w:r>
        <w:rPr>
          <w:rStyle w:val="VerbatimChar"/>
        </w:rPr>
        <w:t xml:space="preserve">features.py::parse_recording_id</w:t>
      </w:r>
      <w:r>
        <w:t xml:space="preserve">. Because the generalization claim is across</w:t>
      </w:r>
      <w:r>
        <w:t xml:space="preserve"> </w:t>
      </w:r>
      <w:r>
        <w:rPr>
          <w:i/>
          <w:iCs/>
        </w:rPr>
        <w:t xml:space="preserve">instruments</w:t>
      </w:r>
      <w:r>
        <w:t xml:space="preserve">, the</w:t>
      </w:r>
      <w:r>
        <w:t xml:space="preserve"> </w:t>
      </w:r>
      <w:r>
        <w:t xml:space="preserve">instrument/fold is the correct unit for both training splits and uncertainty (§3.5).</w:t>
      </w:r>
    </w:p>
    <w:p>
      <w:pPr>
        <w:pStyle w:val="BodyText"/>
      </w:pPr>
      <w:r>
        <w:t xml:space="preserve">To study limited-label regimes we sample labeled</w:t>
      </w:r>
      <w:r>
        <w:t xml:space="preserve"> </w:t>
      </w:r>
      <w:r>
        <w:rPr>
          <w:b/>
          <w:bCs/>
        </w:rPr>
        <w:t xml:space="preserve">seed budgets of 5/10/20/50%</w:t>
      </w:r>
      <w:r>
        <w:t xml:space="preserve"> </w:t>
      </w:r>
      <w:r>
        <w:t xml:space="preserve">(per fold, 3</w:t>
      </w:r>
      <w:r>
        <w:t xml:space="preserve"> </w:t>
      </w:r>
      <w:r>
        <w:t xml:space="preserve">random trials, averaged). To avoid selection-time leakage (§4.1), each seed is split</w:t>
      </w:r>
      <w: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ways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labeled seed ─┬─ val_select 20%   → hyperparameter/config selection ONLY (disjoint, fixed)</w:t>
      </w:r>
      <w:r>
        <w:br/>
      </w:r>
      <w:r>
        <w:rPr>
          <w:rStyle w:val="VerbatimChar"/>
        </w:rPr>
        <w:t xml:space="preserve">              └─ seed_core 80% ─┬─ tr     80%  → training</w:t>
      </w:r>
      <w:r>
        <w:br/>
      </w:r>
      <w:r>
        <w:rPr>
          <w:rStyle w:val="VerbatimChar"/>
        </w:rPr>
        <w:t xml:space="preserve">                                └─ es_val 20% → early-stopping ONLY</w:t>
      </w:r>
    </w:p>
    <w:p>
      <w:pPr>
        <w:pStyle w:val="FirstParagraph"/>
      </w:pPr>
      <w:r>
        <w:rPr>
          <w:rStyle w:val="VerbatimChar"/>
        </w:rPr>
        <w:t xml:space="preserve">val_select ∩ es_val = ∅</w:t>
      </w:r>
      <w:r>
        <w:t xml:space="preserve">, and both are disjoint from the LOSO test fold. Model selection</w:t>
      </w:r>
      <w:r>
        <w:t xml:space="preserve"> </w:t>
      </w:r>
      <w:r>
        <w:t xml:space="preserve">(config, iteration, threshold) touches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; early stopping touches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es_val</w:t>
      </w:r>
      <w:r>
        <w:t xml:space="preserve">; nothing touches test. For the SVM (no early stopping) we report the equal-training-data</w:t>
      </w:r>
      <w:r>
        <w:t xml:space="preserve"> </w:t>
      </w:r>
      <w:r>
        <w:t xml:space="preserve">condition (</w:t>
      </w:r>
      <w:r>
        <w:rPr>
          <w:rStyle w:val="VerbatimChar"/>
        </w:rPr>
        <w:t xml:space="preserve">tr</w:t>
      </w:r>
      <w:r>
        <w:t xml:space="preserve">, 64% of labeled) as the primary comparison and the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condition (80%) as</w:t>
      </w:r>
      <w:r>
        <w:t xml:space="preserve"> </w:t>
      </w:r>
      <w:r>
        <w:t xml:space="preserve">a sensitivity variant.</w:t>
      </w:r>
    </w:p>
    <w:bookmarkEnd w:id="16"/>
    <w:bookmarkStart w:id="17" w:name="features-and-models"/>
    <w:p>
      <w:pPr>
        <w:pStyle w:val="Heading3"/>
      </w:pPr>
      <w:r>
        <w:t xml:space="preserve">3.3 Features and models</w:t>
      </w:r>
    </w:p>
    <w:p>
      <w:pPr>
        <w:pStyle w:val="FirstParagraph"/>
      </w:pPr>
      <w:r>
        <w:rPr>
          <w:b/>
          <w:bCs/>
        </w:rPr>
        <w:t xml:space="preserve">Handcrafted (v1).</w:t>
      </w:r>
      <w:r>
        <w:t xml:space="preserve"> </w:t>
      </w:r>
      <w:r>
        <w:t xml:space="preserve">We extract a</w:t>
      </w:r>
      <w:r>
        <w:t xml:space="preserve"> </w:t>
      </w:r>
      <w:r>
        <w:rPr>
          <w:b/>
          <w:bCs/>
        </w:rPr>
        <w:t xml:space="preserve">245-dimensional</w:t>
      </w:r>
      <w:r>
        <w:t xml:space="preserve"> </w:t>
      </w:r>
      <w:r>
        <w:t xml:space="preserve">descriptor vector per clip (</w:t>
      </w:r>
      <w:r>
        <w:rPr>
          <w:rStyle w:val="VerbatimChar"/>
        </w:rPr>
        <w:t xml:space="preserve">features.py</w:t>
      </w:r>
      <w:r>
        <w:t xml:space="preserve">).</w:t>
      </w:r>
      <w:r>
        <w:t xml:space="preserve"> </w:t>
      </w:r>
      <w:r>
        <w:t xml:space="preserve">Frame-level descriptors are aggregated over time by four statistics —</w:t>
      </w:r>
      <w:r>
        <w:t xml:space="preserve"> </w:t>
      </w:r>
      <w:r>
        <w:rPr>
          <w:b/>
          <w:bCs/>
        </w:rPr>
        <w:t xml:space="preserve">mean, std, Q25, Q75</w:t>
      </w:r>
      <w:r>
        <w:t xml:space="preserve"> </w:t>
      </w:r>
      <w:r>
        <w:t xml:space="preserve">— to</w:t>
      </w:r>
      <w:r>
        <w:t xml:space="preserve"> </w:t>
      </w:r>
      <w:r>
        <w:t xml:space="preserve">preserve temporal variation a mean alone discards. The vector comprises MFCC+Δ+ΔΔ (156), Chroma</w:t>
      </w:r>
      <w:r>
        <w:t xml:space="preserve"> </w:t>
      </w:r>
      <w:r>
        <w:t xml:space="preserve">(48), spectral contrast (28), onset-strength envelope (4), RMS energy (4), zero-crossing rate (4),</w:t>
      </w:r>
      <w:r>
        <w:t xml:space="preserve"> </w:t>
      </w:r>
      <w:r>
        <w:t xml:space="preserve">and log-first-onset-time (1). Chroma (pitch-class) is retained deliberately as a</w:t>
      </w:r>
      <w:r>
        <w:t xml:space="preserve"> </w:t>
      </w:r>
      <w:r>
        <w:rPr>
          <w:b/>
          <w:bCs/>
        </w:rPr>
        <w:t xml:space="preserve">negative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. Classifiers:</w:t>
      </w:r>
      <w:r>
        <w:t xml:space="preserve"> </w:t>
      </w:r>
      <w:r>
        <w:rPr>
          <w:b/>
          <w:bCs/>
        </w:rPr>
        <w:t xml:space="preserve">SVM (RBF)</w:t>
      </w:r>
      <w:r>
        <w:t xml:space="preserve"> </w:t>
      </w:r>
      <w:r>
        <w:t xml:space="preserve">— the primary model — with XGBoost and random forest as</w:t>
      </w:r>
      <w:r>
        <w:t xml:space="preserve"> </w:t>
      </w:r>
      <w:r>
        <w:t xml:space="preserve">alternates; XGBoost additionally serves as the SHAP surrogate (§3.6).</w:t>
      </w:r>
    </w:p>
    <w:p>
      <w:pPr>
        <w:pStyle w:val="BodyText"/>
      </w:pPr>
      <w:r>
        <w:rPr>
          <w:b/>
          <w:bCs/>
        </w:rPr>
        <w:t xml:space="preserve">Spectrogram CNN (v2).</w:t>
      </w:r>
      <w:r>
        <w:t xml:space="preserve"> </w:t>
      </w:r>
      <w:r>
        <w:t xml:space="preserve">As a deep baseline on the same LOSO protocol, we train a small CNN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model.py</w:t>
      </w:r>
      <w:r>
        <w:t xml:space="preserve">) on log-mel spectrograms (</w:t>
      </w:r>
      <w:r>
        <w:rPr>
          <w:rStyle w:val="VerbatimChar"/>
        </w:rPr>
        <w:t xml:space="preserve">dataset.py</w:t>
      </w:r>
      <w:r>
        <w:t xml:space="preserve">), with SpecAugment and an</w:t>
      </w:r>
      <w:r>
        <w:t xml:space="preserve"> </w:t>
      </w:r>
      <w:r>
        <w:rPr>
          <w:b/>
          <w:bCs/>
        </w:rPr>
        <w:t xml:space="preserve">asymmetric (2,1)</w:t>
      </w:r>
      <w:r>
        <w:rPr>
          <w:b/>
          <w:bCs/>
        </w:rPr>
        <w:t xml:space="preserve"> </w:t>
      </w:r>
      <w:r>
        <w:rPr>
          <w:b/>
          <w:bCs/>
        </w:rPr>
        <w:t xml:space="preserve">pooling</w:t>
      </w:r>
      <w:r>
        <w:t xml:space="preserve"> </w:t>
      </w:r>
      <w:r>
        <w:t xml:space="preserve">that halves only the frequency axis to preserve temporal resolution.</w:t>
      </w:r>
    </w:p>
    <w:p>
      <w:pPr>
        <w:pStyle w:val="BodyText"/>
      </w:pPr>
      <w:r>
        <w:rPr>
          <w:b/>
          <w:bCs/>
        </w:rPr>
        <w:t xml:space="preserve">Self-supervised backbone (MERT).</w:t>
      </w:r>
      <w:r>
        <w:t xml:space="preserve"> </w:t>
      </w:r>
      <w:r>
        <w:t xml:space="preserve">We use</w:t>
      </w:r>
      <w:r>
        <w:t xml:space="preserve"> </w:t>
      </w:r>
      <w:r>
        <w:rPr>
          <w:b/>
          <w:bCs/>
        </w:rPr>
        <w:t xml:space="preserve">MERT-v1-95M</w:t>
      </w:r>
      <w:r>
        <w:t xml:space="preserve"> </w:t>
      </w:r>
      <w:r>
        <w:t xml:space="preserve">[cite] via HuggingFace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trust_remote_code</w:t>
      </w:r>
      <w:r>
        <w:t xml:space="preserve">), resampling audio to 24 kHz. Embeddings are the mean-pooled</w:t>
      </w:r>
      <w:r>
        <w:t xml:space="preserve"> </w:t>
      </w:r>
      <w:r>
        <w:t xml:space="preserve">hidden states over time (batch=1, no padding, matching the cached-embedding pipeline exactly); all</w:t>
      </w:r>
      <w:r>
        <w:t xml:space="preserve"> </w:t>
      </w:r>
      <w:r>
        <w:t xml:space="preserve">13 layers are retained for the probe and the layer-weighted head. On top we train a classification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— a single linear layer, an MLP-256, or a learned convex combination over layers</w:t>
      </w:r>
      <w:r>
        <w:t xml:space="preserve"> </w:t>
      </w:r>
      <w:r>
        <w:t xml:space="preserve">(</w:t>
      </w:r>
      <w:r>
        <w:t xml:space="preserve">“layer-weighted”</w:t>
      </w:r>
      <w:r>
        <w:t xml:space="preserve">). A</w:t>
      </w:r>
      <w:r>
        <w:t xml:space="preserve"> </w:t>
      </w:r>
      <w:r>
        <w:rPr>
          <w:b/>
          <w:bCs/>
        </w:rPr>
        <w:t xml:space="preserve">CLAP zero-shot</w:t>
      </w:r>
      <w:r>
        <w:t xml:space="preserve"> </w:t>
      </w:r>
      <w:r>
        <w:t xml:space="preserve">classifier (</w:t>
      </w:r>
      <w:r>
        <w:rPr>
          <w:rStyle w:val="VerbatimChar"/>
        </w:rPr>
        <w:t xml:space="preserve">laion/clap-htsat-unfused</w:t>
      </w:r>
      <w:r>
        <w:t xml:space="preserve">) provides a</w:t>
      </w:r>
      <w:r>
        <w:t xml:space="preserve"> </w:t>
      </w:r>
      <w:r>
        <w:t xml:space="preserve">no-label reference point. The heaviest tuning point,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(r=8, α=16, on q/v projections),</w:t>
      </w:r>
      <w:r>
        <w:t xml:space="preserve"> </w:t>
      </w:r>
      <w:r>
        <w:t xml:space="preserve">adapts the backbone itself (§4.4). All models run on Apple-Silicon MPS with CPU fallback; no CUDA,</w:t>
      </w:r>
      <w:r>
        <w:t xml:space="preserve"> </w:t>
      </w:r>
      <w:r>
        <w:t xml:space="preserve">no bitsandbytes.</w:t>
      </w:r>
    </w:p>
    <w:bookmarkEnd w:id="17"/>
    <w:bookmarkStart w:id="18" w:name="tuning-budgets"/>
    <w:p>
      <w:pPr>
        <w:pStyle w:val="Heading3"/>
      </w:pPr>
      <w:r>
        <w:t xml:space="preserve">3.4 Tuning budgets</w:t>
      </w:r>
    </w:p>
    <w:p>
      <w:pPr>
        <w:pStyle w:val="FirstParagraph"/>
      </w:pPr>
      <w:r>
        <w:t xml:space="preserve">To make the SVM-vs-MERT comparison fair, both are tuned on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 </w:t>
      </w:r>
      <w:r>
        <w:t xml:space="preserve">(never on test). The SVM</w:t>
      </w:r>
      <w:r>
        <w:t xml:space="preserve"> </w:t>
      </w:r>
      <w:r>
        <w:t xml:space="preserve">searches</w:t>
      </w:r>
      <w:r>
        <w:t xml:space="preserve"> </w:t>
      </w:r>
      <w:r>
        <w:rPr>
          <w:b/>
          <w:bCs/>
        </w:rPr>
        <w:t xml:space="preserve">12 configurations</w:t>
      </w:r>
      <w:r>
        <w:t xml:space="preserve"> </w:t>
      </w:r>
      <w:r>
        <w:t xml:space="preserve">(C ∈ {0.1,1,10,100} × γ ∈ {scale,0.01,0.001}); the MERT head</w:t>
      </w:r>
      <w:r>
        <w:t xml:space="preserve"> </w:t>
      </w:r>
      <w:r>
        <w:t xml:space="preserve">searches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(arch ∈ {linear, mlp256} × lr × weight-decay × dropout) — a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budget for</w:t>
      </w:r>
      <w:r>
        <w:t xml:space="preserve"> </w:t>
      </w:r>
      <w:r>
        <w:t xml:space="preserve">the backbone, guarding against undertuning it (§4.2).</w:t>
      </w:r>
    </w:p>
    <w:bookmarkEnd w:id="18"/>
    <w:bookmarkStart w:id="19" w:name="uncertainty-quantification"/>
    <w:p>
      <w:pPr>
        <w:pStyle w:val="Heading3"/>
      </w:pPr>
      <w:r>
        <w:t xml:space="preserve">3.5 Uncertainty quantification</w:t>
      </w:r>
    </w:p>
    <w:p>
      <w:pPr>
        <w:pStyle w:val="FirstParagraph"/>
      </w:pPr>
      <w:r>
        <w:t xml:space="preserve">We report a</w:t>
      </w:r>
      <w:r>
        <w:t xml:space="preserve"> </w:t>
      </w:r>
      <w:r>
        <w:rPr>
          <w:b/>
          <w:bCs/>
        </w:rPr>
        <w:t xml:space="preserve">BCa bootstrap</w:t>
      </w:r>
      <w:r>
        <w:t xml:space="preserve"> </w:t>
      </w:r>
      <w:r>
        <w:t xml:space="preserve">(B=2,000, 95%). Because clips from one recording are strongly</w:t>
      </w:r>
      <w:r>
        <w:t xml:space="preserve"> </w:t>
      </w:r>
      <w:r>
        <w:t xml:space="preserve">correlated, we resample at the</w:t>
      </w:r>
      <w:r>
        <w:t xml:space="preserve"> </w:t>
      </w:r>
      <w:r>
        <w:rPr>
          <w:b/>
          <w:bCs/>
        </w:rPr>
        <w:t xml:space="preserve">recording-cluster</w:t>
      </w:r>
      <w:r>
        <w:t xml:space="preserve"> </w:t>
      </w:r>
      <w:r>
        <w:t xml:space="preserve">level rather than the clip level. Critically,</w:t>
      </w:r>
      <w:r>
        <w:t xml:space="preserve"> </w:t>
      </w:r>
      <w:r>
        <w:t xml:space="preserve">since the claim generalizes across instruments, we also report a</w:t>
      </w:r>
      <w:r>
        <w:t xml:space="preserve"> </w:t>
      </w:r>
      <w:r>
        <w:rPr>
          <w:b/>
          <w:bCs/>
        </w:rPr>
        <w:t xml:space="preserve">two-level</w:t>
      </w:r>
      <w:r>
        <w:t xml:space="preserve"> </w:t>
      </w:r>
      <w:r>
        <w:t xml:space="preserve">bootstrap that</w:t>
      </w:r>
      <w:r>
        <w:t xml:space="preserve"> </w:t>
      </w:r>
      <w:r>
        <w:t xml:space="preserve">resamples the</w:t>
      </w:r>
      <w:r>
        <w:t xml:space="preserve"> </w:t>
      </w:r>
      <w:r>
        <w:rPr>
          <w:b/>
          <w:bCs/>
        </w:rPr>
        <w:t xml:space="preserve">instrument/fold</w:t>
      </w:r>
      <w:r>
        <w:t xml:space="preserve"> </w:t>
      </w:r>
      <w:r>
        <w:t xml:space="preserve">unit — the dominant variance component — and treat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zero-coverage as the significance test (§4.3). With four instruments these intervals are</w:t>
      </w:r>
      <w:r>
        <w:t xml:space="preserve"> </w:t>
      </w:r>
      <w:r>
        <w:t xml:space="preserve">necessarily wide; that width is the honest answer, not a defect to hide.</w:t>
      </w:r>
    </w:p>
    <w:bookmarkEnd w:id="19"/>
    <w:bookmarkStart w:id="20" w:name="X1c673bae5e3116ea045f7241054a916dfa3ffba"/>
    <w:p>
      <w:pPr>
        <w:pStyle w:val="Heading3"/>
      </w:pPr>
      <w:r>
        <w:t xml:space="preserve">3.6 Interpretability: descriptor probe and SHAP</w:t>
      </w:r>
    </w:p>
    <w:p>
      <w:pPr>
        <w:pStyle w:val="FirstParagraph"/>
      </w:pPr>
      <w:r>
        <w:t xml:space="preserve">Two analyses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(§5).</w:t>
      </w:r>
      <w:r>
        <w:t xml:space="preserve"> </w:t>
      </w:r>
      <w:r>
        <w:rPr>
          <w:b/>
          <w:bCs/>
        </w:rPr>
        <w:t xml:space="preserve">(a) Layer-wise descriptor probe:</w:t>
      </w:r>
      <w:r>
        <w:t xml:space="preserve"> </w:t>
      </w:r>
      <w:r>
        <w:t xml:space="preserve">for each MERT layer we</w:t>
      </w:r>
      <w:r>
        <w:t xml:space="preserve"> </w:t>
      </w:r>
      <w:r>
        <w:t xml:space="preserve">ridge-regress each handcrafted descriptor from the 768-d embedding (LOSO, out-of-fold R²,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 </w:t>
      </w:r>
      <w:r>
        <w:t xml:space="preserve">per target on train only), reading each layer as</w:t>
      </w:r>
      <w:r>
        <w:t xml:space="preserve"> </w:t>
      </w:r>
      <w:r>
        <w:t xml:space="preserve">“how linearly available is this</w:t>
      </w:r>
      <w:r>
        <w:t xml:space="preserve"> </w:t>
      </w:r>
      <w:r>
        <w:t xml:space="preserve">descriptor here.”</w:t>
      </w:r>
      <w:r>
        <w:t xml:space="preserve"> </w:t>
      </w:r>
      <w:r>
        <w:t xml:space="preserve">Chroma serves as a control, following the control-task rationale of Hewitt &amp;</w:t>
      </w:r>
      <w:r>
        <w:t xml:space="preserve"> </w:t>
      </w:r>
      <w:r>
        <w:t xml:space="preserve">Liang [cite].</w:t>
      </w:r>
      <w:r>
        <w:t xml:space="preserve"> </w:t>
      </w:r>
      <w:r>
        <w:rPr>
          <w:b/>
          <w:bCs/>
        </w:rPr>
        <w:t xml:space="preserve">(b) SHAP:</w:t>
      </w:r>
      <w:r>
        <w:t xml:space="preserve"> </w:t>
      </w:r>
      <w:r>
        <w:t xml:space="preserve">we compute SHAP values on the XGBoost surrogate, report</w:t>
      </w:r>
      <w:r>
        <w:t xml:space="preserve"> </w:t>
      </w:r>
      <w:r>
        <w:rPr>
          <w:b/>
          <w:bCs/>
        </w:rPr>
        <w:t xml:space="preserve">dimensionality-corrected</w:t>
      </w:r>
      <w:r>
        <w:t xml:space="preserve"> </w:t>
      </w:r>
      <w:r>
        <w:t xml:space="preserve">(per-feature) group importances, and validate the surrogate against</w:t>
      </w:r>
      <w:r>
        <w:t xml:space="preserve"> </w:t>
      </w:r>
      <w:r>
        <w:t xml:space="preserve">the MERT head</w:t>
      </w:r>
      <w:r>
        <w:t xml:space="preserve"> </w:t>
      </w:r>
      <w:r>
        <w:rPr>
          <w:b/>
          <w:bCs/>
        </w:rPr>
        <w:t xml:space="preserve">out-of-sample</w:t>
      </w:r>
      <w:r>
        <w:t xml:space="preserve"> </w:t>
      </w:r>
      <w:r>
        <w:t xml:space="preserve">(Cohen’s κ), reporting fidelity honestly rather than the</w:t>
      </w:r>
      <w:r>
        <w:t xml:space="preserve"> </w:t>
      </w:r>
      <w:r>
        <w:t xml:space="preserve">misleading in-sample agreement.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results"/>
    <w:p>
      <w:pPr>
        <w:pStyle w:val="Heading2"/>
      </w:pPr>
      <w:r>
        <w:t xml:space="preserve">4. Results</w:t>
      </w:r>
    </w:p>
    <w:p>
      <w:pPr>
        <w:pStyle w:val="FirstParagraph"/>
      </w:pPr>
      <w:r>
        <w:t xml:space="preserve">We report each pitfall as a before/after pair on the same data, in the order we encountered it.</w:t>
      </w:r>
      <w:r>
        <w:t xml:space="preserve"> </w:t>
      </w:r>
      <w:r>
        <w:t xml:space="preserve">Pitfalls (i) and (ii) each</w:t>
      </w:r>
      <w:r>
        <w:t xml:space="preserve"> </w:t>
      </w:r>
      <w:r>
        <w:rPr>
          <w:i/>
          <w:iCs/>
        </w:rPr>
        <w:t xml:space="preserve">reversed</w:t>
      </w:r>
      <w:r>
        <w:t xml:space="preserve"> </w:t>
      </w:r>
      <w:r>
        <w:t xml:space="preserve">our working conclusion; pitfall (iii) would have reversed it</w:t>
      </w:r>
      <w:r>
        <w:t xml:space="preserve"> </w:t>
      </w:r>
      <w:r>
        <w:t xml:space="preserve">a third time but was caught before it entered any reported result. §4.4 states the corrected,</w:t>
      </w:r>
      <w:r>
        <w:t xml:space="preserve"> </w:t>
      </w:r>
      <w:r>
        <w:t xml:space="preserve">stable conclusion. Throughout, macro-F1 is averaged over four instrument-grouped folds (LOSO;</w:t>
      </w:r>
      <w:r>
        <w:t xml:space="preserve"> </w:t>
      </w:r>
      <w:r>
        <w:t xml:space="preserve">violin / viola / cello / contrabass) across label budgets of 5/10/20/50%. Unless noted, MERT and</w:t>
      </w:r>
      <w:r>
        <w:t xml:space="preserve"> </w:t>
      </w:r>
      <w:r>
        <w:t xml:space="preserve">SVM are trained on</w:t>
      </w:r>
      <w:r>
        <w:t xml:space="preserve"> </w:t>
      </w:r>
      <w:r>
        <w:rPr>
          <w:b/>
          <w:bCs/>
        </w:rPr>
        <w:t xml:space="preserve">identical data</w:t>
      </w:r>
      <w:r>
        <w:t xml:space="preserve"> </w:t>
      </w:r>
      <w:r>
        <w:t xml:space="preserve">(the 64%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partition); a sensitivity variant (</w:t>
      </w:r>
      <w:r>
        <w:rPr>
          <w:rStyle w:val="VerbatimChar"/>
        </w:rPr>
        <w:t xml:space="preserve">seed_core</w:t>
      </w:r>
      <w:r>
        <w:t xml:space="preserve">,</w:t>
      </w:r>
      <w:r>
        <w:t xml:space="preserve"> </w:t>
      </w:r>
      <w:r>
        <w:t xml:space="preserve">80%) is reported where the two differ.</w:t>
      </w:r>
    </w:p>
    <w:bookmarkStart w:id="22" w:name="X8139329bb0261d3c89b7c9f48c49e73b352545c"/>
    <w:p>
      <w:pPr>
        <w:pStyle w:val="Heading3"/>
      </w:pPr>
      <w:r>
        <w:t xml:space="preserve">4.1 Pitfall (i): selection-time test-set leakage —</w:t>
      </w:r>
      <w:r>
        <w:t xml:space="preserve"> </w:t>
      </w:r>
      <w:r>
        <w:rPr>
          <w:i/>
          <w:iCs/>
        </w:rPr>
        <w:t xml:space="preserve">first reversal</w:t>
      </w:r>
    </w:p>
    <w:p>
      <w:pPr>
        <w:pStyle w:val="FirstParagraph"/>
      </w:pPr>
      <w:r>
        <w:t xml:space="preserve">Our initial self-training pipeline selected the iteration (and confidence threshold τ) by test-set</w:t>
      </w:r>
      <w:r>
        <w:t xml:space="preserve"> </w:t>
      </w:r>
      <w:r>
        <w:t xml:space="preserve">macro-F1. Removing this — selecting on a disjoint held-out split instead — lowers self-training</w:t>
      </w:r>
      <w:r>
        <w:t xml:space="preserve"> </w:t>
      </w:r>
      <w:r>
        <w:t xml:space="preserve">macro-F1 across every budget, most at low label counts (Table 4.1):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</w:pPr>
            <w:r>
              <w:t xml:space="preserve">Leaked (selected on test)</w:t>
            </w:r>
          </w:p>
        </w:tc>
        <w:tc>
          <w:tcPr/>
          <w:p>
            <w:pPr>
              <w:pStyle w:val="Compact"/>
            </w:pPr>
            <w:r>
              <w:t xml:space="preserve">De-leaked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  <w:r>
              <w:t xml:space="preserve">−0.078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−0.039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cross-domain (Phase 4)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</w:tr>
    </w:tbl>
    <w:p>
      <w:pPr>
        <w:pStyle w:val="BodyText"/>
      </w:pPr>
      <w:r>
        <w:t xml:space="preserve">The drop grows as labels shrink (−0.107 at 5%), showing the</w:t>
      </w:r>
      <w:r>
        <w:t xml:space="preserve"> </w:t>
      </w:r>
      <w:r>
        <w:t xml:space="preserve">“iteration-selection gain”</w:t>
      </w:r>
      <w:r>
        <w:t xml:space="preserve"> </w:t>
      </w:r>
      <w:r>
        <w:t xml:space="preserve">was largely</w:t>
      </w:r>
      <w:r>
        <w:t xml:space="preserve"> </w:t>
      </w:r>
      <w:r>
        <w:t xml:space="preserve">leaked test signal, worst where the selection split is tiny (~25 samples). Crucially, the leak had</w:t>
      </w:r>
      <w:r>
        <w:t xml:space="preserve"> </w:t>
      </w:r>
      <w:r>
        <w:t xml:space="preserve">produced an apparent</w:t>
      </w:r>
      <w:r>
        <w:t xml:space="preserve"> </w:t>
      </w:r>
      <w:r>
        <w:rPr>
          <w:b/>
          <w:bCs/>
        </w:rPr>
        <w:t xml:space="preserve">crossover</w:t>
      </w:r>
      <w:r>
        <w:t xml:space="preserve">: in the leaked pipeline MERT+self-training exceeded the SVM at</w:t>
      </w:r>
      <w:r>
        <w:t xml:space="preserve"> </w:t>
      </w:r>
      <w:r>
        <w:t xml:space="preserve">the 5–10% budgets, supporting a</w:t>
      </w:r>
      <w:r>
        <w:t xml:space="preserve"> </w:t>
      </w:r>
      <w:r>
        <w:t xml:space="preserve">“foundation models win under limited labels”</w:t>
      </w:r>
      <w:r>
        <w:t xml:space="preserve"> </w:t>
      </w:r>
      <w:r>
        <w:t xml:space="preserve">reading. After</w:t>
      </w:r>
      <w:r>
        <w:t xml:space="preserve"> </w:t>
      </w:r>
      <w:r>
        <w:t xml:space="preserve">de-leaking, the SVM matches or exceeds MERT+self-training 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budget, and self-training no</w:t>
      </w:r>
      <w:r>
        <w:t xml:space="preserve"> </w:t>
      </w:r>
      <w:r>
        <w:t xml:space="preserve">longer beats even its own MERT baseline at 5% (0.638 vs 0.726).</w:t>
      </w:r>
      <w:r>
        <w:t xml:space="preserve"> </w:t>
      </w:r>
      <w:r>
        <w:rPr>
          <w:b/>
          <w:bCs/>
        </w:rPr>
        <w:t xml:space="preserve">The crossover — and the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 resting on it — disappears.</w:t>
      </w:r>
    </w:p>
    <w:bookmarkEnd w:id="22"/>
    <w:bookmarkStart w:id="23" w:name="Xec28e1ff6c2456b8a260cdaaca3cddcf13721d5"/>
    <w:p>
      <w:pPr>
        <w:pStyle w:val="Heading3"/>
      </w:pPr>
      <w:r>
        <w:t xml:space="preserve">4.2 Pitfall (ii): backbone undertuning —</w:t>
      </w:r>
      <w:r>
        <w:t xml:space="preserve"> </w:t>
      </w:r>
      <w:r>
        <w:rPr>
          <w:i/>
          <w:iCs/>
        </w:rPr>
        <w:t xml:space="preserve">second reversal</w:t>
      </w:r>
    </w:p>
    <w:p>
      <w:pPr>
        <w:pStyle w:val="FirstParagraph"/>
      </w:pPr>
      <w:r>
        <w:t xml:space="preserve">The de-leaked result above used a single linear head on MERT’s last hidden state — below common</w:t>
      </w:r>
      <w:r>
        <w:t xml:space="preserve"> </w:t>
      </w:r>
      <w:r>
        <w:t xml:space="preserve">probing convention (e.g., MARBLE’s MLP-512). Matching convention with a proper head search (arch</w:t>
      </w:r>
      <w:r>
        <w:t xml:space="preserve"> </w:t>
      </w:r>
      <w:r>
        <w:t xml:space="preserve">∈ {linear, mlp256} × lr × weight-decay × dropout = 24 configs, all selected on a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 </w:t>
      </w:r>
      <w:r>
        <w:t xml:space="preserve">split, giving MERT a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search budget than the SVM’s 12) raises tuned MERT over</w:t>
      </w:r>
      <w:r>
        <w:t xml:space="preserve"> </w:t>
      </w:r>
      <w:r>
        <w:t xml:space="preserve">its default by</w:t>
      </w:r>
      <w:r>
        <w:t xml:space="preserve"> </w:t>
      </w:r>
      <w:r>
        <w:rPr>
          <w:b/>
          <w:bCs/>
        </w:rPr>
        <w:t xml:space="preserve">+0.025 to +0.046</w:t>
      </w:r>
      <w:r>
        <w:t xml:space="preserve">. Under equal training data, tuned MERT and tuned SVM become</w:t>
      </w:r>
      <w:r>
        <w:t xml:space="preserve"> </w:t>
      </w:r>
      <w:r>
        <w:t xml:space="preserve">statistically indistinguishable — every gap falls within ±0.7 fold-std (Table 4.2):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</w:pPr>
            <w:r>
              <w:t xml:space="preserve">SVM (tuned, tr)</w:t>
            </w:r>
          </w:p>
        </w:tc>
        <w:tc>
          <w:tcPr/>
          <w:p>
            <w:pPr>
              <w:pStyle w:val="Compact"/>
            </w:pPr>
            <w:r>
              <w:t xml:space="preserve">MERT (tuned, tr)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in fold-std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0.6613 ± 0.053</w:t>
            </w:r>
          </w:p>
        </w:tc>
        <w:tc>
          <w:tcPr/>
          <w:p>
            <w:pPr>
              <w:pStyle w:val="Compact"/>
            </w:pPr>
            <w:r>
              <w:t xml:space="preserve">0.6714 ± 0.040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+0.0101</w:t>
            </w:r>
          </w:p>
        </w:tc>
        <w:tc>
          <w:tcPr/>
          <w:p>
            <w:pPr>
              <w:pStyle w:val="Compact"/>
            </w:pPr>
            <w:r>
              <w:t xml:space="preserve">+0.21σ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0.7542 ± 0.078</w:t>
            </w:r>
          </w:p>
        </w:tc>
        <w:tc>
          <w:tcPr/>
          <w:p>
            <w:pPr>
              <w:pStyle w:val="Compact"/>
            </w:pPr>
            <w:r>
              <w:t xml:space="preserve">0.7477 ± 0.037</w:t>
            </w:r>
          </w:p>
        </w:tc>
        <w:tc>
          <w:tcPr/>
          <w:p>
            <w:pPr>
              <w:pStyle w:val="Compact"/>
            </w:pPr>
            <w:r>
              <w:t xml:space="preserve">−0.0065</w:t>
            </w:r>
          </w:p>
        </w:tc>
        <w:tc>
          <w:tcPr/>
          <w:p>
            <w:pPr>
              <w:pStyle w:val="Compact"/>
            </w:pPr>
            <w:r>
              <w:t xml:space="preserve">−0.11σ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0.8316 ± 0.039</w:t>
            </w:r>
          </w:p>
        </w:tc>
        <w:tc>
          <w:tcPr/>
          <w:p>
            <w:pPr>
              <w:pStyle w:val="Compact"/>
            </w:pPr>
            <w:r>
              <w:t xml:space="preserve">0.8074 ± 0.030</w:t>
            </w:r>
          </w:p>
        </w:tc>
        <w:tc>
          <w:tcPr/>
          <w:p>
            <w:pPr>
              <w:pStyle w:val="Compact"/>
            </w:pPr>
            <w:r>
              <w:t xml:space="preserve">−0.0242</w:t>
            </w:r>
          </w:p>
        </w:tc>
        <w:tc>
          <w:tcPr/>
          <w:p>
            <w:pPr>
              <w:pStyle w:val="Compact"/>
            </w:pPr>
            <w:r>
              <w:t xml:space="preserve">−0.69σ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0.8681 ± 0.040</w:t>
            </w:r>
          </w:p>
        </w:tc>
        <w:tc>
          <w:tcPr/>
          <w:p>
            <w:pPr>
              <w:pStyle w:val="Compact"/>
            </w:pPr>
            <w:r>
              <w:t xml:space="preserve">0.8593 ± 0.025</w:t>
            </w:r>
          </w:p>
        </w:tc>
        <w:tc>
          <w:tcPr/>
          <w:p>
            <w:pPr>
              <w:pStyle w:val="Compact"/>
            </w:pPr>
            <w:r>
              <w:t xml:space="preserve">−0.0088</w:t>
            </w:r>
          </w:p>
        </w:tc>
        <w:tc>
          <w:tcPr/>
          <w:p>
            <w:pPr>
              <w:pStyle w:val="Compact"/>
            </w:pPr>
            <w:r>
              <w:t xml:space="preserve">−0.26σ</w:t>
            </w:r>
          </w:p>
        </w:tc>
      </w:tr>
    </w:tbl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reverses the §4.1 verdict a second time</w:t>
      </w:r>
      <w:r>
        <w:t xml:space="preserve">: the</w:t>
      </w:r>
      <w:r>
        <w:t xml:space="preserve"> </w:t>
      </w:r>
      <w:r>
        <w:t xml:space="preserve">“SVM wins everywhere”</w:t>
      </w:r>
      <w:r>
        <w:t xml:space="preserve"> </w:t>
      </w:r>
      <w:r>
        <w:t xml:space="preserve">conclusion was itself</w:t>
      </w:r>
      <w:r>
        <w:t xml:space="preserve"> </w:t>
      </w:r>
      <w:r>
        <w:t xml:space="preserve">an artifact — of undertuning the backbone, not of the data. Two points guard against over-claiming.</w:t>
      </w:r>
      <w:r>
        <w:t xml:space="preserve"> </w:t>
      </w:r>
      <w:r>
        <w:t xml:space="preserve">First, the correct head is</w:t>
      </w:r>
      <w:r>
        <w:t xml:space="preserve"> </w:t>
      </w:r>
      <w:r>
        <w:rPr>
          <w:i/>
          <w:iCs/>
        </w:rPr>
        <w:t xml:space="preserve">budget-dependent</w:t>
      </w:r>
      <w:r>
        <w:t xml:space="preserve">: at low labels the search prefers a plain linear head</w:t>
      </w:r>
      <w:r>
        <w:t xml:space="preserve"> </w:t>
      </w:r>
      <w:r>
        <w:t xml:space="preserve">(5%: 9/12 folds linear; 10%: 8/12), splits evenly at 20%, and prefers mlp256 only at 50%. The</w:t>
      </w:r>
      <w:r>
        <w:t xml:space="preserve"> </w:t>
      </w:r>
      <w:r>
        <w:t xml:space="preserve">lesson is not</w:t>
      </w:r>
      <w:r>
        <w:t xml:space="preserve"> </w:t>
      </w:r>
      <w:r>
        <w:t xml:space="preserve">“convention undertunes SSL”</w:t>
      </w:r>
      <w:r>
        <w:t xml:space="preserve"> </w:t>
      </w:r>
      <w:r>
        <w:t xml:space="preserve">but</w:t>
      </w:r>
      <w:r>
        <w:t xml:space="preserve"> </w:t>
      </w:r>
      <w:r>
        <w:t xml:space="preserve">“probe design can flip the conclusion, and we sat</w:t>
      </w:r>
      <w:r>
        <w:t xml:space="preserve"> </w:t>
      </w:r>
      <w:r>
        <w:t xml:space="preserve">below convention and fooled ourselves once.”</w:t>
      </w:r>
      <w:r>
        <w:t xml:space="preserve"> </w:t>
      </w:r>
      <w:r>
        <w:t xml:space="preserve">Second, if the SVM is allowed its structural</w:t>
      </w:r>
      <w:r>
        <w:t xml:space="preserve"> </w:t>
      </w:r>
      <w:r>
        <w:t xml:space="preserve">advantage — it needs no early-stopping split and can train on the full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80% — it edges</w:t>
      </w:r>
      <w:r>
        <w:t xml:space="preserve"> </w:t>
      </w:r>
      <w:r>
        <w:t xml:space="preserve">ahead everywhere (up to −1.04σ at 10%), but still within ~1σ at n=4, a tilt rather than a reversal.</w:t>
      </w:r>
    </w:p>
    <w:bookmarkEnd w:id="23"/>
    <w:bookmarkStart w:id="24" w:name="X5f1a4c54bdddb5bd0a3c83bacfa62a658b6f66e"/>
    <w:p>
      <w:pPr>
        <w:pStyle w:val="Heading3"/>
      </w:pPr>
      <w:r>
        <w:t xml:space="preserve">4.3 Pitfall (iii): resampling unit in uncertainty quantification —</w:t>
      </w:r>
      <w:r>
        <w:t xml:space="preserve"> </w:t>
      </w:r>
      <w:r>
        <w:rPr>
          <w:i/>
          <w:iCs/>
        </w:rPr>
        <w:t xml:space="preserve">a near-miss</w:t>
      </w:r>
    </w:p>
    <w:p>
      <w:pPr>
        <w:pStyle w:val="FirstParagraph"/>
      </w:pPr>
      <w:r>
        <w:t xml:space="preserve">Having landed on parity, we quantified it with a BCa bootstrap (B=2000). Resampling at the</w:t>
      </w:r>
      <w:r>
        <w:t xml:space="preserve"> </w:t>
      </w:r>
      <w:r>
        <w:rPr>
          <w:b/>
          <w:bCs/>
        </w:rPr>
        <w:t xml:space="preserve">recording-cluster</w:t>
      </w:r>
      <w:r>
        <w:t xml:space="preserve"> </w:t>
      </w:r>
      <w:r>
        <w:t xml:space="preserve">level while holding the four instrument folds fixed, the paired MERT−SVM</w:t>
      </w:r>
      <w:r>
        <w:t xml:space="preserve"> </w:t>
      </w:r>
      <w:r>
        <w:t xml:space="preserve">interval</w:t>
      </w:r>
      <w:r>
        <w:t xml:space="preserve"> </w:t>
      </w:r>
      <w:r>
        <w:rPr>
          <w:b/>
          <w:bCs/>
        </w:rPr>
        <w:t xml:space="preserve">excludes zero at the 5% and 20% budgets</w:t>
      </w:r>
      <w:r>
        <w:t xml:space="preserve"> </w:t>
      </w:r>
      <w:r>
        <w:t xml:space="preserve">(−0.027 [−0.044, −0.012] and −0.026 [−0.043,</w:t>
      </w:r>
      <w:r>
        <w:t xml:space="preserve"> </w:t>
      </w:r>
      <w:r>
        <w:t xml:space="preserve">−0.011]), reading as</w:t>
      </w:r>
      <w:r>
        <w:t xml:space="preserve"> </w:t>
      </w:r>
      <w:r>
        <w:t xml:space="preserve">“SVM significantly ahead”</w:t>
      </w:r>
      <w:r>
        <w:t xml:space="preserve"> </w:t>
      </w:r>
      <w:r>
        <w:t xml:space="preserve">— in tension with the parity of §4.2. But this</w:t>
      </w:r>
      <w:r>
        <w:t xml:space="preserve"> </w:t>
      </w:r>
      <w:r>
        <w:t xml:space="preserve">interval models only test-clip sampling variance; the folds — the axis our leave-one-instrument-out</w:t>
      </w:r>
      <w:r>
        <w:t xml:space="preserve"> </w:t>
      </w:r>
      <w:r>
        <w:t xml:space="preserve">claim generalizes over — are fixed. A generalization claim across instruments must resample at the</w:t>
      </w:r>
      <w:r>
        <w:t xml:space="preserve"> </w:t>
      </w:r>
      <w:r>
        <w:t xml:space="preserve">instrument/fold unit. Doing so (a two-level bootstrap) widens the intervals</w:t>
      </w:r>
      <w:r>
        <w:t xml:space="preserve"> </w:t>
      </w:r>
      <w:r>
        <w:rPr>
          <w:b/>
          <w:bCs/>
        </w:rPr>
        <w:t xml:space="preserve">2.6–5.0×</w:t>
      </w:r>
      <w:r>
        <w:t xml:space="preserve"> </w:t>
      </w:r>
      <w:r>
        <w:t xml:space="preserve">and every</w:t>
      </w:r>
      <w:r>
        <w:t xml:space="preserve"> </w:t>
      </w:r>
      <w:r>
        <w:t xml:space="preserve">paired interval now</w:t>
      </w:r>
      <w:r>
        <w:t xml:space="preserve"> </w:t>
      </w:r>
      <w:r>
        <w:rPr>
          <w:b/>
          <w:bCs/>
        </w:rPr>
        <w:t xml:space="preserve">covers zero</w:t>
      </w:r>
      <w:r>
        <w:t xml:space="preserve"> </w:t>
      </w:r>
      <w:r>
        <w:t xml:space="preserve">(Table 4.3):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1-level CI (clip)</w:t>
            </w:r>
          </w:p>
        </w:tc>
        <w:tc>
          <w:tcPr/>
          <w:p>
            <w:pPr>
              <w:pStyle w:val="Compact"/>
            </w:pPr>
            <w:r>
              <w:t xml:space="preserve">0?</w:t>
            </w:r>
          </w:p>
        </w:tc>
        <w:tc>
          <w:tcPr/>
          <w:p>
            <w:pPr>
              <w:pStyle w:val="Compact"/>
            </w:pPr>
            <w:r>
              <w:t xml:space="preserve">2-level CI (fold)</w:t>
            </w:r>
          </w:p>
        </w:tc>
        <w:tc>
          <w:tcPr/>
          <w:p>
            <w:pPr>
              <w:pStyle w:val="Compact"/>
            </w:pPr>
            <w:r>
              <w:t xml:space="preserve">0?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−0.027</w:t>
            </w:r>
          </w:p>
        </w:tc>
        <w:tc>
          <w:tcPr/>
          <w:p>
            <w:pPr>
              <w:pStyle w:val="Compact"/>
            </w:pPr>
            <w:r>
              <w:t xml:space="preserve">[−0.044, −0.012]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[−0.107, +0.050]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  <w:tc>
          <w:tcPr/>
          <w:p>
            <w:pPr>
              <w:pStyle w:val="Compact"/>
            </w:pPr>
            <w:r>
              <w:t xml:space="preserve">[−0.016, +0.015]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[−0.071, +0.069]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[−0.043, −0.011]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[−0.074, +0.035]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  <w:tc>
          <w:tcPr/>
          <w:p>
            <w:pPr>
              <w:pStyle w:val="Compact"/>
            </w:pPr>
            <w:r>
              <w:t xml:space="preserve">[−0.021, +0.006]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[−0.046, +0.025]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Had we reported the clip-level interval, we would have flipped the conclusion a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time —</w:t>
      </w:r>
      <w:r>
        <w:t xml:space="preserve"> </w:t>
      </w:r>
      <w:r>
        <w:t xml:space="preserve">back to</w:t>
      </w:r>
      <w:r>
        <w:t xml:space="preserve"> </w:t>
      </w:r>
      <w:r>
        <w:t xml:space="preserve">“SVM significantly wins.”</w:t>
      </w:r>
      <w:r>
        <w:t xml:space="preserve"> </w:t>
      </w:r>
      <w:r>
        <w:t xml:space="preserve">Unlike (i) and (ii), this pitfall never entered a reported</w:t>
      </w:r>
      <w:r>
        <w:t xml:space="preserve"> </w:t>
      </w:r>
      <w:r>
        <w:t xml:space="preserve">result: we caught it before publication. We flag it precisely because it is</w:t>
      </w:r>
      <w:r>
        <w:t xml:space="preserve"> </w:t>
      </w:r>
      <w:r>
        <w:rPr>
          <w:i/>
          <w:iCs/>
        </w:rPr>
        <w:t xml:space="preserve">harder</w:t>
      </w:r>
      <w:r>
        <w:t xml:space="preserve"> </w:t>
      </w:r>
      <w:r>
        <w:t xml:space="preserve">to catch — it</w:t>
      </w:r>
      <w:r>
        <w:t xml:space="preserve"> </w:t>
      </w:r>
      <w:r>
        <w:t xml:space="preserve">arises from adopting a more rigorous method (a cluster bootstrap) and stopping one level too</w:t>
      </w:r>
      <w:r>
        <w:t xml:space="preserve"> </w:t>
      </w:r>
      <w:r>
        <w:t xml:space="preserve">shallow. The wide fold-level intervals (n=4 instruments) are not a weakness to hide but the honest</w:t>
      </w:r>
      <w:r>
        <w:t xml:space="preserve"> </w:t>
      </w:r>
      <w:r>
        <w:t xml:space="preserve">answer to</w:t>
      </w:r>
      <w:r>
        <w:t xml:space="preserve"> </w:t>
      </w:r>
      <w:r>
        <w:t xml:space="preserve">“would this hold on other instruments?”</w:t>
      </w:r>
    </w:p>
    <w:bookmarkEnd w:id="24"/>
    <w:bookmarkStart w:id="25" w:name="landing-conditional-parity"/>
    <w:p>
      <w:pPr>
        <w:pStyle w:val="Heading3"/>
      </w:pPr>
      <w:r>
        <w:t xml:space="preserve">4.4 Landing: conditional parity</w:t>
      </w:r>
    </w:p>
    <w:p>
      <w:pPr>
        <w:pStyle w:val="FirstParagraph"/>
      </w:pPr>
      <w:r>
        <w:t xml:space="preserve">Removing all three pitfalls, the corrected picture is</w:t>
      </w:r>
      <w:r>
        <w:t xml:space="preserve"> </w:t>
      </w:r>
      <w:r>
        <w:rPr>
          <w:b/>
          <w:bCs/>
        </w:rPr>
        <w:t xml:space="preserve">conditional parity</w:t>
      </w:r>
      <w:r>
        <w:t xml:space="preserve">: a tuned</w:t>
      </w:r>
      <w:r>
        <w:t xml:space="preserve"> </w:t>
      </w:r>
      <w:r>
        <w:t xml:space="preserve">245-dimensional SVM and a tuned MERT head are statistically indistinguishable across 5–50% label</w:t>
      </w:r>
      <w:r>
        <w:t xml:space="preserve"> </w:t>
      </w:r>
      <w:r>
        <w:t xml:space="preserve">budgets (all gaps within ±0.7 fold-std, §4.2; all fold-level intervals cover zero, §4.3). We rule</w:t>
      </w:r>
      <w:r>
        <w:t xml:space="preserve"> </w:t>
      </w:r>
      <w:r>
        <w:t xml:space="preserve">out a duration confound — that the SVM merely exploits clip-length differences — with a length-only</w:t>
      </w:r>
      <w:r>
        <w:t xml:space="preserve"> </w:t>
      </w:r>
      <w:r>
        <w:t xml:space="preserve">baseline (single duration feature), which reaches only macro-F1 0.400 under LOSO versus 0.906 for</w:t>
      </w:r>
      <w:r>
        <w:t xml:space="preserve"> </w:t>
      </w:r>
      <w:r>
        <w:t xml:space="preserve">the full 245-dimensional feature set (a 0.506 gap). Moreover, regressing the duration component out</w:t>
      </w:r>
      <w:r>
        <w:t xml:space="preserve"> </w:t>
      </w:r>
      <w:r>
        <w:t xml:space="preserve">of the features leaves performance essentially intact (0.906 → 0.893), and the onset-family</w:t>
      </w:r>
      <w:r>
        <w:t xml:space="preserve"> </w:t>
      </w:r>
      <w:r>
        <w:t xml:space="preserve">features actually</w:t>
      </w:r>
      <w:r>
        <w:t xml:space="preserve"> </w:t>
      </w:r>
      <w:r>
        <w:rPr>
          <w:i/>
          <w:iCs/>
        </w:rPr>
        <w:t xml:space="preserve">rise</w:t>
      </w:r>
      <w:r>
        <w:t xml:space="preserve"> </w:t>
      </w:r>
      <w:r>
        <w:t xml:space="preserve">after residualization (0.673 → 0.694); a mere length proxy would have</w:t>
      </w:r>
      <w:r>
        <w:t xml:space="preserve"> </w:t>
      </w:r>
      <w:r>
        <w:t xml:space="preserve">collapsed.</w:t>
      </w:r>
    </w:p>
    <w:p>
      <w:pPr>
        <w:pStyle w:val="BodyText"/>
      </w:pPr>
      <w:r>
        <w:rPr>
          <w:b/>
          <w:bCs/>
        </w:rPr>
        <w:t xml:space="preserve">Does a larger tuning budget rescue the backbone?</w:t>
      </w:r>
      <w:r>
        <w:t xml:space="preserve"> </w:t>
      </w:r>
      <w:r>
        <w:t xml:space="preserve">A natural objection to §4.2 is that we only</w:t>
      </w:r>
      <w:r>
        <w:t xml:space="preserve"> </w:t>
      </w:r>
      <w:r>
        <w:t xml:space="preserve">tuned a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head — perhaps adapting the backbone itself would open a gap for MERT. It does not;</w:t>
      </w:r>
      <w:r>
        <w:t xml:space="preserve"> </w:t>
      </w:r>
      <w:r>
        <w:t xml:space="preserve">it does the opposite. We place five points on a single tuning-budget spectrum (Table 4.4): SVM →</w:t>
      </w:r>
      <w:r>
        <w:t xml:space="preserve"> </w:t>
      </w:r>
      <w:r>
        <w:t xml:space="preserve">frozen-linear head → frozen-tuned head → learned layer-weighting → LoRA adaptation of the backbone</w:t>
      </w:r>
      <w:r>
        <w:t xml:space="preserve"> </w:t>
      </w:r>
      <w:r>
        <w:t xml:space="preserve">(r=8, q/v projections).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SVM (tuned)</w:t>
            </w:r>
          </w:p>
        </w:tc>
        <w:tc>
          <w:tcPr/>
          <w:p>
            <w:pPr>
              <w:pStyle w:val="Compact"/>
            </w:pPr>
            <w:r>
              <w:t xml:space="preserve">frozen-linear</w:t>
            </w:r>
          </w:p>
        </w:tc>
        <w:tc>
          <w:tcPr/>
          <w:p>
            <w:pPr>
              <w:pStyle w:val="Compact"/>
            </w:pPr>
            <w:r>
              <w:t xml:space="preserve">frozen-tuned</w:t>
            </w:r>
          </w:p>
        </w:tc>
        <w:tc>
          <w:tcPr/>
          <w:p>
            <w:pPr>
              <w:pStyle w:val="Compact"/>
            </w:pPr>
            <w:r>
              <w:t xml:space="preserve">layer-weighted</w:t>
            </w:r>
          </w:p>
        </w:tc>
        <w:tc>
          <w:tcPr/>
          <w:p>
            <w:pPr>
              <w:pStyle w:val="Compact"/>
            </w:pPr>
            <w:r>
              <w:t xml:space="preserve">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</w:tbl>
    <w:p>
      <w:pPr>
        <w:pStyle w:val="BodyText"/>
      </w:pPr>
      <w:r>
        <w:t xml:space="preserve">Two readings follow. First, the</w:t>
      </w:r>
      <w:r>
        <w:t xml:space="preserve"> </w:t>
      </w:r>
      <w:r>
        <w:rPr>
          <w:i/>
          <w:iCs/>
        </w:rPr>
        <w:t xml:space="preserve">fair ceiling</w:t>
      </w:r>
      <w:r>
        <w:t xml:space="preserve"> </w:t>
      </w:r>
      <w:r>
        <w:t xml:space="preserve">for MERT is the tuned frozen probe (layer-weighted):</w:t>
      </w:r>
      <w:r>
        <w:t xml:space="preserve"> </w:t>
      </w:r>
      <w:r>
        <w:t xml:space="preserve">it matches or slightly exceeds the SVM (0.855 vs 0.832 at 20%; 0.900 vs 0.868 at 50%) — the same</w:t>
      </w:r>
      <w:r>
        <w:t xml:space="preserve"> </w:t>
      </w:r>
      <w:r>
        <w:t xml:space="preserve">“convention-matched probing reaches parity”</w:t>
      </w:r>
      <w:r>
        <w:t xml:space="preserve"> </w:t>
      </w:r>
      <w:r>
        <w:t xml:space="preserve">result as §4.2, now at the top of the spectrum. Second,</w:t>
      </w:r>
      <w:r>
        <w:t xml:space="preserve"> </w:t>
      </w:r>
      <w:r>
        <w:t xml:space="preserve">adapting the backbone with LoRA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continue the climb; it</w:t>
      </w:r>
      <w:r>
        <w:t xml:space="preserve"> </w:t>
      </w:r>
      <w:r>
        <w:rPr>
          <w:i/>
          <w:iCs/>
        </w:rPr>
        <w:t xml:space="preserve">regresses</w:t>
      </w:r>
      <w:r>
        <w:t xml:space="preserve"> </w:t>
      </w:r>
      <w:r>
        <w:t xml:space="preserve">— below even the</w:t>
      </w:r>
      <w:r>
        <w:t xml:space="preserve"> </w:t>
      </w:r>
      <w:r>
        <w:t xml:space="preserve">frozen-tuned head, and worse with more data (0.804 at 20% → 0.775 at 50%), while its</w:t>
      </w:r>
      <w:r>
        <w:t xml:space="preserve"> </w:t>
      </w:r>
      <w:r>
        <w:t xml:space="preserve">early-stop-val F1 stays high (0.90–1.0). This is the signature of fine-tuning</w:t>
      </w:r>
      <w:r>
        <w:t xml:space="preserve"> </w:t>
      </w:r>
      <w:r>
        <w:rPr>
          <w:b/>
          <w:bCs/>
        </w:rPr>
        <w:t xml:space="preserve">distorting</w:t>
      </w:r>
      <w:r>
        <w:t xml:space="preserve"> </w:t>
      </w:r>
      <w:r>
        <w:t xml:space="preserve">pretrained features under distribution shift: our LOSO protocol tests on an unseen instrument,</w:t>
      </w:r>
      <w:r>
        <w:t xml:space="preserve"> </w:t>
      </w:r>
      <w:r>
        <w:t xml:space="preserve">exactly the out-of-distribution regime where full fine-tuning underperforms linear probing (the</w:t>
      </w:r>
      <w:r>
        <w:t xml:space="preserve"> </w:t>
      </w:r>
      <w:r>
        <w:t xml:space="preserve">LP-FT effect, Kumar et al. [cite, 2022 ICLR]). So the</w:t>
      </w:r>
      <w:r>
        <w:t xml:space="preserve"> </w:t>
      </w:r>
      <w:r>
        <w:t xml:space="preserve">“you simply did not fine-tune hard enough”</w:t>
      </w:r>
      <w:r>
        <w:t xml:space="preserve"> </w:t>
      </w:r>
      <w:r>
        <w:t xml:space="preserve">objection is answered in the strongest form: fine-tuning harder makes MERT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here, not</w:t>
      </w:r>
      <w:r>
        <w:t xml:space="preserve"> </w:t>
      </w:r>
      <w:r>
        <w:t xml:space="preserve">better. We report a single LoRA configuration, not a grid — a limitation noted in §6 — but we</w:t>
      </w:r>
      <w:r>
        <w:t xml:space="preserve"> </w:t>
      </w:r>
      <w:r>
        <w:t xml:space="preserve">read this regression as a</w:t>
      </w:r>
      <w:r>
        <w:t xml:space="preserve"> </w:t>
      </w:r>
      <w:r>
        <w:rPr>
          <w:b/>
          <w:bCs/>
        </w:rPr>
        <w:t xml:space="preserve">consistent directional signal of the LP-FT effect under OOD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</w:t>
      </w:r>
      <w:r>
        <w:t xml:space="preserve">, not an artifact of one setting: both the inverted data-scaling (worse with more</w:t>
      </w:r>
      <w:r>
        <w:t xml:space="preserve"> </w:t>
      </w:r>
      <w:r>
        <w:t xml:space="preserve">data) and the wide train–test gap are exactly the direction that feature distortion predicts.</w:t>
      </w:r>
    </w:p>
    <w:p>
      <w:pPr>
        <w:pStyle w:val="BodyText"/>
      </w:pPr>
      <w:r>
        <w:t xml:space="preserve">The parity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, not universal: a claim about tasks whose discriminative signal is</w:t>
      </w:r>
      <w:r>
        <w:t xml:space="preserve"> </w:t>
      </w:r>
      <w:r>
        <w:t xml:space="preserve">concentrated in a few low-level acoustic descriptors, not about MIR at large. §5 explains,</w:t>
      </w:r>
      <w:r>
        <w:t xml:space="preserve"> </w:t>
      </w:r>
      <w:r>
        <w:t xml:space="preserve">mechanistically,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depth adds nothing here.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§4 established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tuned MERT head and a tuned SVM are indistinguishable on this task. This</w:t>
      </w:r>
      <w:r>
        <w:t xml:space="preserve"> </w:t>
      </w:r>
      <w:r>
        <w:t xml:space="preserve">section asks</w:t>
      </w:r>
      <w:r>
        <w:t xml:space="preserve"> </w:t>
      </w:r>
      <w:r>
        <w:rPr>
          <w:i/>
          <w:iCs/>
        </w:rPr>
        <w:t xml:space="preserve">why</w:t>
      </w:r>
      <w:r>
        <w:t xml:space="preserve">, and reports two honest negative results that bound the claim.</w:t>
      </w:r>
    </w:p>
    <w:bookmarkStart w:id="27" w:name="X80399f59cf66e99b4085d17e7e6293c0c5a1f2e"/>
    <w:p>
      <w:pPr>
        <w:pStyle w:val="Heading3"/>
      </w:pPr>
      <w:r>
        <w:t xml:space="preserve">5.1 Why depth does not help: a layer-wise descriptor probe</w:t>
      </w:r>
    </w:p>
    <w:p>
      <w:pPr>
        <w:pStyle w:val="FirstParagraph"/>
      </w:pPr>
      <w:r>
        <w:t xml:space="preserve">To locate what the backbone contributes, we regress handcrafted acoustic descriptors from each</w:t>
      </w:r>
      <w:r>
        <w:t xml:space="preserve"> </w:t>
      </w:r>
      <w:r>
        <w:t xml:space="preserve">MERT layer’s embedding (ridge, LOSO, out-of-fold R²) — reading each layer as</w:t>
      </w:r>
      <w:r>
        <w:t xml:space="preserve"> </w:t>
      </w:r>
      <w:r>
        <w:t xml:space="preserve">“how linearly</w:t>
      </w:r>
      <w:r>
        <w:t xml:space="preserve"> </w:t>
      </w:r>
      <w:r>
        <w:t xml:space="preserve">available is this descriptor here.”</w:t>
      </w:r>
      <w:r>
        <w:t xml:space="preserve"> </w:t>
      </w:r>
      <w:r>
        <w:t xml:space="preserve">The pattern explains the parity (Table 5.1):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Descriptor (role)</w:t>
            </w:r>
          </w:p>
        </w:tc>
        <w:tc>
          <w:tcPr/>
          <w:p>
            <w:pPr>
              <w:pStyle w:val="Compact"/>
            </w:pPr>
            <w:r>
              <w:t xml:space="preserve">R² at L0 (conv front-end)</w:t>
            </w:r>
          </w:p>
        </w:tc>
        <w:tc>
          <w:tcPr/>
          <w:p>
            <w:pPr>
              <w:pStyle w:val="Compact"/>
            </w:pPr>
            <w:r>
              <w:t xml:space="preserve">peak layer</w:t>
            </w:r>
          </w:p>
        </w:tc>
        <w:tc>
          <w:tcPr/>
          <w:p>
            <w:pPr>
              <w:pStyle w:val="Compact"/>
            </w:pPr>
            <w:r>
              <w:t xml:space="preserve">R² at peak</w:t>
            </w:r>
          </w:p>
        </w:tc>
        <w:tc>
          <w:tcPr/>
          <w:p>
            <w:pPr>
              <w:pStyle w:val="Compact"/>
            </w:pPr>
            <w:r>
              <w:t xml:space="preserve">high−low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Onset-strength envelope (core cue)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Spectral contrast (mid)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0.751</w:t>
            </w:r>
          </w:p>
        </w:tc>
        <w:tc>
          <w:tcPr/>
          <w:p>
            <w:pPr>
              <w:pStyle w:val="Compact"/>
            </w:pPr>
            <w:r>
              <w:t xml:space="preserve">−0.009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MFCC (mid)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 (negative control)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+0.023</w:t>
            </w:r>
          </w:p>
        </w:tc>
      </w:tr>
    </w:tbl>
    <w:p>
      <w:pPr>
        <w:pStyle w:val="BodyText"/>
      </w:pPr>
      <w:r>
        <w:t xml:space="preserve">Three things stand out.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The task’s dominant cue — the onset-strength envelope — is already</w:t>
      </w:r>
      <w:r>
        <w:t xml:space="preserve"> </w:t>
      </w:r>
      <w:r>
        <w:t xml:space="preserve">almost fully linearly present at the</w:t>
      </w:r>
      <w:r>
        <w:t xml:space="preserve"> </w:t>
      </w:r>
      <w:r>
        <w:rPr>
          <w:i/>
          <w:iCs/>
        </w:rPr>
        <w:t xml:space="preserve">convolutional front-end</w:t>
      </w:r>
      <w:r>
        <w:t xml:space="preserve"> </w:t>
      </w:r>
      <w:r>
        <w:t xml:space="preserve">(R²=0.767 at L0, before any</w:t>
      </w:r>
      <w:r>
        <w:t xml:space="preserve"> </w:t>
      </w:r>
      <w:r>
        <w:t xml:space="preserve">transformer layer), and the twelve transformer layers add essentially nothing to the band average</w:t>
      </w:r>
      <w:r>
        <w:t xml:space="preserve"> </w:t>
      </w:r>
      <w:r>
        <w:t xml:space="preserve">(+0.008); its peak (0.850 at L8) exceeds L0 by only +0.083.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MFCC — timbral detail —</w:t>
      </w:r>
      <w:r>
        <w:t xml:space="preserve"> </w:t>
      </w:r>
      <w:r>
        <w:t xml:space="preserve">actually</w:t>
      </w:r>
      <w:r>
        <w:t xml:space="preserve"> </w:t>
      </w:r>
      <w:r>
        <w:rPr>
          <w:i/>
          <w:iCs/>
        </w:rPr>
        <w:t xml:space="preserve">degrades</w:t>
      </w:r>
      <w:r>
        <w:t xml:space="preserve"> </w:t>
      </w:r>
      <w:r>
        <w:t xml:space="preserve">with depth (−0.086).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The only descriptor that consistently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with</w:t>
      </w:r>
      <w:r>
        <w:t xml:space="preserve"> </w:t>
      </w:r>
      <w:r>
        <w:t xml:space="preserve">depth is Chroma (+0.023), i.e. pitch-class / harmonic abstraction — and Chroma is our negative</w:t>
      </w:r>
      <w:r>
        <w:t xml:space="preserve"> </w:t>
      </w:r>
      <w:r>
        <w:t xml:space="preserve">control, near-zero in SHAP importance (§5.2) because articulation is pitch-invariant. So the</w:t>
      </w:r>
      <w:r>
        <w:t xml:space="preserve"> </w:t>
      </w:r>
      <w:r>
        <w:t xml:space="preserve">representational work the transformer stack performs is largely orthogonal to what this task needs:</w:t>
      </w:r>
      <w:r>
        <w:t xml:space="preserve"> </w:t>
      </w:r>
      <w:r>
        <w:t xml:space="preserve">the discriminative signal sits at the front-end that any mel-style feature extractor (including our</w:t>
      </w:r>
      <w:r>
        <w:t xml:space="preserve"> </w:t>
      </w:r>
      <w:r>
        <w:t xml:space="preserve">SVM’s inputs) also sees, while depth buys harmonic abstraction the task discards. This is the</w:t>
      </w:r>
      <w:r>
        <w:t xml:space="preserve"> </w:t>
      </w:r>
      <w:r>
        <w:t xml:space="preserve">audio-articulation counterpart to Pasad et al.’s [cite] layer-wise finding in speech, and the</w:t>
      </w:r>
      <w:r>
        <w:t xml:space="preserve"> </w:t>
      </w:r>
      <w:r>
        <w:t xml:space="preserve">mechanistic reason a heavy backbone offers no practical gain here.</w:t>
      </w:r>
    </w:p>
    <w:p>
      <w:pPr>
        <w:pStyle w:val="BodyText"/>
      </w:pPr>
      <w:r>
        <w:t xml:space="preserve">A companion probe-configuration analysis reinforces this from the modeling side: matching probing</w:t>
      </w:r>
      <w:r>
        <w:t xml:space="preserve"> </w:t>
      </w:r>
      <w:r>
        <w:t xml:space="preserve">convention (best-layer / layer-weighted head vs a last-layer linear head) raises MERT by a</w:t>
      </w:r>
      <w:r>
        <w:t xml:space="preserve"> </w:t>
      </w:r>
      <w:r>
        <w:t xml:space="preserve">consistent</w:t>
      </w:r>
      <w:r>
        <w:t xml:space="preserve"> </w:t>
      </w:r>
      <w:r>
        <w:rPr>
          <w:b/>
          <w:bCs/>
        </w:rPr>
        <w:t xml:space="preserve">+0.039–0.047</w:t>
      </w:r>
      <w:r>
        <w:t xml:space="preserve">, whereas the model-family effect at equal budget is only</w:t>
      </w:r>
      <w:r>
        <w:t xml:space="preserve"> </w:t>
      </w:r>
      <w:r>
        <w:rPr>
          <w:b/>
          <w:bCs/>
        </w:rPr>
        <w:t xml:space="preserve">−0.002 to</w:t>
      </w:r>
      <w:r>
        <w:rPr>
          <w:b/>
          <w:bCs/>
        </w:rPr>
        <w:t xml:space="preserve"> </w:t>
      </w:r>
      <w:r>
        <w:rPr>
          <w:b/>
          <w:bCs/>
        </w:rPr>
        <w:t xml:space="preserve">+0.035</w:t>
      </w:r>
      <w:r>
        <w:t xml:space="preserve"> </w:t>
      </w:r>
      <w:r>
        <w:t xml:space="preserve">(sign-inconsistent).</w:t>
      </w:r>
      <w:r>
        <w:t xml:space="preserve"> </w:t>
      </w:r>
      <w:r>
        <w:rPr>
          <w:i/>
          <w:iCs/>
        </w:rPr>
        <w:t xml:space="preserve">Probe design moves the number more than the choice of model family</w:t>
      </w:r>
      <w:r>
        <w:rPr>
          <w:i/>
          <w:iCs/>
        </w:rP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— the MIR instance of Musgrave et al.’s [cite]</w:t>
      </w:r>
      <w:r>
        <w:t xml:space="preserve"> </w:t>
      </w:r>
      <w:r>
        <w:t xml:space="preserve">“tuning-budget effects exceed method effects,”</w:t>
      </w:r>
      <w:r>
        <w:t xml:space="preserve"> </w:t>
      </w:r>
      <w:r>
        <w:t xml:space="preserve">and a direct quantification of why pitfall (ii) was able to flip the conclusion.</w:t>
      </w:r>
    </w:p>
    <w:p>
      <w:pPr>
        <w:pStyle w:val="BodyText"/>
      </w:pPr>
      <w:r>
        <w:t xml:space="preserve">The same mechanism explains why</w:t>
      </w:r>
      <w:r>
        <w:t xml:space="preserve"> </w:t>
      </w:r>
      <w:r>
        <w:rPr>
          <w:i/>
          <w:iCs/>
        </w:rPr>
        <w:t xml:space="preserve">deeper</w:t>
      </w:r>
      <w:r>
        <w:t xml:space="preserve"> </w:t>
      </w:r>
      <w:r>
        <w:t xml:space="preserve">adaptation backfires (§4.4). If the task-relevant signal</w:t>
      </w:r>
      <w:r>
        <w:t xml:space="preserve"> </w:t>
      </w:r>
      <w:r>
        <w:t xml:space="preserve">is already exposed at the front-end and the depth encodes abstraction the task discards, then</w:t>
      </w:r>
      <w:r>
        <w:t xml:space="preserve"> </w:t>
      </w:r>
      <w:r>
        <w:t xml:space="preserve">fine-tuning the backbone on a small in-distribution training set has little useful signal to</w:t>
      </w:r>
      <w:r>
        <w:t xml:space="preserve"> </w:t>
      </w:r>
      <w:r>
        <w:t xml:space="preserve">sharpen and ample opportunity to overfit — distorting the very front-end features the frozen probe</w:t>
      </w:r>
      <w:r>
        <w:t xml:space="preserve"> </w:t>
      </w:r>
      <w:r>
        <w:t xml:space="preserve">relied on. Under our cross-instrument (out-of-distribution) LOSO test this manifests as LoRA falling</w:t>
      </w:r>
      <w:r>
        <w:t xml:space="preserve"> </w:t>
      </w:r>
      <w:r>
        <w:t xml:space="preserve">below the frozen-tuned probe and degrading with more data, the LP-FT effect of Kumar et al. [cite].</w:t>
      </w:r>
      <w:r>
        <w:t xml:space="preserve"> </w:t>
      </w:r>
      <w:r>
        <w:t xml:space="preserve">The probe result is thus not just descriptive: it</w:t>
      </w:r>
      <w:r>
        <w:t xml:space="preserve"> </w:t>
      </w:r>
      <w:r>
        <w:rPr>
          <w:i/>
          <w:iCs/>
        </w:rPr>
        <w:t xml:space="preserve">predicts</w:t>
      </w:r>
      <w:r>
        <w:t xml:space="preserve"> </w:t>
      </w:r>
      <w:r>
        <w:t xml:space="preserve">that parameter-efficient fine-tuning</w:t>
      </w:r>
      <w:r>
        <w:t xml:space="preserve"> </w:t>
      </w:r>
      <w:r>
        <w:t xml:space="preserve">cannot help — and can hurt — on this task.</w:t>
      </w:r>
    </w:p>
    <w:bookmarkEnd w:id="27"/>
    <w:bookmarkStart w:id="28" w:name="X3eee9037c441b0563a28f969dc24d17bb561590"/>
    <w:p>
      <w:pPr>
        <w:pStyle w:val="Heading3"/>
      </w:pPr>
      <w:r>
        <w:t xml:space="preserve">5.2 What the cheap features encode: SHAP against musician knowledge</w:t>
      </w:r>
    </w:p>
    <w:p>
      <w:pPr>
        <w:pStyle w:val="FirstParagraph"/>
      </w:pPr>
      <w:r>
        <w:t xml:space="preserve">If depth inside MERT is unnecessary, what</w:t>
      </w:r>
      <w:r>
        <w:t xml:space="preserve"> </w:t>
      </w:r>
      <w:r>
        <w:rPr>
          <w:i/>
          <w:iCs/>
        </w:rPr>
        <w:t xml:space="preserve">physical substance</w:t>
      </w:r>
      <w:r>
        <w:t xml:space="preserve"> </w:t>
      </w:r>
      <w:r>
        <w:t xml:space="preserve">of the sound do the handcrafted</w:t>
      </w:r>
      <w:r>
        <w:t xml:space="preserve"> </w:t>
      </w:r>
      <w:r>
        <w:t xml:space="preserve">features — the ones that matched MERT — actually grasp? To answer this we interpret them through</w:t>
      </w:r>
      <w:r>
        <w:t xml:space="preserve"> </w:t>
      </w:r>
      <w:r>
        <w:t xml:space="preserve">a fidelity-checked surrogate (XGBoost, §3.6), which lets us read feature attributions we cannot</w:t>
      </w:r>
      <w:r>
        <w:t xml:space="preserve"> </w:t>
      </w:r>
      <w:r>
        <w:t xml:space="preserve">read off the SVM directly. A dimensionality-corrected SHAP analysis (per-feature mean over the</w:t>
      </w:r>
      <w:r>
        <w:t xml:space="preserve"> </w:t>
      </w:r>
      <w:r>
        <w:t xml:space="preserve">surrogate) ranks the</w:t>
      </w:r>
      <w:r>
        <w:t xml:space="preserve"> </w:t>
      </w:r>
      <w:r>
        <w:rPr>
          <w:b/>
          <w:bCs/>
        </w:rPr>
        <w:t xml:space="preserve">onset-strength envelope first by a wide margin</w:t>
      </w:r>
      <w:r>
        <w:t xml:space="preserve"> </w:t>
      </w:r>
      <w:r>
        <w:t xml:space="preserve">(0.481 per feature vs 0.046 for the next group, RMS), with Chroma</w:t>
      </w:r>
      <w:r>
        <w:t xml:space="preserve"> </w:t>
      </w:r>
      <w:r>
        <w:t xml:space="preserve">second-to-last (0.004) — exactly the ordering the probe predicts, and what a string player would</w:t>
      </w:r>
      <w:r>
        <w:t xml:space="preserve"> </w:t>
      </w:r>
      <w:r>
        <w:t xml:space="preserve">expect: articulation is defined by</w:t>
      </w:r>
      <w:r>
        <w:t xml:space="preserve"> </w:t>
      </w:r>
      <w:r>
        <w:rPr>
          <w:i/>
          <w:iCs/>
        </w:rPr>
        <w:t xml:space="preserve">how the note begins and evolves</w:t>
      </w:r>
      <w:r>
        <w:t xml:space="preserve">, not by</w:t>
      </w:r>
      <w:r>
        <w:t xml:space="preserve"> </w:t>
      </w:r>
      <w:r>
        <w:rPr>
          <w:i/>
          <w:iCs/>
        </w:rPr>
        <w:t xml:space="preserve">which pitch</w:t>
      </w:r>
      <w:r>
        <w:t xml:space="preserve"> </w:t>
      </w:r>
      <w:r>
        <w:t xml:space="preserve">it is.</w:t>
      </w:r>
      <w:r>
        <w:t xml:space="preserve"> </w:t>
      </w:r>
      <w:r>
        <w:t xml:space="preserve">The direction of the top flux feature aligns with physical intuition per class: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occupies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flux variance (a single dry wood-on-string strike, median flux_std 0.18),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 </w:t>
      </w:r>
      <w:r>
        <w:t xml:space="preserve">occupies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flux variance (rapid re-bowing, high flux_q75), and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 </w:t>
      </w:r>
      <w:r>
        <w:t xml:space="preserve">sits at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level near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— the very adjacency that makes those two the hardest to</w:t>
      </w:r>
      <w:r>
        <w:t xml:space="preserve"> </w:t>
      </w:r>
      <w:r>
        <w:t xml:space="preserve">separate.</w:t>
      </w:r>
    </w:p>
    <w:p>
      <w:pPr>
        <w:pStyle w:val="BodyText"/>
      </w:pPr>
      <w:r>
        <w:t xml:space="preserve">We report surrogate fidelity honestly. Measured</w:t>
      </w:r>
      <w:r>
        <w:t xml:space="preserve"> </w:t>
      </w:r>
      <w:r>
        <w:rPr>
          <w:b/>
          <w:bCs/>
        </w:rPr>
        <w:t xml:space="preserve">out-of-sample</w:t>
      </w:r>
      <w:r>
        <w:t xml:space="preserve"> </w:t>
      </w:r>
      <w:r>
        <w:t xml:space="preserve">(instrument-grouped), the</w:t>
      </w:r>
      <w:r>
        <w:t xml:space="preserve"> </w:t>
      </w:r>
      <w:r>
        <w:t xml:space="preserve">XGBoost surrogate agrees with the MERT head on 91.4% of held-out clips (Cohen’s κ=0.882) —</w:t>
      </w:r>
      <w:r>
        <w:t xml:space="preserve"> </w:t>
      </w:r>
      <w:r>
        <w:t xml:space="preserve">substantial, but not the near-perfect in-sample 0.998 an earlier version mistakenly reported.</w:t>
      </w:r>
      <w:r>
        <w:t xml:space="preserve"> </w:t>
      </w:r>
      <w:r>
        <w:t xml:space="preserve">Fidelity is weakest precisely on the rare classes,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(κ=0.74) and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(κ=0.71); SHAP explanations for those two transfer to MERT only with caution. And when either model</w:t>
      </w:r>
      <w:r>
        <w:t xml:space="preserve"> </w:t>
      </w:r>
      <w:r>
        <w:t xml:space="preserve">errs, they agree on only 16% of the error cases — the two families fail on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clips. SHAP</w:t>
      </w:r>
      <w:r>
        <w:t xml:space="preserve"> </w:t>
      </w:r>
      <w:r>
        <w:t xml:space="preserve">thus explains the XGBoost decision faithfully and the MERT decision only approximately; we do not</w:t>
      </w:r>
      <w:r>
        <w:t xml:space="preserve"> </w:t>
      </w:r>
      <w:r>
        <w:t xml:space="preserve">overstate it as a single mechanism for both.</w:t>
      </w:r>
    </w:p>
    <w:bookmarkEnd w:id="28"/>
    <w:bookmarkStart w:id="29" w:name="two-honest-negative-results"/>
    <w:p>
      <w:pPr>
        <w:pStyle w:val="Heading3"/>
      </w:pPr>
      <w:r>
        <w:t xml:space="preserve">5.3 Two honest negative results</w:t>
      </w:r>
    </w:p>
    <w:p>
      <w:pPr>
        <w:pStyle w:val="FirstParagraph"/>
      </w:pPr>
      <w:r>
        <w:rPr>
          <w:b/>
          <w:bCs/>
        </w:rPr>
        <w:t xml:space="preserve">Descriptor–layer alignment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supported.</w:t>
      </w:r>
      <w:r>
        <w:t xml:space="preserve"> </w:t>
      </w:r>
      <w:r>
        <w:t xml:space="preserve">A tempting story is that MERT’s learned layer</w:t>
      </w:r>
      <w:r>
        <w:t xml:space="preserve"> </w:t>
      </w:r>
      <w:r>
        <w:t xml:space="preserve">weights concentrate where the core descriptor is most available. They do not: the correlation</w:t>
      </w:r>
      <w:r>
        <w:t xml:space="preserve"> </w:t>
      </w:r>
      <w:r>
        <w:t xml:space="preserve">between the learned layer-weight profile and per-layer descriptor availability is higher for the</w:t>
      </w:r>
      <w:r>
        <w:t xml:space="preserve"> </w:t>
      </w:r>
      <w:r>
        <w:rPr>
          <w:b/>
          <w:bCs/>
        </w:rPr>
        <w:t xml:space="preserve">Chroma control (ρ=0.73)</w:t>
      </w:r>
      <w:r>
        <w:t xml:space="preserve"> </w:t>
      </w:r>
      <w:r>
        <w:t xml:space="preserve">than for the onset-strength core cue (ρ=0.42). With only 13 layers this</w:t>
      </w:r>
      <w:r>
        <w:t xml:space="preserve"> </w:t>
      </w:r>
      <w:r>
        <w:t xml:space="preserve">comparison is underpowered, and the control out-aligning the target is the opposite of what an</w:t>
      </w:r>
      <w:r>
        <w:t xml:space="preserve"> </w:t>
      </w:r>
      <w:r>
        <w:t xml:space="preserve">alignment claim needs. We therefore</w:t>
      </w:r>
      <w:r>
        <w:t xml:space="preserve"> </w:t>
      </w:r>
      <w:r>
        <w:rPr>
          <w:i/>
          <w:iCs/>
        </w:rPr>
        <w:t xml:space="preserve">drop</w:t>
      </w:r>
      <w:r>
        <w:t xml:space="preserve"> </w:t>
      </w:r>
      <w:r>
        <w:t xml:space="preserve">the alignment narrative and report the correlation table</w:t>
      </w:r>
      <w:r>
        <w:t xml:space="preserve"> </w:t>
      </w:r>
      <w:r>
        <w:t xml:space="preserve">as a null result rather than dress it as confirmation.</w:t>
      </w:r>
    </w:p>
    <w:p>
      <w:pPr>
        <w:pStyle w:val="BodyText"/>
      </w:pPr>
      <w:r>
        <w:rPr>
          <w:b/>
          <w:bCs/>
        </w:rPr>
        <w:t xml:space="preserve">The ALM→SHAP causal link is observational only.</w:t>
      </w:r>
      <w:r>
        <w:t xml:space="preserve"> </w:t>
      </w:r>
      <w:r>
        <w:t xml:space="preserve">Qwen2-Audio’s failures correlate suggestively</w:t>
      </w:r>
      <w:r>
        <w:t xml:space="preserve"> </w:t>
      </w:r>
      <w:r>
        <w:t xml:space="preserve">with SHAP structure — it is 100% correct on the acoustically isolated</w:t>
      </w:r>
      <w:r>
        <w:t xml:space="preserve"> </w:t>
      </w:r>
      <w:r>
        <w:rPr>
          <w:rStyle w:val="VerbatimChar"/>
        </w:rPr>
        <w:t xml:space="preserve">pizzicato secco</w:t>
      </w:r>
      <w:r>
        <w:t xml:space="preserve"> </w:t>
      </w:r>
      <w:r>
        <w:t xml:space="preserve">yet 0%</w:t>
      </w:r>
      <w:r>
        <w:t xml:space="preserve"> </w:t>
      </w:r>
      <w:r>
        <w:t xml:space="preserve">(open-ended) on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, whose top cues place them near neighbors in flux space.</w:t>
      </w:r>
      <w:r>
        <w:t xml:space="preserve"> </w:t>
      </w:r>
      <w:r>
        <w:t xml:space="preserve">But this is correlation; confirming it would require an intervention (e.g., synthetically varying</w:t>
      </w:r>
      <w:r>
        <w:t xml:space="preserve"> </w:t>
      </w:r>
      <w:r>
        <w:t xml:space="preserve">flux_std on ordinario clips and re-querying the ALM), which we did not run. We present it as a</w:t>
      </w:r>
      <w:r>
        <w:t xml:space="preserve"> </w:t>
      </w:r>
      <w:r>
        <w:t xml:space="preserve">hypothesis-generating observation, not a mechanism.</w:t>
      </w:r>
    </w:p>
    <w:bookmarkEnd w:id="29"/>
    <w:bookmarkStart w:id="30" w:name="robustness-and-scope"/>
    <w:p>
      <w:pPr>
        <w:pStyle w:val="Heading3"/>
      </w:pPr>
      <w:r>
        <w:t xml:space="preserve">5.4 Robustness and scope</w:t>
      </w:r>
    </w:p>
    <w:p>
      <w:pPr>
        <w:pStyle w:val="FirstParagraph"/>
      </w:pPr>
      <w:r>
        <w:t xml:space="preserve">The parity and its mechanism are consistent under an ordinario-excluded 4-class variant and across</w:t>
      </w:r>
      <w:r>
        <w:t xml:space="preserve"> </w:t>
      </w:r>
      <w:r>
        <w:t xml:space="preserve">the cross-domain Philharmonia transfer, where we additionally localize the fragile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 legno</w:t>
      </w:r>
      <w:r>
        <w:t xml:space="preserve">,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collapse to F1≈0 off-domain) — a robustness boundary rather than a</w:t>
      </w:r>
      <w:r>
        <w:t xml:space="preserve"> </w:t>
      </w:r>
      <w:r>
        <w:t xml:space="preserve">counterexample. The scope condition is explicit: our claim concerns tasks whose discriminative</w:t>
      </w:r>
      <w:r>
        <w:t xml:space="preserve"> </w:t>
      </w:r>
      <w:r>
        <w:t xml:space="preserve">signal is low-dimensional and front-end-accessible. Where the signal instead requires the harmonic</w:t>
      </w:r>
      <w:r>
        <w:t xml:space="preserve"> </w:t>
      </w:r>
      <w:r>
        <w:t xml:space="preserve">abstraction that only depth supplies, we would expect the gap to reopen — a prediction our probe</w:t>
      </w:r>
      <w:r>
        <w:t xml:space="preserve"> </w:t>
      </w:r>
      <w:r>
        <w:t xml:space="preserve">makes testable.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imitations-and-future-work"/>
    <w:p>
      <w:pPr>
        <w:pStyle w:val="Heading2"/>
      </w:pPr>
      <w:r>
        <w:t xml:space="preserve">6. Limitations and Future Work</w:t>
      </w:r>
    </w:p>
    <w:p>
      <w:pPr>
        <w:pStyle w:val="FirstParagraph"/>
      </w:pPr>
      <w:r>
        <w:t xml:space="preserve">We state the boundaries of the claim plainly; several are direct consequences of the honest protocol</w:t>
      </w:r>
      <w:r>
        <w:t xml:space="preserve"> </w:t>
      </w:r>
      <w:r>
        <w:t xml:space="preserve">this paper argues for.</w:t>
      </w:r>
    </w:p>
    <w:p>
      <w:pPr>
        <w:pStyle w:val="BodyText"/>
      </w:pPr>
      <w:r>
        <w:rPr>
          <w:b/>
          <w:bCs/>
        </w:rPr>
        <w:t xml:space="preserve">Statistical power (n=4).</w:t>
      </w:r>
      <w:r>
        <w:t xml:space="preserve"> </w:t>
      </w:r>
      <w:r>
        <w:t xml:space="preserve">Our generalization claim is across four instruments, so the fold-level</w:t>
      </w:r>
      <w:r>
        <w:t xml:space="preserve"> </w:t>
      </w:r>
      <w:r>
        <w:t xml:space="preserve">unit has n=4 — the honest but low-powered unit (§3.5). No paired test can reach p&lt;0.05 at this size</w:t>
      </w:r>
      <w:r>
        <w:t xml:space="preserve"> </w:t>
      </w:r>
      <w:r>
        <w:t xml:space="preserve">(the two-sided Wilcoxon floor is p=0.125), and the two-level bootstrap intervals are correspondingly</w:t>
      </w:r>
      <w:r>
        <w:t xml:space="preserve"> </w:t>
      </w:r>
      <w:r>
        <w:t xml:space="preserve">wide. We therefore frame the central result as</w:t>
      </w:r>
      <w:r>
        <w:t xml:space="preserve"> </w:t>
      </w:r>
      <w:r>
        <w:rPr>
          <w:i/>
          <w:iCs/>
        </w:rPr>
        <w:t xml:space="preserve">statistical indistinguishability</w:t>
      </w:r>
      <w:r>
        <w:t xml:space="preserve">, not as a proven</w:t>
      </w:r>
      <w:r>
        <w:t xml:space="preserve"> </w:t>
      </w:r>
      <w:r>
        <w:t xml:space="preserve">equality, and do not promote any within-std directional tilt to a conclusion. More instruments (or</w:t>
      </w:r>
      <w:r>
        <w:t xml:space="preserve"> </w:t>
      </w:r>
      <w:r>
        <w:t xml:space="preserve">families) would tighten this.</w:t>
      </w:r>
    </w:p>
    <w:p>
      <w:pPr>
        <w:pStyle w:val="BodyText"/>
      </w:pPr>
      <w:r>
        <w:rPr>
          <w:b/>
          <w:bCs/>
        </w:rPr>
        <w:t xml:space="preserve">Single-dataset scope.</w:t>
      </w:r>
      <w:r>
        <w:t xml:space="preserve"> </w:t>
      </w:r>
      <w:r>
        <w:t xml:space="preserve">All results are on OrchideaSOL. The parity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— it concerns</w:t>
      </w:r>
      <w:r>
        <w:t xml:space="preserve"> </w:t>
      </w:r>
      <w:r>
        <w:t xml:space="preserve">tasks whose discriminative signal is low-dimensional and front-end-accessible (§5.4), and we do not</w:t>
      </w:r>
      <w:r>
        <w:t xml:space="preserve"> </w:t>
      </w:r>
      <w:r>
        <w:t xml:space="preserve">claim it for MIR at large. Cross-domain transfer to Philharmonia probes robustness but is not an</w:t>
      </w:r>
      <w:r>
        <w:t xml:space="preserve"> </w:t>
      </w:r>
      <w:r>
        <w:t xml:space="preserve">independent replication of the pitfalls. A second, independent task is the highest-value extension.</w:t>
      </w:r>
    </w:p>
    <w:p>
      <w:pPr>
        <w:pStyle w:val="BodyText"/>
      </w:pPr>
      <w:r>
        <w:rPr>
          <w:b/>
          <w:bCs/>
        </w:rPr>
        <w:t xml:space="preserve">A single LoRA configuration.</w:t>
      </w:r>
      <w:r>
        <w:t xml:space="preserve"> </w:t>
      </w:r>
      <w:r>
        <w:t xml:space="preserve">§4.4 reports one LoRA setting (r=8, fixed lr), not a grid — in</w:t>
      </w:r>
      <w:r>
        <w:t xml:space="preserve"> </w:t>
      </w:r>
      <w:r>
        <w:t xml:space="preserve">contrast to the 12/24-config searches we gave the SVM and frozen head. We therefore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</w:t>
      </w:r>
      <w:r>
        <w:t xml:space="preserve"> </w:t>
      </w:r>
      <w:r>
        <w:t xml:space="preserve">LoRA was optimally tuned, and are careful not to commit the very undertuning we critique. The finding</w:t>
      </w:r>
      <w:r>
        <w:t xml:space="preserve"> </w:t>
      </w:r>
      <w:r>
        <w:t xml:space="preserve">we stand behind is</w:t>
      </w:r>
      <w:r>
        <w:t xml:space="preserve"> </w:t>
      </w:r>
      <w:r>
        <w:rPr>
          <w:i/>
          <w:iCs/>
        </w:rPr>
        <w:t xml:space="preserve">directional and mechanistic</w:t>
      </w:r>
      <w:r>
        <w:t xml:space="preserve">: LoRA regresses below the frozen-tuned probe and</w:t>
      </w:r>
      <w:r>
        <w:t xml:space="preserve"> </w:t>
      </w:r>
      <w:r>
        <w:t xml:space="preserve">worsens with more data, matching the LP-FT feature-distortion effect under our out-of-distribution</w:t>
      </w:r>
      <w:r>
        <w:t xml:space="preserve"> </w:t>
      </w:r>
      <w:r>
        <w:t xml:space="preserve">(LOSO) evaluation. A LoRA hyperparameter sweep would strengthen this from a consistent signal to a</w:t>
      </w:r>
      <w:r>
        <w:t xml:space="preserve"> </w:t>
      </w:r>
      <w:r>
        <w:t xml:space="preserve">tuned lower bound.</w:t>
      </w:r>
    </w:p>
    <w:p>
      <w:pPr>
        <w:pStyle w:val="BodyText"/>
      </w:pPr>
      <w:r>
        <w:rPr>
          <w:b/>
          <w:bCs/>
        </w:rPr>
        <w:t xml:space="preserve">Pitfall (iii) observed once, one-sided fix.</w:t>
      </w:r>
      <w:r>
        <w:t xml:space="preserve"> </w:t>
      </w:r>
      <w:r>
        <w:t xml:space="preserve">The resampling-unit pitfall (§4.3) is a near-miss</w:t>
      </w:r>
      <w:r>
        <w:t xml:space="preserve"> </w:t>
      </w:r>
      <w:r>
        <w:t xml:space="preserve">caught in this study; we did not replicate it across datasets, and we apply the two-level bootstrap</w:t>
      </w:r>
      <w:r>
        <w:t xml:space="preserve"> </w:t>
      </w:r>
      <w:r>
        <w:t xml:space="preserve">as a correction rather than deriving a full BCa two-level interval with acceleration at both levels.</w:t>
      </w:r>
      <w:r>
        <w:t xml:space="preserve"> </w:t>
      </w:r>
      <w:r>
        <w:t xml:space="preserve">The variance-decomposition framing (Bouthillier et al. [cite]) is the natural formalization we leave</w:t>
      </w:r>
      <w:r>
        <w:t xml:space="preserve"> </w:t>
      </w:r>
      <w:r>
        <w:t xml:space="preserve">to future work.</w:t>
      </w:r>
    </w:p>
    <w:p>
      <w:pPr>
        <w:pStyle w:val="BodyText"/>
      </w:pPr>
      <w:r>
        <w:rPr>
          <w:b/>
          <w:bCs/>
        </w:rPr>
        <w:t xml:space="preserve">Interpretability transfers only approximately.</w:t>
      </w:r>
      <w:r>
        <w:t xml:space="preserve"> </w:t>
      </w:r>
      <w:r>
        <w:t xml:space="preserve">SHAP explains the XGBoost surrogate, which agrees</w:t>
      </w:r>
      <w:r>
        <w:t xml:space="preserve"> </w:t>
      </w:r>
      <w:r>
        <w:t xml:space="preserve">with the MERT head out-of-sample at κ=0.88 and less on the two rare classes (§5.2), so mechanistic</w:t>
      </w:r>
      <w:r>
        <w:t xml:space="preserve"> </w:t>
      </w:r>
      <w:r>
        <w:t xml:space="preserve">claims for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carry more uncertainty. The descriptor–layer</w:t>
      </w:r>
      <w:r>
        <w:t xml:space="preserve"> </w:t>
      </w:r>
      <w:r>
        <w:t xml:space="preserve">alignment and the ALM→SHAP causal link are reported as null / observational respectively (§5.3).</w:t>
      </w:r>
    </w:p>
    <w:p>
      <w:pPr>
        <w:pStyle w:val="BodyText"/>
      </w:pPr>
      <w:r>
        <w:rPr>
          <w:b/>
          <w:bCs/>
        </w:rPr>
        <w:t xml:space="preserve">Reproducibility note.</w:t>
      </w:r>
      <w:r>
        <w:t xml:space="preserve"> </w:t>
      </w:r>
      <w:r>
        <w:t xml:space="preserve">The MERT remote code ran under a newer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than the project</w:t>
      </w:r>
      <w:r>
        <w:t xml:space="preserve"> </w:t>
      </w:r>
      <w:r>
        <w:t xml:space="preserve">originally targeted; we pin versions in the release and cache all embeddings and splits for exact</w:t>
      </w:r>
      <w:r>
        <w:t xml:space="preserve"> </w:t>
      </w:r>
      <w:r>
        <w:t xml:space="preserve">reproduction.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Independent second task (highest priority)</w:t>
      </w:r>
      <w:r>
        <w:t xml:space="preserve"> </w:t>
      </w:r>
      <w:r>
        <w:t xml:space="preserve">— replicating the three pitfalls</w:t>
      </w:r>
      <w:r>
        <w:t xml:space="preserve"> </w:t>
      </w:r>
      <w:r>
        <w:t xml:space="preserve">on a separate articulation dataset (e.g., Erhu playing techniques) would turn</w:t>
      </w:r>
      <w:r>
        <w:t xml:space="preserve"> </w:t>
      </w:r>
      <w:r>
        <w:t xml:space="preserve">“a pitfall we hit”</w:t>
      </w:r>
      <w:r>
        <w:t xml:space="preserve"> </w:t>
      </w:r>
      <w:r>
        <w:t xml:space="preserve">into</w:t>
      </w:r>
      <w:r>
        <w:t xml:space="preserve"> </w:t>
      </w:r>
      <w:r>
        <w:t xml:space="preserve">“a pattern,”</w:t>
      </w:r>
      <w:r>
        <w:t xml:space="preserve"> </w:t>
      </w:r>
      <w:r>
        <w:t xml:space="preserve">and directly address the single-dataset limit; it requires a performer/session</w:t>
      </w:r>
      <w:r>
        <w:t xml:space="preserve"> </w:t>
      </w:r>
      <w:r>
        <w:t xml:space="preserve">grouping key to avoid re-introducing leakage. (2)</w:t>
      </w:r>
      <w:r>
        <w:t xml:space="preserve"> </w:t>
      </w:r>
      <w:r>
        <w:rPr>
          <w:i/>
          <w:iCs/>
        </w:rPr>
        <w:t xml:space="preserve">Reverse and broader cross-domain</w:t>
      </w:r>
      <w:r>
        <w:t xml:space="preserve"> </w:t>
      </w:r>
      <w:r>
        <w:t xml:space="preserve">—</w:t>
      </w:r>
      <w:r>
        <w:t xml:space="preserve"> </w:t>
      </w:r>
      <w:r>
        <w:t xml:space="preserve">train-on-Philharmonia / test-on-OrchideaSOL and other instrument families, to map where</w:t>
      </w:r>
      <w:r>
        <w:t xml:space="preserve"> </w:t>
      </w:r>
      <w:r>
        <w:t xml:space="preserve">front-end-accessible parity holds and where depth begins to pay. (3)</w:t>
      </w:r>
      <w:r>
        <w:t xml:space="preserve"> </w:t>
      </w:r>
      <w:r>
        <w:rPr>
          <w:i/>
          <w:iCs/>
        </w:rPr>
        <w:t xml:space="preserve">From checklist to formal</w:t>
      </w:r>
      <w:r>
        <w:rPr>
          <w:i/>
          <w:iCs/>
        </w:rPr>
        <w:t xml:space="preserve"> </w:t>
      </w:r>
      <w:r>
        <w:rPr>
          <w:i/>
          <w:iCs/>
        </w:rPr>
        <w:t xml:space="preserve">variance model</w:t>
      </w:r>
      <w:r>
        <w:t xml:space="preserve"> </w:t>
      </w:r>
      <w:r>
        <w:t xml:space="preserve">— promote the practitioner checklist into a variance-decomposition procedure that</w:t>
      </w:r>
      <w:r>
        <w:t xml:space="preserve"> </w:t>
      </w:r>
      <w:r>
        <w:t xml:space="preserve">names the correct resampling unit for a given generalization claim. (4)</w:t>
      </w:r>
      <w:r>
        <w:t xml:space="preserve"> </w:t>
      </w:r>
      <w:r>
        <w:rPr>
          <w:i/>
          <w:iCs/>
        </w:rPr>
        <w:t xml:space="preserve">Practitioner-facing tool</w:t>
      </w:r>
      <w:r>
        <w:t xml:space="preserve"> </w:t>
      </w:r>
      <w:r>
        <w:t xml:space="preserve">—</w:t>
      </w:r>
      <w:r>
        <w:t xml:space="preserve"> </w:t>
      </w:r>
      <w:r>
        <w:t xml:space="preserve">the mechanistic account (SHAP ↔ bowing physics) points toward a lightweight, interpretable feedback</w:t>
      </w:r>
      <w:r>
        <w:t xml:space="preserve"> </w:t>
      </w:r>
      <w:r>
        <w:t xml:space="preserve">tool for string pedagogy, a separate applied paper.</w:t>
      </w:r>
    </w:p>
    <w:p>
      <w:r>
        <w:pict>
          <v:rect style="width:0;height:1.5pt" o:hralign="center" o:hrstd="t" o:hr="t"/>
        </w:pict>
      </w:r>
    </w:p>
    <w:bookmarkEnd w:id="32"/>
    <w:bookmarkStart w:id="33" w:name="reproducibility"/>
    <w:p>
      <w:pPr>
        <w:pStyle w:val="Heading2"/>
      </w:pPr>
      <w:r>
        <w:t xml:space="preserve">7. Reproducibility</w:t>
      </w:r>
    </w:p>
    <w:p>
      <w:pPr>
        <w:pStyle w:val="FirstParagraph"/>
      </w:pPr>
      <w:r>
        <w:t xml:space="preserve">Code, cached MERT embeddings, split configurations, and the pre-extracted 3,402×245 feature matrix</w:t>
      </w:r>
      <w:r>
        <w:t xml:space="preserve"> </w:t>
      </w:r>
      <w:r>
        <w:t xml:space="preserve">are released with fixed seeds and the LOSO grouping keys.</w:t>
      </w:r>
      <w:r>
        <w:t xml:space="preserve"> </w:t>
      </w:r>
      <w:r>
        <w:rPr>
          <w:rStyle w:val="VerbatimChar"/>
        </w:rPr>
        <w:t xml:space="preserve">build_dataset.py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features_full.csv</w:t>
      </w:r>
      <w:r>
        <w:t xml:space="preserve"> </w:t>
      </w:r>
      <w:r>
        <w:t xml:space="preserve">exactly (full, no downsampling; scan order and the [245 features + label_id +</w:t>
      </w:r>
      <w:r>
        <w:t xml:space="preserve"> </w:t>
      </w:r>
      <w:r>
        <w:t xml:space="preserve">instrument] schema verified against the released matrix), with grouping keys preserved in a sidecar</w:t>
      </w:r>
      <w:r>
        <w:t xml:space="preserve"> </w:t>
      </w:r>
      <w:r>
        <w:rPr>
          <w:rStyle w:val="VerbatimChar"/>
        </w:rPr>
        <w:t xml:space="preserve">features_full_groups.csv</w:t>
      </w:r>
      <w:r>
        <w:t xml:space="preserve"> </w:t>
      </w:r>
      <w:r>
        <w:t xml:space="preserve">(recording_id). All experiments run on Apple-Silicon MPS with CPU</w:t>
      </w:r>
      <w:r>
        <w:t xml:space="preserve"> </w:t>
      </w:r>
      <w:r>
        <w:t xml:space="preserve">fallback; no CUDA, no bitsandbytes; quantization, where used, via optimum-quanto int8. Package</w:t>
      </w:r>
      <w:r>
        <w:t xml:space="preserve"> </w:t>
      </w:r>
      <w:r>
        <w:t xml:space="preserve">versions (notably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) are pinned in the release.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2026-07-27T06:30:33Z</dcterms:created>
  <dcterms:modified xsi:type="dcterms:W3CDTF">2026-07-27T06:30:33Z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