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i w:val="0"/>
          <w:color w:val="9C3D10"/>
          <w:sz w:val="17"/>
        </w:rPr>
        <w:t>ORBIO AI  /  FDE TECHNICAL ASSIGNMENT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00000"/>
          <w:sz w:val="52"/>
        </w:rPr>
        <w:t>Grupo Sazón Candidate Screening Agent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26"/>
        </w:rPr>
        <w:t>Phase 1 — Process Design</w:t>
      </w:r>
    </w:p>
    <w:p>
      <w:pPr>
        <w:spacing w:after="160"/>
      </w:pPr>
      <w:r>
        <w:rPr>
          <w:rFonts w:ascii="Arial" w:hAnsi="Arial"/>
          <w:b w:val="0"/>
          <w:i w:val="0"/>
          <w:color w:val="555555"/>
          <w:sz w:val="17"/>
        </w:rPr>
        <w:t>Mariano Caballero  |  22 August 2026  |  Version 0.2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C3D10"/>
          <w:sz w:val="29"/>
        </w:rPr>
        <w:t>1. Objective and operating assumptions</w:t>
      </w:r>
    </w:p>
    <w:p>
      <w:pPr>
        <w:spacing w:after="80" w:line="254" w:lineRule="auto"/>
      </w:pPr>
      <w:r>
        <w:rPr>
          <w:rFonts w:ascii="Arial" w:hAnsi="Arial"/>
          <w:b w:val="0"/>
          <w:i w:val="0"/>
          <w:color w:val="000000"/>
          <w:sz w:val="18"/>
        </w:rPr>
        <w:t>Goal: shift recruiter effort from unanswered calls and early manual screening to qualified-candidate follow-up. The system invites every ATS applicant to a short asynchronous screening, validates required data, applies only configured rules, and produces an auditable recruiter handoff.</w:t>
      </w:r>
    </w:p>
    <w:p>
      <w:pPr>
        <w:keepLines/>
        <w:spacing w:before="0" w:after="50" w:line="250" w:lineRule="auto"/>
      </w:pPr>
      <w:r>
        <w:rPr>
          <w:rFonts w:ascii="Arial" w:hAnsi="Arial"/>
          <w:b/>
          <w:i w:val="0"/>
          <w:color w:val="000000"/>
          <w:sz w:val="18"/>
        </w:rPr>
        <w:t xml:space="preserve">Channel. </w:t>
      </w:r>
      <w:r>
        <w:rPr>
          <w:rFonts w:ascii="Arial" w:hAnsi="Arial"/>
          <w:b w:val="0"/>
          <w:i w:val="0"/>
          <w:color w:val="000000"/>
          <w:sz w:val="18"/>
        </w:rPr>
        <w:t>The demo uses a mobile web link/QR and offers text or browser voice. Production is channel-agnostic; WhatsApp can become the primary adapter after client discovery. Voice is candidate-initiated, never an unsolicited automatic call.</w:t>
      </w:r>
    </w:p>
    <w:p>
      <w:pPr>
        <w:keepLines/>
        <w:spacing w:before="0" w:after="50" w:line="250" w:lineRule="auto"/>
      </w:pPr>
      <w:r>
        <w:rPr>
          <w:rFonts w:ascii="Arial" w:hAnsi="Arial"/>
          <w:b/>
          <w:i w:val="0"/>
          <w:color w:val="000000"/>
          <w:sz w:val="18"/>
        </w:rPr>
        <w:t xml:space="preserve">Service areas. </w:t>
      </w:r>
      <w:r>
        <w:rPr>
          <w:rFonts w:ascii="Arial" w:hAnsi="Arial"/>
          <w:b w:val="0"/>
          <w:i w:val="0"/>
          <w:color w:val="000000"/>
          <w:sz w:val="18"/>
        </w:rPr>
        <w:t>Spain and Mexico are countries, not valid city/zone rules. The client must provide a canonical service-area catalog. The demo uses clearly labeled synthetic areas in configuration; it does not present fictional sites as researched facts.</w:t>
      </w:r>
    </w:p>
    <w:p>
      <w:pPr>
        <w:keepLines/>
        <w:spacing w:before="0" w:after="80" w:line="250" w:lineRule="auto"/>
      </w:pPr>
      <w:r>
        <w:rPr>
          <w:rFonts w:ascii="Arial" w:hAnsi="Arial"/>
          <w:b/>
          <w:i w:val="0"/>
          <w:color w:val="000000"/>
          <w:sz w:val="18"/>
        </w:rPr>
        <w:t xml:space="preserve">Decision ownership. </w:t>
      </w:r>
      <w:r>
        <w:rPr>
          <w:rFonts w:ascii="Arial" w:hAnsi="Arial"/>
          <w:b w:val="0"/>
          <w:i w:val="0"/>
          <w:color w:val="000000"/>
          <w:sz w:val="18"/>
        </w:rPr>
        <w:t>The LLM understands language and extracts data; deterministic code validates fields and sets outcomes. Schedule, experience and start date inform recruiters but do not disqualify unless Grupo Sazón explicitly configures additional rules.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C3D10"/>
          <w:sz w:val="29"/>
        </w:rPr>
        <w:t>2. Conversation stages and branching logic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8180"/>
      </w:tblGrid>
      <w:tr>
        <w:trPr>
          <w:tblHeader w:val="true"/>
          <w:cantSplit/>
        </w:trPr>
        <w:tc>
          <w:tcPr>
            <w:tcW w:type="dxa" w:w="1900"/>
            <w:shd w:fill="F7F7F7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Stage</w:t>
            </w:r>
          </w:p>
        </w:tc>
        <w:tc>
          <w:tcPr>
            <w:tcW w:type="dxa" w:w="8180"/>
            <w:shd w:fill="F7F7F7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Agent behavior and branch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1  Intake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simulated ATS webhook creates or reuses an application using application_id/event_id, phone number and locale. Duplicate events must not create duplicate conversations.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2  Invite &amp; consent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Send one short message identifying Grupo Sazón and the AI assistant, link to the privacy notice, ask ES/EN and offer Chat or Voice. A candidate may decline or request deletion.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3  Early eligibility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Confirm full name, then driver’s license and city/zone. A clear ‘No’ license or confirmed out-of-area location ends screening immediately and respectfully.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4  Role fit data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Collect availability, preferred schedule, delivery experience (years + platforms) and start date. Accept several facts in one answer and ask only for missing or uncertain data.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5  Questions &amp; corrections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At any stage, answer job/company FAQs from the approved knowledge base, then resume at the previous field. Candidates may correct stored answers at any time.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6  Review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Show a compact summary and request confirmation. Re-validate any corrected field before continuing.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7  Outcome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Run deterministic rules and persist structured JSON, transcript, reason codes and a concise summary. Never let the LLM invent eligibility criteria.</w:t>
            </w:r>
          </w:p>
        </w:tc>
      </w:tr>
      <w:tr>
        <w:trPr>
          <w:cantSplit/>
        </w:trPr>
        <w:tc>
          <w:tcPr>
            <w:tcW w:type="dxa" w:w="190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9C3D10"/>
                <w:sz w:val="16"/>
              </w:rPr>
              <w:t>8  Handoff</w:t>
            </w:r>
          </w:p>
        </w:tc>
        <w:tc>
          <w:tcPr>
            <w:tcW w:type="dxa" w:w="81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Qualified and needs-review cases enter the recruiter queue; disqualified cases receive a neutral reason without a job promise. All status changes are audit logged.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9C3D10"/>
          <w:sz w:val="29"/>
        </w:rPr>
        <w:t>3. Data fields and validation rules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0"/>
        <w:gridCol w:w="2820"/>
        <w:gridCol w:w="5210"/>
      </w:tblGrid>
      <w:tr>
        <w:trPr>
          <w:tblHeader w:val="true"/>
          <w:cantSplit/>
        </w:trPr>
        <w:tc>
          <w:tcPr>
            <w:tcW w:type="dxa" w:w="2050"/>
            <w:shd w:fill="F7F7F7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Field</w:t>
            </w:r>
          </w:p>
        </w:tc>
        <w:tc>
          <w:tcPr>
            <w:tcW w:type="dxa" w:w="2820"/>
            <w:shd w:fill="F7F7F7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Structured value</w:t>
            </w:r>
          </w:p>
        </w:tc>
        <w:tc>
          <w:tcPr>
            <w:tcW w:type="dxa" w:w="5210"/>
            <w:shd w:fill="F7F7F7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Validation and recovery</w:t>
            </w:r>
          </w:p>
        </w:tc>
      </w:tr>
      <w:tr>
        <w:trPr>
          <w:cantSplit/>
        </w:trPr>
        <w:tc>
          <w:tcPr>
            <w:tcW w:type="dxa" w:w="205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Full name</w:t>
            </w:r>
          </w:p>
        </w:tc>
        <w:tc>
          <w:tcPr>
            <w:tcW w:type="dxa" w:w="28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String; preserve candidate spelling</w:t>
            </w:r>
          </w:p>
        </w:tc>
        <w:tc>
          <w:tcPr>
            <w:tcW w:type="dxa" w:w="52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Required; trim whitespace. If empty or clearly incomplete, ask again. Do not reject culturally valid single names; confirm instead.</w:t>
            </w:r>
          </w:p>
        </w:tc>
      </w:tr>
      <w:tr>
        <w:trPr>
          <w:cantSplit/>
        </w:trPr>
        <w:tc>
          <w:tcPr>
            <w:tcW w:type="dxa" w:w="205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Driver’s license</w:t>
            </w:r>
          </w:p>
        </w:tc>
        <w:tc>
          <w:tcPr>
            <w:tcW w:type="dxa" w:w="28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yes | no | unclear</w:t>
            </w:r>
          </w:p>
        </w:tc>
        <w:tc>
          <w:tcPr>
            <w:tcW w:type="dxa" w:w="52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Required. ‘No’ = disqualified. Ambiguous license type/validity = clarify; never infer from experience.</w:t>
            </w:r>
          </w:p>
        </w:tc>
      </w:tr>
      <w:tr>
        <w:trPr>
          <w:cantSplit/>
        </w:trPr>
        <w:tc>
          <w:tcPr>
            <w:tcW w:type="dxa" w:w="205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City / zone</w:t>
            </w:r>
          </w:p>
        </w:tc>
        <w:tc>
          <w:tcPr>
            <w:tcW w:type="dxa" w:w="28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raw + normalized country/city/zone</w:t>
            </w:r>
          </w:p>
        </w:tc>
        <w:tc>
          <w:tcPr>
            <w:tcW w:type="dxa" w:w="52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Required; exact match or suggested fuzzy match against configured areas. Candidate must confirm a suggestion. Confirmed outside area = disqualified.</w:t>
            </w:r>
          </w:p>
        </w:tc>
      </w:tr>
      <w:tr>
        <w:trPr>
          <w:cantSplit/>
        </w:trPr>
        <w:tc>
          <w:tcPr>
            <w:tcW w:type="dxa" w:w="205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Availability</w:t>
            </w:r>
          </w:p>
        </w:tc>
        <w:tc>
          <w:tcPr>
            <w:tcW w:type="dxa" w:w="28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one or more: full_time, part_time, weekends</w:t>
            </w:r>
          </w:p>
        </w:tc>
        <w:tc>
          <w:tcPr>
            <w:tcW w:type="dxa" w:w="52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Required; normalize synonyms and allow combinations. Invalid answer → show concise options.</w:t>
            </w:r>
          </w:p>
        </w:tc>
      </w:tr>
      <w:tr>
        <w:trPr>
          <w:cantSplit/>
        </w:trPr>
        <w:tc>
          <w:tcPr>
            <w:tcW w:type="dxa" w:w="205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Preferred schedule</w:t>
            </w:r>
          </w:p>
        </w:tc>
        <w:tc>
          <w:tcPr>
            <w:tcW w:type="dxa" w:w="28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morning, afternoon, evening, flexible; list allowed</w:t>
            </w:r>
          </w:p>
        </w:tc>
        <w:tc>
          <w:tcPr>
            <w:tcW w:type="dxa" w:w="52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Required; multiple preferences are retained rather than collapsed. ‘Any’ normalizes to flexible.</w:t>
            </w:r>
          </w:p>
        </w:tc>
      </w:tr>
      <w:tr>
        <w:trPr>
          <w:cantSplit/>
        </w:trPr>
        <w:tc>
          <w:tcPr>
            <w:tcW w:type="dxa" w:w="205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Delivery experience</w:t>
            </w:r>
          </w:p>
        </w:tc>
        <w:tc>
          <w:tcPr>
            <w:tcW w:type="dxa" w:w="28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years ≥ 0 + platform list</w:t>
            </w:r>
          </w:p>
        </w:tc>
        <w:tc>
          <w:tcPr>
            <w:tcW w:type="dxa" w:w="52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Required, but not a hard filter. ‘None’ becomes 0 years and an empty list. Negative or contradictory values require clarification.</w:t>
            </w:r>
          </w:p>
        </w:tc>
      </w:tr>
      <w:tr>
        <w:trPr>
          <w:cantSplit/>
        </w:trPr>
        <w:tc>
          <w:tcPr>
            <w:tcW w:type="dxa" w:w="205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Start date</w:t>
            </w:r>
          </w:p>
        </w:tc>
        <w:tc>
          <w:tcPr>
            <w:tcW w:type="dxa" w:w="28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raw answer + ISO date</w:t>
            </w:r>
          </w:p>
        </w:tc>
        <w:tc>
          <w:tcPr>
            <w:tcW w:type="dxa" w:w="521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Required. Normalize ‘immediately’ to the current date; clarify vague ranges or impossible/past dates before confirmation.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9C3D10"/>
          <w:sz w:val="29"/>
        </w:rPr>
        <w:t>4. Outcomes</w:t>
      </w:r>
    </w:p>
    <w:p>
      <w:pPr>
        <w:keepLines/>
        <w:spacing w:before="0" w:after="30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Qualified. </w:t>
      </w:r>
      <w:r>
        <w:rPr>
          <w:rFonts w:ascii="Arial" w:hAnsi="Arial"/>
          <w:b w:val="0"/>
          <w:i w:val="0"/>
          <w:color w:val="000000"/>
          <w:sz w:val="17"/>
        </w:rPr>
        <w:t>All required fields are valid, driver’s license = yes, location is in-area and no conduct disqualifier exists. Send confirmation, recruiter summary and next-step queue entry; do not promise an interview or job.</w:t>
      </w:r>
    </w:p>
    <w:p>
      <w:pPr>
        <w:keepLines/>
        <w:spacing w:before="0" w:after="30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Disqualified. </w:t>
      </w:r>
      <w:r>
        <w:rPr>
          <w:rFonts w:ascii="Arial" w:hAnsi="Arial"/>
          <w:b w:val="0"/>
          <w:i w:val="0"/>
          <w:color w:val="000000"/>
          <w:sz w:val="17"/>
        </w:rPr>
        <w:t>Reason is exactly one configured code: no_driver_license, outside_service_area or repeated_abuse_after_warning. Stop unnecessary questions, communicate neutrally and persist the reason for audit.</w:t>
      </w:r>
    </w:p>
    <w:p>
      <w:pPr>
        <w:keepLines/>
        <w:spacing w:before="0" w:after="60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Needs review / incomplete. </w:t>
      </w:r>
      <w:r>
        <w:rPr>
          <w:rFonts w:ascii="Arial" w:hAnsi="Arial"/>
          <w:b w:val="0"/>
          <w:i w:val="0"/>
          <w:color w:val="000000"/>
          <w:sz w:val="17"/>
        </w:rPr>
        <w:t>Route unresolved ambiguity, boundary locations, severe threats or technical failures to a human. Silence is incomplete, never disqualified; the same secure link can resume the saved state.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9C3D10"/>
          <w:sz w:val="29"/>
        </w:rPr>
        <w:t>5. Edge cases and message guidelines</w:t>
      </w:r>
    </w:p>
    <w:p>
      <w:pPr>
        <w:keepLines/>
        <w:spacing w:before="0" w:after="24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Silence. </w:t>
      </w:r>
      <w:r>
        <w:rPr>
          <w:rFonts w:ascii="Arial" w:hAnsi="Arial"/>
          <w:b w:val="0"/>
          <w:i w:val="0"/>
          <w:color w:val="000000"/>
          <w:sz w:val="17"/>
        </w:rPr>
        <w:t>Reminder at 24h; final reminder at 48h; mark incomplete at 72h. Do not auto-call. Each reminder is idempotent and stops immediately after response, completion, opt-out or deletion.</w:t>
      </w:r>
    </w:p>
    <w:p>
      <w:pPr>
        <w:keepLines/>
        <w:spacing w:before="0" w:after="24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Invalid or ambiguous answers. </w:t>
      </w:r>
      <w:r>
        <w:rPr>
          <w:rFonts w:ascii="Arial" w:hAnsi="Arial"/>
          <w:b w:val="0"/>
          <w:i w:val="0"/>
          <w:color w:val="000000"/>
          <w:sz w:val="17"/>
        </w:rPr>
        <w:t>Acknowledge what was understood, give one or two valid examples, and ask only the uncertain field. After two failed clarification attempts, save partial data and route to needs_review; never guess.</w:t>
      </w:r>
    </w:p>
    <w:p>
      <w:pPr>
        <w:keepLines/>
        <w:spacing w:before="0" w:after="24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Language switching. </w:t>
      </w:r>
      <w:r>
        <w:rPr>
          <w:rFonts w:ascii="Arial" w:hAnsi="Arial"/>
          <w:b w:val="0"/>
          <w:i w:val="0"/>
          <w:color w:val="000000"/>
          <w:sz w:val="17"/>
        </w:rPr>
        <w:t>Detect language per turn, answer in the candidate’s current ES/EN language and keep one shared canonical state. Ask which language to continue in only when detection is uncertain; code-switching does not reset progress.</w:t>
      </w:r>
    </w:p>
    <w:p>
      <w:pPr>
        <w:keepLines/>
        <w:spacing w:before="0" w:after="24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Abuse and safety. </w:t>
      </w:r>
      <w:r>
        <w:rPr>
          <w:rFonts w:ascii="Arial" w:hAnsi="Arial"/>
          <w:b w:val="0"/>
          <w:i w:val="0"/>
          <w:color w:val="000000"/>
          <w:sz w:val="17"/>
        </w:rPr>
        <w:t>Issue one calm warning for insults; repeated abuse deterministically ends the screening. Credible threats trigger immediate stop and human review. The model does not score sentiment or personality.</w:t>
      </w:r>
    </w:p>
    <w:p>
      <w:pPr>
        <w:keepLines/>
        <w:spacing w:before="0" w:after="40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Privacy and failures. </w:t>
      </w:r>
      <w:r>
        <w:rPr>
          <w:rFonts w:ascii="Arial" w:hAnsi="Arial"/>
          <w:b w:val="0"/>
          <w:i w:val="0"/>
          <w:color w:val="000000"/>
          <w:sz w:val="17"/>
        </w:rPr>
        <w:t>Opt-out stops contact. A verified deletion request removes/anonymizes personal data while retaining a non-PII compliance record. On dependency failure, save state, apologize briefly, offer retry and provide human escalation.</w:t>
      </w:r>
    </w:p>
    <w:p>
      <w:pPr>
        <w:keepLines/>
        <w:spacing w:before="0" w:after="0" w:line="250" w:lineRule="auto"/>
      </w:pPr>
      <w:r>
        <w:rPr>
          <w:rFonts w:ascii="Arial" w:hAnsi="Arial"/>
          <w:b/>
          <w:i w:val="0"/>
          <w:color w:val="000000"/>
          <w:sz w:val="17"/>
        </w:rPr>
        <w:t xml:space="preserve">Messaging style. </w:t>
      </w:r>
      <w:r>
        <w:rPr>
          <w:rFonts w:ascii="Arial" w:hAnsi="Arial"/>
          <w:b w:val="0"/>
          <w:i w:val="0"/>
          <w:color w:val="000000"/>
          <w:sz w:val="17"/>
        </w:rPr>
        <w:t>Warm, professional and transparent about AI; one question per turn; normally one or two short sentences; simple ES/EN vocabulary; no pressure, emojis, discriminatory language or invented policy. Voice turns are equally short and repeat critical details for confirmation.</w:t>
      </w:r>
    </w:p>
    <w:sectPr w:rsidR="00FC693F" w:rsidRPr="0006063C" w:rsidSect="00034616">
      <w:pgSz w:w="12240" w:h="15840"/>
      <w:pgMar w:top="979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9C3D1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9C3D1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Grupo Sazón Candidate Screening Agent — Phase 1 Process Design</dc:title>
  <dc:subject>FDE Technical Assignment</dc:subject>
  <dc:creator>Mariano Caballero</dc:creator>
  <cp:keywords>candidate screening, process design, FDE, Grupo Sazón</cp:keywords>
  <dc:description>Prepared for the Orbio AI FDE Technical Assignment.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