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令和9年度 教育課程柔軟化サキドリ研究校事業指定申請書</w:t>
        <w:br/>
        <w:t>別紙2　学校の取組内容（中学校）　下書き</w:t>
      </w:r>
    </w:p>
    <w:p>
      <w:pPr>
        <w:spacing w:after="60"/>
        <w:jc w:val="right"/>
      </w:pPr>
      <w:r>
        <w:t>令和8年10月6日　提出期限：10月23日（金）　提出先：義務・高校・特支ファイルポスト（指導主事）</w:t>
      </w:r>
    </w:p>
    <w:p>
      <w:pPr>
        <w:pStyle w:val="Heading1"/>
      </w:pPr>
      <w:r>
        <w:t>基本情報</w:t>
      </w:r>
    </w:p>
    <w:tbl>
      <w:tblPr>
        <w:tblStyle w:val="TableGrid"/>
        <w:tblW w:type="auto" w:w="0"/>
        <w:tblLook w:firstColumn="1" w:firstRow="1" w:lastColumn="0" w:lastRow="0" w:noHBand="0" w:noVBand="1" w:val="04A0"/>
      </w:tblPr>
      <w:tblGrid>
        <w:gridCol w:w="4819"/>
        <w:gridCol w:w="4819"/>
      </w:tblGrid>
      <w:tr>
        <w:tc>
          <w:tcPr>
            <w:tcW w:type="dxa" w:w="2835"/>
            <w:shd w:val="clear" w:color="auto" w:fill="D9E2F3"/>
          </w:tcPr>
          <w:p>
            <w:r/>
            <w:r>
              <w:rPr>
                <w:b/>
                <w:sz w:val="19"/>
              </w:rPr>
              <w:t>項目</w:t>
            </w:r>
          </w:p>
        </w:tc>
        <w:tc>
          <w:tcPr>
            <w:tcW w:type="dxa" w:w="6803"/>
            <w:shd w:val="clear" w:color="auto" w:fill="D9E2F3"/>
          </w:tcPr>
          <w:p>
            <w:r/>
            <w:r>
              <w:rPr>
                <w:b/>
                <w:sz w:val="19"/>
              </w:rPr>
              <w:t>記入案</w:t>
            </w:r>
          </w:p>
        </w:tc>
      </w:tr>
      <w:tr>
        <w:tc>
          <w:tcPr>
            <w:tcW w:type="dxa" w:w="2835"/>
          </w:tcPr>
          <w:p>
            <w:r/>
            <w:r>
              <w:rPr>
                <w:sz w:val="19"/>
              </w:rPr>
              <w:t>都道府県／管理機関</w:t>
            </w:r>
          </w:p>
        </w:tc>
        <w:tc>
          <w:tcPr>
            <w:tcW w:type="dxa" w:w="6803"/>
          </w:tcPr>
          <w:p>
            <w:r/>
            <w:r>
              <w:rPr>
                <w:sz w:val="19"/>
              </w:rPr>
              <w:t>58名古屋市／名古屋市教育委員会</w:t>
            </w:r>
          </w:p>
        </w:tc>
      </w:tr>
      <w:tr>
        <w:tc>
          <w:tcPr>
            <w:tcW w:type="dxa" w:w="2835"/>
          </w:tcPr>
          <w:p>
            <w:r/>
            <w:r>
              <w:rPr>
                <w:sz w:val="19"/>
              </w:rPr>
              <w:t>学校名（ふりがな）</w:t>
            </w:r>
          </w:p>
        </w:tc>
        <w:tc>
          <w:tcPr>
            <w:tcW w:type="dxa" w:w="6803"/>
          </w:tcPr>
          <w:p>
            <w:r/>
            <w:r>
              <w:rPr>
                <w:sz w:val="19"/>
              </w:rPr>
              <w:t>名古屋市立汐路中学校（なごやしりつしおじちゅうがっこう）</w:t>
            </w:r>
          </w:p>
        </w:tc>
      </w:tr>
      <w:tr>
        <w:tc>
          <w:tcPr>
            <w:tcW w:type="dxa" w:w="2835"/>
          </w:tcPr>
          <w:p>
            <w:r/>
            <w:r>
              <w:rPr>
                <w:sz w:val="19"/>
              </w:rPr>
              <w:t>学校種</w:t>
            </w:r>
          </w:p>
        </w:tc>
        <w:tc>
          <w:tcPr>
            <w:tcW w:type="dxa" w:w="6803"/>
          </w:tcPr>
          <w:p>
            <w:r/>
            <w:r>
              <w:rPr>
                <w:sz w:val="19"/>
              </w:rPr>
              <w:t>中学校</w:t>
            </w:r>
          </w:p>
        </w:tc>
      </w:tr>
      <w:tr>
        <w:tc>
          <w:tcPr>
            <w:tcW w:type="dxa" w:w="2835"/>
          </w:tcPr>
          <w:p>
            <w:r/>
            <w:r>
              <w:rPr>
                <w:sz w:val="19"/>
              </w:rPr>
              <w:t>令和8年度サキドリ研究校の指定</w:t>
            </w:r>
          </w:p>
        </w:tc>
        <w:tc>
          <w:tcPr>
            <w:tcW w:type="dxa" w:w="6803"/>
          </w:tcPr>
          <w:p>
            <w:r/>
            <w:r>
              <w:rPr>
                <w:sz w:val="19"/>
              </w:rPr>
              <w:t>なし</w:t>
            </w:r>
          </w:p>
        </w:tc>
      </w:tr>
    </w:tbl>
    <w:p>
      <w:pPr>
        <w:spacing w:after="40"/>
      </w:pPr>
    </w:p>
    <w:p>
      <w:pPr>
        <w:pStyle w:val="Heading1"/>
      </w:pPr>
      <w:r>
        <w:t>1．既に受けている指定</w:t>
      </w:r>
    </w:p>
    <w:p>
      <w:pPr>
        <w:spacing w:after="60"/>
      </w:pPr>
      <w:r>
        <w:t>なし（教育課程特例校・授業時数特例校・SSHのいずれも指定なし）。→ 要確認</w:t>
      </w:r>
    </w:p>
    <w:p>
      <w:pPr>
        <w:pStyle w:val="Heading1"/>
      </w:pPr>
      <w:r>
        <w:t>2．学校教育目標や学校経営方針等を実現するに当たっての課題</w:t>
      </w:r>
    </w:p>
    <w:p>
      <w:pPr>
        <w:spacing w:after="60"/>
      </w:pPr>
      <w:r>
        <w:t>（記入案）</w:t>
      </w:r>
    </w:p>
    <w:p>
      <w:pPr>
        <w:spacing w:after="60"/>
      </w:pPr>
      <w:r>
        <w:t>本校は学校教育目標「【本校の学校教育目標を入れる】」のもと、生徒が自ら課題を見つけ、仲間と協力してよりよい学校生活をつくる力の育成を目指している。しかし、次の課題がある。</w:t>
      </w:r>
    </w:p>
    <w:p>
      <w:pPr>
        <w:pStyle w:val="ListNumber"/>
        <w:spacing w:after="60"/>
      </w:pPr>
      <w:r>
        <w:rPr>
          <w:b/>
        </w:rPr>
        <w:t>生徒会活動が受け身になっている。</w:t>
      </w:r>
      <w:r>
        <w:t xml:space="preserve"> 委員会活動は各学級から選ばれた一部の生徒に限られ、内容も貸し出し当番や清掃用具の点検など、決められた仕事をこなすことに終始している。例えば図書委員会の目的は「読書をすすめることで、中学校生活を豊かにする」だが、実際の活動は本の貸し出しにとどまり、目的に向かう企画を生徒が立てる場がない。</w:t>
      </w:r>
    </w:p>
    <w:p>
      <w:pPr>
        <w:pStyle w:val="ListNumber"/>
        <w:spacing w:after="60"/>
      </w:pPr>
      <w:r>
        <w:rPr>
          <w:b/>
        </w:rPr>
        <w:t>学年を越えて学び合う機会が少ない。</w:t>
      </w:r>
      <w:r>
        <w:t xml:space="preserve"> 上級生から下級生へ、学校生活をよりよくする取組や学び方が受け継がれにくい。</w:t>
      </w:r>
    </w:p>
    <w:p>
      <w:pPr>
        <w:pStyle w:val="ListNumber"/>
        <w:spacing w:after="60"/>
      </w:pPr>
      <w:r>
        <w:rPr>
          <w:b/>
        </w:rPr>
        <w:t>教科の学びを自分の問いに発展させる機会が少ない。</w:t>
      </w:r>
      <w:r>
        <w:t xml:space="preserve"> 各教科で身に付けた知識や見方・考え方を生かし、自ら問いを立てて探究し、他者に発信する経験が不足している。</w:t>
      </w:r>
    </w:p>
    <w:p>
      <w:pPr>
        <w:pStyle w:val="ListNumber"/>
        <w:spacing w:after="60"/>
      </w:pPr>
      <w:r>
        <w:rPr>
          <w:b/>
        </w:rPr>
        <w:t>教師が組織として指導改善に取り組むまとまった時間がない。</w:t>
      </w:r>
      <w:r>
        <w:t xml:space="preserve"> 生徒の主体的な活動を支える「教える」から「問いかけ伴走する」指導への転換を、全校で継続的に学ぶ機会が確保できていない。</w:t>
      </w:r>
    </w:p>
    <w:p>
      <w:pPr>
        <w:spacing w:after="60"/>
      </w:pPr>
      <w:r>
        <w:t>これらの課題を解決するため、調整授業時数を</w:t>
      </w:r>
      <w:r>
        <w:rPr>
          <w:b/>
        </w:rPr>
        <w:t>手段として</w:t>
      </w:r>
      <w:r>
        <w:t>活用し、全生徒が所属する縦割りの委員会と、縦割りの教科探究の時間を設ける。あわせて、教師がその指導を組織的に磨く研修の時間を確保する。</w:t>
      </w:r>
    </w:p>
    <w:p>
      <w:pPr>
        <w:pStyle w:val="Heading1"/>
      </w:pPr>
      <w:r>
        <w:t>3．調整授業時数の活用方法の詳細</w:t>
      </w:r>
    </w:p>
    <w:p>
      <w:pPr>
        <w:spacing w:after="60"/>
      </w:pPr>
      <w:r>
        <w:rPr>
          <w:b/>
        </w:rPr>
        <w:t>①既存教科への上乗せ</w:t>
      </w:r>
      <w:r>
        <w:t>：活用しない。</w:t>
      </w:r>
    </w:p>
    <w:p>
      <w:pPr>
        <w:spacing w:after="60"/>
      </w:pPr>
      <w:r>
        <w:rPr>
          <w:b/>
        </w:rPr>
        <w:t>②新設教科への充当</w:t>
      </w:r>
      <w:r>
        <w:t>：活用しない。</w:t>
      </w:r>
    </w:p>
    <w:p>
      <w:pPr>
        <w:pStyle w:val="Heading2"/>
      </w:pPr>
      <w:r>
        <w:t>③-1 裁量的な時間（学習枠）年35コマ</w:t>
      </w:r>
    </w:p>
    <w:p>
      <w:pPr>
        <w:spacing w:after="60"/>
      </w:pPr>
      <w:r>
        <w:t>要件の「○」：6項目すべて「○」（根拠は下の表）</w:t>
      </w:r>
    </w:p>
    <w:p>
      <w:pPr>
        <w:spacing w:after="60"/>
      </w:pPr>
      <w:r>
        <w:t>（記入案）</w:t>
      </w:r>
    </w:p>
    <w:p>
      <w:pPr>
        <w:spacing w:after="60"/>
      </w:pPr>
      <w:r>
        <w:rPr>
          <w:b/>
        </w:rPr>
        <w:t>目的</w:t>
      </w:r>
      <w:r>
        <w:t>：全生徒が学年を越えた集団の中で、自ら課題や問いを見つけ、計画し、実行・発信する経験を重ねることで、主体的に学校生活や学びをつくる力を育てる。</w:t>
      </w:r>
    </w:p>
    <w:p>
      <w:pPr>
        <w:spacing w:after="60"/>
      </w:pPr>
      <w:r>
        <w:rPr>
          <w:b/>
        </w:rPr>
        <w:t>内容</w:t>
      </w:r>
      <w:r>
        <w:t>：週に50分（45分授業の日に生まれる時間を活用）を次の2つに充て、年35週実施する。</w:t>
      </w:r>
    </w:p>
    <w:tbl>
      <w:tblPr>
        <w:tblStyle w:val="TableGrid"/>
        <w:tblW w:type="auto" w:w="0"/>
        <w:tblLook w:firstColumn="1" w:firstRow="1" w:lastColumn="0" w:lastRow="0" w:noHBand="0" w:noVBand="1" w:val="04A0"/>
      </w:tblPr>
      <w:tblGrid>
        <w:gridCol w:w="2409"/>
        <w:gridCol w:w="2409"/>
        <w:gridCol w:w="2409"/>
        <w:gridCol w:w="2409"/>
      </w:tblGrid>
      <w:tr>
        <w:tc>
          <w:tcPr>
            <w:tcW w:type="dxa" w:w="1361"/>
            <w:shd w:val="clear" w:color="auto" w:fill="D9E2F3"/>
          </w:tcPr>
          <w:p>
            <w:r/>
            <w:r>
              <w:rPr>
                <w:b/>
                <w:sz w:val="19"/>
              </w:rPr>
              <w:t>活動</w:t>
            </w:r>
          </w:p>
        </w:tc>
        <w:tc>
          <w:tcPr>
            <w:tcW w:type="dxa" w:w="1134"/>
            <w:shd w:val="clear" w:color="auto" w:fill="D9E2F3"/>
          </w:tcPr>
          <w:p>
            <w:r/>
            <w:r>
              <w:rPr>
                <w:b/>
                <w:sz w:val="19"/>
              </w:rPr>
              <w:t>時間</w:t>
            </w:r>
          </w:p>
        </w:tc>
        <w:tc>
          <w:tcPr>
            <w:tcW w:type="dxa" w:w="907"/>
            <w:shd w:val="clear" w:color="auto" w:fill="D9E2F3"/>
          </w:tcPr>
          <w:p>
            <w:r/>
            <w:r>
              <w:rPr>
                <w:b/>
                <w:sz w:val="19"/>
              </w:rPr>
              <w:t>年間</w:t>
            </w:r>
          </w:p>
        </w:tc>
        <w:tc>
          <w:tcPr>
            <w:tcW w:type="dxa" w:w="6236"/>
            <w:shd w:val="clear" w:color="auto" w:fill="D9E2F3"/>
          </w:tcPr>
          <w:p>
            <w:r/>
            <w:r>
              <w:rPr>
                <w:b/>
                <w:sz w:val="19"/>
              </w:rPr>
              <w:t>内容</w:t>
            </w:r>
          </w:p>
        </w:tc>
      </w:tr>
      <w:tr>
        <w:tc>
          <w:tcPr>
            <w:tcW w:type="dxa" w:w="1361"/>
          </w:tcPr>
          <w:p>
            <w:r/>
            <w:r>
              <w:rPr>
                <w:sz w:val="19"/>
              </w:rPr>
              <w:t>全員委員会</w:t>
            </w:r>
          </w:p>
        </w:tc>
        <w:tc>
          <w:tcPr>
            <w:tcW w:type="dxa" w:w="1134"/>
          </w:tcPr>
          <w:p>
            <w:r/>
            <w:r>
              <w:rPr>
                <w:sz w:val="19"/>
              </w:rPr>
              <w:t>週に30分</w:t>
            </w:r>
          </w:p>
        </w:tc>
        <w:tc>
          <w:tcPr>
            <w:tcW w:type="dxa" w:w="907"/>
          </w:tcPr>
          <w:p>
            <w:r/>
            <w:r>
              <w:rPr>
                <w:sz w:val="19"/>
              </w:rPr>
              <w:t>21コマ</w:t>
            </w:r>
          </w:p>
        </w:tc>
        <w:tc>
          <w:tcPr>
            <w:tcW w:type="dxa" w:w="6236"/>
          </w:tcPr>
          <w:p>
            <w:r/>
            <w:r>
              <w:rPr>
                <w:sz w:val="19"/>
              </w:rPr>
              <w:t>全生徒が1〜3年縦割りの17委員会（各約30人）に所属。学校生活の課題を見つけ、企画書を作り、実行し、振り返る。例：読書推進委員会によるビブリオバトル、企画委員会による生徒主体の体育大会</w:t>
            </w:r>
          </w:p>
        </w:tc>
      </w:tr>
      <w:tr>
        <w:tc>
          <w:tcPr>
            <w:tcW w:type="dxa" w:w="1361"/>
          </w:tcPr>
          <w:p>
            <w:r/>
            <w:r>
              <w:rPr>
                <w:sz w:val="19"/>
              </w:rPr>
              <w:t>教科探究</w:t>
            </w:r>
          </w:p>
        </w:tc>
        <w:tc>
          <w:tcPr>
            <w:tcW w:type="dxa" w:w="1134"/>
          </w:tcPr>
          <w:p>
            <w:r/>
            <w:r>
              <w:rPr>
                <w:sz w:val="19"/>
              </w:rPr>
              <w:t>週に20分</w:t>
            </w:r>
          </w:p>
        </w:tc>
        <w:tc>
          <w:tcPr>
            <w:tcW w:type="dxa" w:w="907"/>
          </w:tcPr>
          <w:p>
            <w:r/>
            <w:r>
              <w:rPr>
                <w:sz w:val="19"/>
              </w:rPr>
              <w:t>14コマ</w:t>
            </w:r>
          </w:p>
        </w:tc>
        <w:tc>
          <w:tcPr>
            <w:tcW w:type="dxa" w:w="6236"/>
          </w:tcPr>
          <w:p>
            <w:r/>
            <w:r>
              <w:rPr>
                <w:sz w:val="19"/>
              </w:rPr>
              <w:t>1〜3年縦割りで、各教科の学習内容から探究したい問いや課題を決め、計画を立てて探究する。年度末に保護者へ公開する発表会を行う</w:t>
            </w:r>
          </w:p>
        </w:tc>
      </w:tr>
    </w:tbl>
    <w:p>
      <w:pPr>
        <w:spacing w:after="40"/>
      </w:pPr>
    </w:p>
    <w:p>
      <w:pPr>
        <w:spacing w:after="60"/>
      </w:pPr>
      <w:r>
        <w:rPr>
          <w:b/>
        </w:rPr>
        <w:t>要件との対応</w:t>
      </w:r>
    </w:p>
    <w:tbl>
      <w:tblPr>
        <w:tblStyle w:val="TableGrid"/>
        <w:tblW w:type="auto" w:w="0"/>
        <w:tblLook w:firstColumn="1" w:firstRow="1" w:lastColumn="0" w:lastRow="0" w:noHBand="0" w:noVBand="1" w:val="04A0"/>
      </w:tblPr>
      <w:tblGrid>
        <w:gridCol w:w="4819"/>
        <w:gridCol w:w="4819"/>
      </w:tblGrid>
      <w:tr>
        <w:tc>
          <w:tcPr>
            <w:tcW w:type="dxa" w:w="3402"/>
            <w:shd w:val="clear" w:color="auto" w:fill="D9E2F3"/>
          </w:tcPr>
          <w:p>
            <w:r/>
            <w:r>
              <w:rPr>
                <w:b/>
                <w:sz w:val="19"/>
              </w:rPr>
              <w:t>要件</w:t>
            </w:r>
          </w:p>
        </w:tc>
        <w:tc>
          <w:tcPr>
            <w:tcW w:type="dxa" w:w="6236"/>
            <w:shd w:val="clear" w:color="auto" w:fill="D9E2F3"/>
          </w:tcPr>
          <w:p>
            <w:r/>
            <w:r>
              <w:rPr>
                <w:b/>
                <w:sz w:val="19"/>
              </w:rPr>
              <w:t>本校の取組</w:t>
            </w:r>
          </w:p>
        </w:tc>
      </w:tr>
      <w:tr>
        <w:tc>
          <w:tcPr>
            <w:tcW w:type="dxa" w:w="3402"/>
          </w:tcPr>
          <w:p>
            <w:r/>
            <w:r>
              <w:rPr>
                <w:sz w:val="19"/>
              </w:rPr>
              <w:t>各教科等の内容に該当しない、もしくは一つの教科等に当てはめるのが困難</w:t>
            </w:r>
          </w:p>
        </w:tc>
        <w:tc>
          <w:tcPr>
            <w:tcW w:type="dxa" w:w="6236"/>
          </w:tcPr>
          <w:p>
            <w:r/>
            <w:r>
              <w:rPr>
                <w:sz w:val="19"/>
              </w:rPr>
              <w:t>全員委員会は特別活動に、教科探究は各教科に一部関わるが、いずれも学年を越えた集団で行う付加的な学習活動である</w:t>
            </w:r>
          </w:p>
        </w:tc>
      </w:tr>
      <w:tr>
        <w:tc>
          <w:tcPr>
            <w:tcW w:type="dxa" w:w="3402"/>
          </w:tcPr>
          <w:p>
            <w:r/>
            <w:r>
              <w:rPr>
                <w:sz w:val="19"/>
              </w:rPr>
              <w:t>内容は各教科等で適切に扱った上で、拡充・発展や縦割りなど付加的に行う</w:t>
            </w:r>
          </w:p>
        </w:tc>
        <w:tc>
          <w:tcPr>
            <w:tcW w:type="dxa" w:w="6236"/>
          </w:tcPr>
          <w:p>
            <w:r/>
            <w:r>
              <w:rPr>
                <w:sz w:val="19"/>
              </w:rPr>
              <w:t>特別活動（年35）と各教科の指導内容は各教科等で扱い終えた上で、縦割りによる発展的な学習として行う。教科探究は、教科を横断する総合的な学習の時間とは異なり、一つの教科を深める探究とする</w:t>
            </w:r>
          </w:p>
        </w:tc>
      </w:tr>
      <w:tr>
        <w:tc>
          <w:tcPr>
            <w:tcW w:type="dxa" w:w="3402"/>
          </w:tcPr>
          <w:p>
            <w:r/>
            <w:r>
              <w:rPr>
                <w:sz w:val="19"/>
              </w:rPr>
              <w:t>学校教育法の目標の実現に特に資する</w:t>
            </w:r>
          </w:p>
        </w:tc>
        <w:tc>
          <w:tcPr>
            <w:tcW w:type="dxa" w:w="6236"/>
          </w:tcPr>
          <w:p>
            <w:r/>
            <w:r>
              <w:rPr>
                <w:sz w:val="19"/>
              </w:rPr>
              <w:t>自主、自律及び協同の精神、社会の形成に主体的に参画する態度を養う</w:t>
            </w:r>
          </w:p>
        </w:tc>
      </w:tr>
      <w:tr>
        <w:tc>
          <w:tcPr>
            <w:tcW w:type="dxa" w:w="3402"/>
          </w:tcPr>
          <w:p>
            <w:r/>
            <w:r>
              <w:rPr>
                <w:sz w:val="19"/>
              </w:rPr>
              <w:t>学校教育目標・年間指導計画等に基づく組織的な取組</w:t>
            </w:r>
          </w:p>
        </w:tc>
        <w:tc>
          <w:tcPr>
            <w:tcW w:type="dxa" w:w="6236"/>
          </w:tcPr>
          <w:p>
            <w:r/>
            <w:r>
              <w:rPr>
                <w:sz w:val="19"/>
              </w:rPr>
              <w:t>全教員が委員会と教科ゼミを分担し、年間計画に位置づけて実施する</w:t>
            </w:r>
          </w:p>
        </w:tc>
      </w:tr>
      <w:tr>
        <w:tc>
          <w:tcPr>
            <w:tcW w:type="dxa" w:w="3402"/>
          </w:tcPr>
          <w:p>
            <w:r/>
            <w:r>
              <w:rPr>
                <w:sz w:val="19"/>
              </w:rPr>
              <w:t>発達の段階に即して適切</w:t>
            </w:r>
          </w:p>
        </w:tc>
        <w:tc>
          <w:tcPr>
            <w:tcW w:type="dxa" w:w="6236"/>
          </w:tcPr>
          <w:p>
            <w:r/>
            <w:r>
              <w:rPr>
                <w:sz w:val="19"/>
              </w:rPr>
              <w:t>上級生が下級生を導く縦割りの構成とし、1年生は4月に準備して5月から参加する</w:t>
            </w:r>
          </w:p>
        </w:tc>
      </w:tr>
      <w:tr>
        <w:tc>
          <w:tcPr>
            <w:tcW w:type="dxa" w:w="3402"/>
          </w:tcPr>
          <w:p>
            <w:r/>
            <w:r>
              <w:rPr>
                <w:sz w:val="19"/>
              </w:rPr>
              <w:t>転出入への配慮</w:t>
            </w:r>
          </w:p>
        </w:tc>
        <w:tc>
          <w:tcPr>
            <w:tcW w:type="dxa" w:w="6236"/>
          </w:tcPr>
          <w:p>
            <w:r/>
            <w:r>
              <w:rPr>
                <w:sz w:val="19"/>
              </w:rPr>
              <w:t>転入生は希望を聞いて委員会・ゼミに所属させる。授業時数の合計は変わらず、転出入による学習内容の欠落は生じない</w:t>
            </w:r>
          </w:p>
        </w:tc>
      </w:tr>
    </w:tbl>
    <w:p>
      <w:pPr>
        <w:spacing w:after="40"/>
      </w:pPr>
    </w:p>
    <w:p>
      <w:pPr>
        <w:pStyle w:val="Heading2"/>
      </w:pPr>
      <w:r>
        <w:t>③-2 裁量的な時間（研究・研修等枠）年35コマ</w:t>
      </w:r>
    </w:p>
    <w:p>
      <w:pPr>
        <w:spacing w:after="60"/>
      </w:pPr>
      <w:r>
        <w:t>要件の「○」：3項目すべて「○」</w:t>
      </w:r>
    </w:p>
    <w:p>
      <w:pPr>
        <w:spacing w:after="60"/>
      </w:pPr>
      <w:r>
        <w:t>（記入案）</w:t>
      </w:r>
    </w:p>
    <w:p>
      <w:pPr>
        <w:spacing w:after="60"/>
      </w:pPr>
      <w:r>
        <w:rPr>
          <w:b/>
        </w:rPr>
        <w:t>目的</w:t>
      </w:r>
      <w:r>
        <w:t>：生徒の主体的な活動を支えるため、教師の指導を「教える」から「問いかけ伴走する」へ転換し、学習枠と各教科の授業改善につなげる。</w:t>
      </w:r>
    </w:p>
    <w:p>
      <w:pPr>
        <w:spacing w:after="60"/>
      </w:pPr>
      <w:r>
        <w:rPr>
          <w:b/>
        </w:rPr>
        <w:t>内容</w:t>
      </w:r>
      <w:r>
        <w:t>：週に50分（生徒は下校）を年35週実施する。</w:t>
      </w:r>
    </w:p>
    <w:p>
      <w:pPr>
        <w:pStyle w:val="ListBullet"/>
        <w:spacing w:after="60"/>
      </w:pPr>
      <w:r>
        <w:t>伴走の指導法の研修（問いかけ方、企画書への助言の仕方）</w:t>
      </w:r>
    </w:p>
    <w:p>
      <w:pPr>
        <w:pStyle w:val="ListBullet"/>
        <w:spacing w:after="60"/>
      </w:pPr>
      <w:r>
        <w:t>委員会・教科探究の実践の振り返りと、教員間の事例共有</w:t>
      </w:r>
    </w:p>
    <w:p>
      <w:pPr>
        <w:pStyle w:val="ListBullet"/>
        <w:spacing w:after="60"/>
      </w:pPr>
      <w:r>
        <w:t>生徒の振り返り（Googleフォーム）と主体性アンケート（年2回）の分析による指導改善</w:t>
      </w:r>
    </w:p>
    <w:p>
      <w:pPr>
        <w:pStyle w:val="ListBullet"/>
        <w:spacing w:after="60"/>
      </w:pPr>
      <w:r>
        <w:t>各教科の授業研究（探究で生まれた問いを授業に生かす）</w:t>
      </w:r>
    </w:p>
    <w:p>
      <w:pPr>
        <w:spacing w:after="60"/>
      </w:pPr>
      <w:r>
        <w:t>研修計画は年度当初に研修部が作成し、各回の実施状況は管理職が記録で確認する。</w:t>
      </w:r>
    </w:p>
    <w:p>
      <w:pPr>
        <w:pStyle w:val="Heading1"/>
      </w:pPr>
      <w:r>
        <w:t>4．教育課程特例校制度の併用</w:t>
      </w:r>
    </w:p>
    <w:p>
      <w:pPr>
        <w:spacing w:after="60"/>
      </w:pPr>
      <w:r>
        <w:t>活用しない（記入なし）。</w:t>
      </w:r>
    </w:p>
    <w:p>
      <w:pPr>
        <w:pStyle w:val="Heading1"/>
      </w:pPr>
      <w:r>
        <w:t>5．教育課程表（1単位時間＝50分）</w:t>
      </w:r>
    </w:p>
    <w:p>
      <w:pPr>
        <w:pStyle w:val="ListBullet"/>
        <w:spacing w:after="60"/>
      </w:pPr>
      <w:r>
        <w:t>調整授業時数の活用：「○」</w:t>
      </w:r>
    </w:p>
    <w:p>
      <w:pPr>
        <w:pStyle w:val="ListBullet"/>
        <w:spacing w:after="60"/>
      </w:pPr>
      <w:r>
        <w:t>1単位時間の短縮を実施：「○」（45分授業の日を設ける）</w:t>
      </w:r>
    </w:p>
    <w:p>
      <w:pPr>
        <w:spacing w:after="60"/>
      </w:pPr>
      <w:r>
        <w:t>各学年とも、教科から70コマを減らし、裁量的な時間70コマ（学習枠35・研究・研修等枠35）に充てる。合計は1015のまま。減らすのは時数の多い教科だけで、いずれも標準の15％以内。音楽・美術・技術家庭・道徳・総合・特別活動は標準どおりとする。</w:t>
      </w:r>
    </w:p>
    <w:tbl>
      <w:tblPr>
        <w:tblStyle w:val="TableGrid"/>
        <w:tblW w:type="auto" w:w="0"/>
        <w:tblLook w:firstColumn="1" w:firstRow="1" w:lastColumn="0" w:lastRow="0" w:noHBand="0" w:noVBand="1" w:val="04A0"/>
      </w:tblPr>
      <w:tblGrid>
        <w:gridCol w:w="2409"/>
        <w:gridCol w:w="2409"/>
        <w:gridCol w:w="2409"/>
        <w:gridCol w:w="2409"/>
      </w:tblGrid>
      <w:tr>
        <w:tc>
          <w:tcPr>
            <w:tcW w:type="dxa" w:w="2835"/>
            <w:shd w:val="clear" w:color="auto" w:fill="D9E2F3"/>
          </w:tcPr>
          <w:p>
            <w:r/>
            <w:r>
              <w:rPr>
                <w:b/>
                <w:sz w:val="19"/>
              </w:rPr>
              <w:t>教科等</w:t>
            </w:r>
          </w:p>
        </w:tc>
        <w:tc>
          <w:tcPr>
            <w:tcW w:type="dxa" w:w="2268"/>
            <w:shd w:val="clear" w:color="auto" w:fill="D9E2F3"/>
          </w:tcPr>
          <w:p>
            <w:r/>
            <w:r>
              <w:rPr>
                <w:b/>
                <w:sz w:val="19"/>
              </w:rPr>
              <w:t>1年 標準→調整後</w:t>
            </w:r>
          </w:p>
        </w:tc>
        <w:tc>
          <w:tcPr>
            <w:tcW w:type="dxa" w:w="2268"/>
            <w:shd w:val="clear" w:color="auto" w:fill="D9E2F3"/>
          </w:tcPr>
          <w:p>
            <w:r/>
            <w:r>
              <w:rPr>
                <w:b/>
                <w:sz w:val="19"/>
              </w:rPr>
              <w:t>2年 標準→調整後</w:t>
            </w:r>
          </w:p>
        </w:tc>
        <w:tc>
          <w:tcPr>
            <w:tcW w:type="dxa" w:w="2268"/>
            <w:shd w:val="clear" w:color="auto" w:fill="D9E2F3"/>
          </w:tcPr>
          <w:p>
            <w:r/>
            <w:r>
              <w:rPr>
                <w:b/>
                <w:sz w:val="19"/>
              </w:rPr>
              <w:t>3年 標準→調整後</w:t>
            </w:r>
          </w:p>
        </w:tc>
      </w:tr>
      <w:tr>
        <w:tc>
          <w:tcPr>
            <w:tcW w:type="dxa" w:w="2835"/>
          </w:tcPr>
          <w:p>
            <w:r/>
            <w:r>
              <w:rPr>
                <w:sz w:val="19"/>
              </w:rPr>
              <w:t>国語</w:t>
            </w:r>
          </w:p>
        </w:tc>
        <w:tc>
          <w:tcPr>
            <w:tcW w:type="dxa" w:w="2268"/>
          </w:tcPr>
          <w:p>
            <w:r/>
            <w:r>
              <w:rPr>
                <w:sz w:val="19"/>
              </w:rPr>
              <w:t>140→126（−14）</w:t>
            </w:r>
          </w:p>
        </w:tc>
        <w:tc>
          <w:tcPr>
            <w:tcW w:type="dxa" w:w="2268"/>
          </w:tcPr>
          <w:p>
            <w:r/>
            <w:r>
              <w:rPr>
                <w:sz w:val="19"/>
              </w:rPr>
              <w:t>140→126（−14）</w:t>
            </w:r>
          </w:p>
        </w:tc>
        <w:tc>
          <w:tcPr>
            <w:tcW w:type="dxa" w:w="2268"/>
          </w:tcPr>
          <w:p>
            <w:r/>
            <w:r>
              <w:rPr>
                <w:sz w:val="19"/>
              </w:rPr>
              <w:t>105→95（−10）</w:t>
            </w:r>
          </w:p>
        </w:tc>
      </w:tr>
      <w:tr>
        <w:tc>
          <w:tcPr>
            <w:tcW w:type="dxa" w:w="2835"/>
          </w:tcPr>
          <w:p>
            <w:r/>
            <w:r>
              <w:rPr>
                <w:sz w:val="19"/>
              </w:rPr>
              <w:t>社会</w:t>
            </w:r>
          </w:p>
        </w:tc>
        <w:tc>
          <w:tcPr>
            <w:tcW w:type="dxa" w:w="2268"/>
          </w:tcPr>
          <w:p>
            <w:r/>
            <w:r>
              <w:rPr>
                <w:sz w:val="19"/>
              </w:rPr>
              <w:t>105→95（−10）</w:t>
            </w:r>
          </w:p>
        </w:tc>
        <w:tc>
          <w:tcPr>
            <w:tcW w:type="dxa" w:w="2268"/>
          </w:tcPr>
          <w:p>
            <w:r/>
            <w:r>
              <w:rPr>
                <w:sz w:val="19"/>
              </w:rPr>
              <w:t>105→95（−10）</w:t>
            </w:r>
          </w:p>
        </w:tc>
        <w:tc>
          <w:tcPr>
            <w:tcW w:type="dxa" w:w="2268"/>
          </w:tcPr>
          <w:p>
            <w:r/>
            <w:r>
              <w:rPr>
                <w:sz w:val="19"/>
              </w:rPr>
              <w:t>140→126（−14）</w:t>
            </w:r>
          </w:p>
        </w:tc>
      </w:tr>
      <w:tr>
        <w:tc>
          <w:tcPr>
            <w:tcW w:type="dxa" w:w="2835"/>
          </w:tcPr>
          <w:p>
            <w:r/>
            <w:r>
              <w:rPr>
                <w:sz w:val="19"/>
              </w:rPr>
              <w:t>数学</w:t>
            </w:r>
          </w:p>
        </w:tc>
        <w:tc>
          <w:tcPr>
            <w:tcW w:type="dxa" w:w="2268"/>
          </w:tcPr>
          <w:p>
            <w:r/>
            <w:r>
              <w:rPr>
                <w:sz w:val="19"/>
              </w:rPr>
              <w:t>140→126（−14）</w:t>
            </w:r>
          </w:p>
        </w:tc>
        <w:tc>
          <w:tcPr>
            <w:tcW w:type="dxa" w:w="2268"/>
          </w:tcPr>
          <w:p>
            <w:r/>
            <w:r>
              <w:rPr>
                <w:sz w:val="19"/>
              </w:rPr>
              <w:t>105→95（−10）</w:t>
            </w:r>
          </w:p>
        </w:tc>
        <w:tc>
          <w:tcPr>
            <w:tcW w:type="dxa" w:w="2268"/>
          </w:tcPr>
          <w:p>
            <w:r/>
            <w:r>
              <w:rPr>
                <w:sz w:val="19"/>
              </w:rPr>
              <w:t>140→126（−14）</w:t>
            </w:r>
          </w:p>
        </w:tc>
      </w:tr>
      <w:tr>
        <w:tc>
          <w:tcPr>
            <w:tcW w:type="dxa" w:w="2835"/>
          </w:tcPr>
          <w:p>
            <w:r/>
            <w:r>
              <w:rPr>
                <w:sz w:val="19"/>
              </w:rPr>
              <w:t>理科</w:t>
            </w:r>
          </w:p>
        </w:tc>
        <w:tc>
          <w:tcPr>
            <w:tcW w:type="dxa" w:w="2268"/>
          </w:tcPr>
          <w:p>
            <w:r/>
            <w:r>
              <w:rPr>
                <w:sz w:val="19"/>
              </w:rPr>
              <w:t>105→95（−10）</w:t>
            </w:r>
          </w:p>
        </w:tc>
        <w:tc>
          <w:tcPr>
            <w:tcW w:type="dxa" w:w="2268"/>
          </w:tcPr>
          <w:p>
            <w:r/>
            <w:r>
              <w:rPr>
                <w:sz w:val="19"/>
              </w:rPr>
              <w:t>140→126（−14）</w:t>
            </w:r>
          </w:p>
        </w:tc>
        <w:tc>
          <w:tcPr>
            <w:tcW w:type="dxa" w:w="2268"/>
          </w:tcPr>
          <w:p>
            <w:r/>
            <w:r>
              <w:rPr>
                <w:sz w:val="19"/>
              </w:rPr>
              <w:t>140→126（−14）</w:t>
            </w:r>
          </w:p>
        </w:tc>
      </w:tr>
      <w:tr>
        <w:tc>
          <w:tcPr>
            <w:tcW w:type="dxa" w:w="2835"/>
          </w:tcPr>
          <w:p>
            <w:r/>
            <w:r>
              <w:rPr>
                <w:sz w:val="19"/>
              </w:rPr>
              <w:t>保健体育</w:t>
            </w:r>
          </w:p>
        </w:tc>
        <w:tc>
          <w:tcPr>
            <w:tcW w:type="dxa" w:w="2268"/>
          </w:tcPr>
          <w:p>
            <w:r/>
            <w:r>
              <w:rPr>
                <w:sz w:val="19"/>
              </w:rPr>
              <w:t>105→97（−8）</w:t>
            </w:r>
          </w:p>
        </w:tc>
        <w:tc>
          <w:tcPr>
            <w:tcW w:type="dxa" w:w="2268"/>
          </w:tcPr>
          <w:p>
            <w:r/>
            <w:r>
              <w:rPr>
                <w:sz w:val="19"/>
              </w:rPr>
              <w:t>105→97（−8）</w:t>
            </w:r>
          </w:p>
        </w:tc>
        <w:tc>
          <w:tcPr>
            <w:tcW w:type="dxa" w:w="2268"/>
          </w:tcPr>
          <w:p>
            <w:r/>
            <w:r>
              <w:rPr>
                <w:sz w:val="19"/>
              </w:rPr>
              <w:t>105→101（−4）</w:t>
            </w:r>
          </w:p>
        </w:tc>
      </w:tr>
      <w:tr>
        <w:tc>
          <w:tcPr>
            <w:tcW w:type="dxa" w:w="2835"/>
          </w:tcPr>
          <w:p>
            <w:r/>
            <w:r>
              <w:rPr>
                <w:sz w:val="19"/>
              </w:rPr>
              <w:t>外国語</w:t>
            </w:r>
          </w:p>
        </w:tc>
        <w:tc>
          <w:tcPr>
            <w:tcW w:type="dxa" w:w="2268"/>
          </w:tcPr>
          <w:p>
            <w:r/>
            <w:r>
              <w:rPr>
                <w:sz w:val="19"/>
              </w:rPr>
              <w:t>140→126（−14）</w:t>
            </w:r>
          </w:p>
        </w:tc>
        <w:tc>
          <w:tcPr>
            <w:tcW w:type="dxa" w:w="2268"/>
          </w:tcPr>
          <w:p>
            <w:r/>
            <w:r>
              <w:rPr>
                <w:sz w:val="19"/>
              </w:rPr>
              <w:t>140→126（−14）</w:t>
            </w:r>
          </w:p>
        </w:tc>
        <w:tc>
          <w:tcPr>
            <w:tcW w:type="dxa" w:w="2268"/>
          </w:tcPr>
          <w:p>
            <w:r/>
            <w:r>
              <w:rPr>
                <w:sz w:val="19"/>
              </w:rPr>
              <w:t>140→126（−14）</w:t>
            </w:r>
          </w:p>
        </w:tc>
      </w:tr>
      <w:tr>
        <w:tc>
          <w:tcPr>
            <w:tcW w:type="dxa" w:w="2835"/>
          </w:tcPr>
          <w:p>
            <w:r/>
            <w:r>
              <w:rPr>
                <w:sz w:val="19"/>
              </w:rPr>
              <w:t>音楽・美術・技術家庭</w:t>
            </w:r>
          </w:p>
        </w:tc>
        <w:tc>
          <w:tcPr>
            <w:tcW w:type="dxa" w:w="2268"/>
          </w:tcPr>
          <w:p>
            <w:r/>
            <w:r>
              <w:rPr>
                <w:sz w:val="19"/>
              </w:rPr>
              <w:t>標準どおり</w:t>
            </w:r>
          </w:p>
        </w:tc>
        <w:tc>
          <w:tcPr>
            <w:tcW w:type="dxa" w:w="2268"/>
          </w:tcPr>
          <w:p>
            <w:r/>
            <w:r>
              <w:rPr>
                <w:sz w:val="19"/>
              </w:rPr>
              <w:t>標準どおり</w:t>
            </w:r>
          </w:p>
        </w:tc>
        <w:tc>
          <w:tcPr>
            <w:tcW w:type="dxa" w:w="2268"/>
          </w:tcPr>
          <w:p>
            <w:r/>
            <w:r>
              <w:rPr>
                <w:sz w:val="19"/>
              </w:rPr>
              <w:t>標準どおり</w:t>
            </w:r>
          </w:p>
        </w:tc>
      </w:tr>
      <w:tr>
        <w:tc>
          <w:tcPr>
            <w:tcW w:type="dxa" w:w="2835"/>
          </w:tcPr>
          <w:p>
            <w:r/>
            <w:r>
              <w:rPr>
                <w:sz w:val="19"/>
              </w:rPr>
              <w:t>道徳・総合・特別活動</w:t>
            </w:r>
          </w:p>
        </w:tc>
        <w:tc>
          <w:tcPr>
            <w:tcW w:type="dxa" w:w="2268"/>
          </w:tcPr>
          <w:p>
            <w:r/>
            <w:r>
              <w:rPr>
                <w:sz w:val="19"/>
              </w:rPr>
              <w:t>標準どおり</w:t>
            </w:r>
          </w:p>
        </w:tc>
        <w:tc>
          <w:tcPr>
            <w:tcW w:type="dxa" w:w="2268"/>
          </w:tcPr>
          <w:p>
            <w:r/>
            <w:r>
              <w:rPr>
                <w:sz w:val="19"/>
              </w:rPr>
              <w:t>標準どおり</w:t>
            </w:r>
          </w:p>
        </w:tc>
        <w:tc>
          <w:tcPr>
            <w:tcW w:type="dxa" w:w="2268"/>
          </w:tcPr>
          <w:p>
            <w:r/>
            <w:r>
              <w:rPr>
                <w:sz w:val="19"/>
              </w:rPr>
              <w:t>標準どおり</w:t>
            </w:r>
          </w:p>
        </w:tc>
      </w:tr>
      <w:tr>
        <w:tc>
          <w:tcPr>
            <w:tcW w:type="dxa" w:w="2835"/>
          </w:tcPr>
          <w:p>
            <w:r/>
            <w:r>
              <w:rPr>
                <w:sz w:val="19"/>
              </w:rPr>
              <w:t>教科の減少分の計</w:t>
            </w:r>
          </w:p>
        </w:tc>
        <w:tc>
          <w:tcPr>
            <w:tcW w:type="dxa" w:w="2268"/>
          </w:tcPr>
          <w:p>
            <w:r/>
            <w:r>
              <w:rPr>
                <w:sz w:val="19"/>
              </w:rPr>
              <w:t>−70</w:t>
            </w:r>
          </w:p>
        </w:tc>
        <w:tc>
          <w:tcPr>
            <w:tcW w:type="dxa" w:w="2268"/>
          </w:tcPr>
          <w:p>
            <w:r/>
            <w:r>
              <w:rPr>
                <w:sz w:val="19"/>
              </w:rPr>
              <w:t>−70</w:t>
            </w:r>
          </w:p>
        </w:tc>
        <w:tc>
          <w:tcPr>
            <w:tcW w:type="dxa" w:w="2268"/>
          </w:tcPr>
          <w:p>
            <w:r/>
            <w:r>
              <w:rPr>
                <w:sz w:val="19"/>
              </w:rPr>
              <w:t>−70</w:t>
            </w:r>
          </w:p>
        </w:tc>
      </w:tr>
      <w:tr>
        <w:tc>
          <w:tcPr>
            <w:tcW w:type="dxa" w:w="2835"/>
          </w:tcPr>
          <w:p>
            <w:r/>
            <w:r>
              <w:rPr>
                <w:sz w:val="19"/>
              </w:rPr>
              <w:t>裁量的な時間（学習枠）</w:t>
            </w:r>
          </w:p>
        </w:tc>
        <w:tc>
          <w:tcPr>
            <w:tcW w:type="dxa" w:w="2268"/>
          </w:tcPr>
          <w:p>
            <w:r/>
            <w:r>
              <w:rPr>
                <w:sz w:val="19"/>
              </w:rPr>
              <w:t>35</w:t>
            </w:r>
          </w:p>
        </w:tc>
        <w:tc>
          <w:tcPr>
            <w:tcW w:type="dxa" w:w="2268"/>
          </w:tcPr>
          <w:p>
            <w:r/>
            <w:r>
              <w:rPr>
                <w:sz w:val="19"/>
              </w:rPr>
              <w:t>35</w:t>
            </w:r>
          </w:p>
        </w:tc>
        <w:tc>
          <w:tcPr>
            <w:tcW w:type="dxa" w:w="2268"/>
          </w:tcPr>
          <w:p>
            <w:r/>
            <w:r>
              <w:rPr>
                <w:sz w:val="19"/>
              </w:rPr>
              <w:t>35</w:t>
            </w:r>
          </w:p>
        </w:tc>
      </w:tr>
      <w:tr>
        <w:tc>
          <w:tcPr>
            <w:tcW w:type="dxa" w:w="2835"/>
          </w:tcPr>
          <w:p>
            <w:r/>
            <w:r>
              <w:rPr>
                <w:sz w:val="19"/>
              </w:rPr>
              <w:t>裁量的な時間（研究・研修等枠）</w:t>
            </w:r>
          </w:p>
        </w:tc>
        <w:tc>
          <w:tcPr>
            <w:tcW w:type="dxa" w:w="2268"/>
          </w:tcPr>
          <w:p>
            <w:r/>
            <w:r>
              <w:rPr>
                <w:sz w:val="19"/>
              </w:rPr>
              <w:t>35</w:t>
            </w:r>
          </w:p>
        </w:tc>
        <w:tc>
          <w:tcPr>
            <w:tcW w:type="dxa" w:w="2268"/>
          </w:tcPr>
          <w:p>
            <w:r/>
            <w:r>
              <w:rPr>
                <w:sz w:val="19"/>
              </w:rPr>
              <w:t>35</w:t>
            </w:r>
          </w:p>
        </w:tc>
        <w:tc>
          <w:tcPr>
            <w:tcW w:type="dxa" w:w="2268"/>
          </w:tcPr>
          <w:p>
            <w:r/>
            <w:r>
              <w:rPr>
                <w:sz w:val="19"/>
              </w:rPr>
              <w:t>35</w:t>
            </w:r>
          </w:p>
        </w:tc>
      </w:tr>
      <w:tr>
        <w:tc>
          <w:tcPr>
            <w:tcW w:type="dxa" w:w="2835"/>
          </w:tcPr>
          <w:p>
            <w:r/>
            <w:r>
              <w:rPr>
                <w:sz w:val="19"/>
              </w:rPr>
              <w:t>合計</w:t>
            </w:r>
          </w:p>
        </w:tc>
        <w:tc>
          <w:tcPr>
            <w:tcW w:type="dxa" w:w="2268"/>
          </w:tcPr>
          <w:p>
            <w:r/>
            <w:r>
              <w:rPr>
                <w:sz w:val="19"/>
              </w:rPr>
              <w:t>1015</w:t>
            </w:r>
          </w:p>
        </w:tc>
        <w:tc>
          <w:tcPr>
            <w:tcW w:type="dxa" w:w="2268"/>
          </w:tcPr>
          <w:p>
            <w:r/>
            <w:r>
              <w:rPr>
                <w:sz w:val="19"/>
              </w:rPr>
              <w:t>1015</w:t>
            </w:r>
          </w:p>
        </w:tc>
        <w:tc>
          <w:tcPr>
            <w:tcW w:type="dxa" w:w="2268"/>
          </w:tcPr>
          <w:p>
            <w:r/>
            <w:r>
              <w:rPr>
                <w:sz w:val="19"/>
              </w:rPr>
              <w:t>1015</w:t>
            </w:r>
          </w:p>
        </w:tc>
      </w:tr>
    </w:tbl>
    <w:p>
      <w:pPr>
        <w:spacing w:after="40"/>
      </w:pPr>
    </w:p>
    <w:p>
      <w:pPr>
        <w:spacing w:after="60"/>
      </w:pPr>
      <w:r>
        <w:t>※ 減らす教科と時数は仮の配分。実際は45分授業の日にどの教科が入るかで決まるため、時間割と合わせて教務主任と試算する。</w:t>
      </w:r>
    </w:p>
    <w:p>
      <w:pPr>
        <w:pStyle w:val="Heading1"/>
      </w:pPr>
      <w:r>
        <w:t>提出前に確認・決定が必要なこと</w:t>
      </w:r>
    </w:p>
    <w:p>
      <w:pPr>
        <w:spacing w:after="60"/>
      </w:pPr>
      <w:r>
        <w:t>□ 10月8日（木）までに意向調査に回答（LoGoフォーム）</w:t>
      </w:r>
    </w:p>
    <w:p>
      <w:pPr>
        <w:spacing w:after="60"/>
      </w:pPr>
      <w:r>
        <w:t>□ 年間1015の確保：45分授業ではコマ数を増やす必要がある。R8の日課のままでは1・2年で約23、3年で約100足りない。保護者会・教育相談の日の午後も授業を行うなど、R9の年間予定で確保する</w:t>
      </w:r>
    </w:p>
    <w:p>
      <w:pPr>
        <w:spacing w:after="60"/>
      </w:pPr>
      <w:r>
        <w:t>□ 2．の学校教育目標を本校のものに差し替える</w:t>
      </w:r>
    </w:p>
    <w:p>
      <w:pPr>
        <w:spacing w:after="60"/>
      </w:pPr>
      <w:r>
        <w:t>□ 1．の既存指定の有無を確認する</w:t>
      </w:r>
    </w:p>
    <w:p>
      <w:pPr>
        <w:spacing w:after="60"/>
      </w:pPr>
      <w:r>
        <w:t>□ 5．の教科ごとの減少分を、時間割と合わせて教務主任と試算する</w:t>
      </w:r>
    </w:p>
    <w:p>
      <w:pPr>
        <w:spacing w:after="60"/>
      </w:pPr>
      <w:r>
        <w:t>□ 学習枠・研修枠を年35週に収める実施週を決める（テスト週などを外す）</w:t>
      </w:r>
    </w:p>
    <w:p>
      <w:pPr>
        <w:spacing w:after="60"/>
      </w:pPr>
      <w:r>
        <w:t>□ 教科探究のグループ編成（教科ゼミ案）と担当教員を決める</w:t>
      </w:r>
    </w:p>
    <w:p>
      <w:pPr>
        <w:spacing w:after="60"/>
      </w:pPr>
      <w:r>
        <w:t>□ 保護者・地域への説明の準備（公募要領p.19、p.54参照）</w:t>
      </w:r>
    </w:p>
    <w:p>
      <w:pPr>
        <w:spacing w:after="60"/>
      </w:pPr>
      <w:r>
        <w:t>□ 申請書は文書掲示板の様式（Excel）の中学校シートに転記する。ファイル名は「区番－校番＿汐路中＿サキドリ申請書」</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