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"/>
        <w:ind w:firstLine="0" w:left="0"/>
      </w:pPr>
      <w:r>
        <w:rPr>
          <w:rFonts w:ascii="Times New Roman" w:hAnsi="Times New Roman" w:eastAsia="SimHei"/>
          <w:b/>
          <w:color w:val="000000"/>
          <w:sz w:val="28"/>
        </w:rPr>
        <w:t>目录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项目摘要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1 章 项目背景与行业痛点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1.1 行业背景：低空经济进入场景验证期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1.2 行业痛点：客户缺少试点前测算工具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1.3 场景痛点：高频短途配送存在效率瓶颈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1.4 方案缺口：单一设备方案难以覆盖真实运营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1.5 项目机会：低空物流需要决策与调度平台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1.6 首批切入场景与验证路径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2 章 产品与核心技术 / 解决方案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2.1 产品形态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2.2 功能模块与验证水平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2.3 ALNS 路径优化算法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2.4 候选中继点生成与筛选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2.5 动态回退与异常处理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2.6 技术验证结果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2.7 产品交付清单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2.8 用户使用流程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2.9 技术壁垒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2.10 产品迭代计划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3 章 市场分析与竞品对比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3.1 目标市场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3.2 目标客户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3.3 市场切入路径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3.4 竞品对比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3.5 进入壁垒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3.6 首批可触达市场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3.7 客户决策链条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3.8 量化差异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3.9 市场规模测算口径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3.10 客户预算来源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3.11 竞争策略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4 章 商业模式与运营落地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4.1 收入公式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4.2 收入来源与付款节点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4.3 单位经济模型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4.4 落地流程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4.5 推广渠道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4.6 客户购买旅程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4.7 标杆案例打造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4.8 客户成功与续费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4.9 销售漏斗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4.10 定价套餐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4.11 合作模式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4.12 年度运营服务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5 章 团队介绍与核心优势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5.1 团队简介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5.2 组织架构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5.3 团队成员与分工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5.4 指导老师与资源支持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5.5 团队执行成果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5.6 团队建设计划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5.7 项目管理机制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5.8 知识产权与成果规划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6 章 财务规划与盈利预测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6.1 财务预测口径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6.2 三年营收预测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6.3 成本费用预测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6.4 盈利预测与回本周期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6.5 资金使用计划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6.6 财务假设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6.7 敏感性分析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6.8 收入拆解模型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6.9 现金流安排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6.10 毛利结构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6.11 费用控制策略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7 章 社会效益与发展规划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7.1 社会效益指标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7.2 短期规划（2026-2027）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7.3 中期规划（2027-2029）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7.4 长期规划（2029 以后）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7.5 项目愿景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7.6 社会价值量化路径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7.7 就业与人才培养价值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7.8 区域产业带动价值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7.9 绿色报告样例指标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8 章 风险分析与应对措施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8.1 风险总表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8.2 技术风险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8.3 政策与安全风险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8.4 市场风险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8.5 资金风险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8.6 团队与交付风险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8.7 数据合规风险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8.8 风险台账机制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8.9 交付质量控制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8.10 品牌与舆情控制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/>
          <w:color w:val="000000"/>
          <w:sz w:val="22"/>
        </w:rPr>
        <w:t>第 9 章 附录与支撑材料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9.1 典型场景方案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9.2 客户访谈重点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9.3 校园样板实施设想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9.4 园区试点实施设想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9.5 数据采集模板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9.6 验收清单</w:t>
      </w:r>
    </w:p>
    <w:p>
      <w:pPr>
        <w:spacing w:after="24"/>
        <w:ind w:firstLine="0" w:left="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    9.7 景区补给场景实施设想</w:t>
      </w:r>
    </w:p>
    <w:p>
      <w:pPr>
        <w:ind w:firstLine="0"/>
      </w:pPr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6"/>
        </w:rPr>
        <w:t>项目摘要</w:t>
      </w:r>
    </w:p>
    <w:p>
      <w:pPr/>
      <w:r>
        <w:rPr>
          <w:rFonts w:ascii="Times New Roman" w:hAnsi="Times New Roman" w:eastAsia="宋体"/>
          <w:color w:val="000000"/>
          <w:sz w:val="24"/>
        </w:rPr>
        <w:t>低空配送进入场景验证阶段，校园、园区、景区等封闭场景形成首批商业入口。客户采购前集中评估三项指标：设备投入规模、单票成本下降空间、安全与合规边界。现有低空物流方案缺少试点前的数字化测算工具，硬件采购与场景适配之间存在明显断层。</w:t>
      </w:r>
    </w:p>
    <w:p>
      <w:pPr/>
      <w:r>
        <w:rPr>
          <w:rFonts w:ascii="Times New Roman" w:hAnsi="Times New Roman" w:eastAsia="宋体"/>
          <w:color w:val="000000"/>
          <w:sz w:val="24"/>
        </w:rPr>
        <w:t>空地绿配智控平台定位为低空物流试点前的数字化决策平台。平台以 UAV 无人机与 AGV 无人车协同配送为核心，提供场景建模、订单导入、候选中继点筛选、路径优化、能耗测算、运营看板和报告导出。客户在采购硬件前完成投入产出测算，在试点运行中获得调度方案和绿色运营指标。</w:t>
      </w:r>
    </w:p>
    <w:p>
      <w:pPr/>
      <w:r>
        <w:rPr>
          <w:rFonts w:ascii="Times New Roman" w:hAnsi="Times New Roman" w:eastAsia="宋体"/>
          <w:color w:val="000000"/>
          <w:sz w:val="24"/>
        </w:rPr>
        <w:t>项目采用 AGV 移动中继 + UAV 末端触达的协同架构。AGV 承担地面移动、回收补能和中继支撑，UAV 承担短距离快速配送。该组合减少无人机固定总站往返距离，提高设备周转效率，并降低纯地面配送受路网绕行影响的比例。</w:t>
      </w:r>
    </w:p>
    <w:p>
      <w:pPr/>
      <w:r>
        <w:rPr>
          <w:rFonts w:ascii="Times New Roman" w:hAnsi="Times New Roman" w:eastAsia="宋体"/>
          <w:color w:val="000000"/>
          <w:sz w:val="24"/>
        </w:rPr>
        <w:t>技术层面，平台已完成基础仿真与策略对比。ALNS 算法覆盖续航、时间窗、中继点、设备数量、动态回退和能耗六类约束，输出完成率、准时率、能耗和路线成本四组指标。现有验证场景中，协同方案相较基线直送实现单任务能耗下降约 18.9%，单位距离能耗下降约 17.3%，完成率和准时率均有提升。</w:t>
      </w:r>
    </w:p>
    <w:p>
      <w:pPr/>
      <w:r>
        <w:rPr>
          <w:rFonts w:ascii="Times New Roman" w:hAnsi="Times New Roman" w:eastAsia="宋体"/>
          <w:color w:val="000000"/>
          <w:sz w:val="24"/>
        </w:rPr>
        <w:t>商业模式采用轻资产路径。收入由仿真评估费、平台年度授权费、项目交付费、SaaS 按单服务费和数据报告服务构成。以日均 3000 单校园小件配送场景测算，平台按 0.12 元/单收取调度服务费，年 SaaS 收入约 12.96 万元；叠加 8 万元年度授权费和 3 万元仿真评估服务费，单校园首年收入可超过 20 万元。</w:t>
      </w:r>
    </w:p>
    <w:p>
      <w:pPr/>
      <w:r>
        <w:rPr>
          <w:rFonts w:ascii="Times New Roman" w:hAnsi="Times New Roman" w:eastAsia="宋体"/>
          <w:color w:val="000000"/>
          <w:sz w:val="24"/>
        </w:rPr>
        <w:t>首批客户锁定高校后勤集团、大学科技园、产业园运营方、景区管理方、低空经济示范区和无人机/无人车硬件厂商。项目从湖南科技大学校园样板启动，建立快递驿站、宿舍区、教学区、食堂等高频点位的数字沙盘，随后复制到湘潭及周边园区、景区场景。</w:t>
      </w:r>
    </w:p>
    <w:p>
      <w:pPr/>
      <w:r>
        <w:rPr>
          <w:rFonts w:ascii="Times New Roman" w:hAnsi="Times New Roman" w:eastAsia="宋体"/>
          <w:color w:val="000000"/>
          <w:sz w:val="24"/>
        </w:rPr>
        <w:t>团队来自湖南科技大学计算机科学与工程学院，在舒红梅老师指导下推进研发与商业化设计。团队已完成仿真系统、策略对比、商业计划和路演材料多轮迭代，覆盖算法、系统、数据、商业和展示五类任务。项目计划在三年内完成 5 至 10 个校园/园区/景区试点，五年内形成低空绿色物流决策与调度平台。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高频需求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采购关注点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平台输出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校园快递/餐饮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驿站至宿舍区、食堂至宿舍区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高峰等待、准时率、学生体验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路线方案、设备数量、能耗报告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园区短驳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楼宇文件、小件、样品、餐饮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人力成本、服务效率、招商形象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成本测算、调度看板、月度报告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景区补给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游客服务点、补给点、应急点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路线长、安全边界、展示价值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安全路径、备用点、补给方案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硬件厂商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售前测算、联合交付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成交率、方案可信度、交付效率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评估工具、接口方案、客户报告</w:t>
            </w:r>
          </w:p>
        </w:tc>
      </w:tr>
    </w:tbl>
    <w:p>
      <w:pPr>
        <w:pStyle w:val="Heading1"/>
        <w:ind w:firstLine="0"/>
      </w:pPr>
      <w:r>
        <w:rPr>
          <w:rFonts w:ascii="Times New Roman" w:hAnsi="Times New Roman" w:eastAsia="黑体"/>
          <w:b/>
          <w:color w:val="000000"/>
          <w:sz w:val="36"/>
        </w:rPr>
        <w:t>第 1 章 项目背景与行业痛点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1.1 行业背景：低空经济进入场景验证期</w:t>
      </w:r>
    </w:p>
    <w:p>
      <w:pPr/>
      <w:r>
        <w:rPr>
          <w:rFonts w:ascii="Times New Roman" w:hAnsi="Times New Roman" w:eastAsia="宋体"/>
          <w:color w:val="000000"/>
          <w:sz w:val="24"/>
        </w:rPr>
        <w:t>低空经济进入应用验证阶段，物流配送、园区短驳、景区补给、应急物资运输成为首批高频落地场景。客户采购标准同步变化，从设备展示转向稳定运行、成本下降、安全闭环和数据复盘。</w:t>
      </w:r>
    </w:p>
    <w:p>
      <w:pPr/>
      <w:r>
        <w:rPr>
          <w:rFonts w:ascii="Times New Roman" w:hAnsi="Times New Roman" w:eastAsia="宋体"/>
          <w:color w:val="000000"/>
          <w:sz w:val="24"/>
        </w:rPr>
        <w:t>封闭与半封闭场景承担首批商业验证任务。校园、产业园、景区具备边界清晰、路线稳定、管理主体明确、订单需求集中四项条件，适合开展低空配送数字化评估与小范围试点。</w:t>
      </w:r>
    </w:p>
    <w:p>
      <w:pPr/>
      <w:r>
        <w:rPr>
          <w:rFonts w:ascii="Times New Roman" w:hAnsi="Times New Roman" w:eastAsia="宋体"/>
          <w:color w:val="000000"/>
          <w:sz w:val="24"/>
        </w:rPr>
        <w:t>低空物流的落地瓶颈集中在试点前决策环节。客户在采购设备前需要完成订单规模评估、路线适配评估、设备数量评估、成本收益评估和安全边界评估。缺少前置测算，硬件采购将直接面对设备闲置、路线错配和验收困难。</w:t>
      </w:r>
    </w:p>
    <w:p>
      <w:pPr/>
      <w:r>
        <w:rPr>
          <w:rFonts w:ascii="Times New Roman" w:hAnsi="Times New Roman" w:eastAsia="宋体"/>
          <w:color w:val="000000"/>
          <w:sz w:val="24"/>
        </w:rPr>
        <w:t>空地协同配送提供新的落地路径。AGV 承担移动中继、回收补能和地面支撑，UAV 承担短距离末端触达。二者协同后，低空配送从单次飞行演示进入可计算、可调度、可复盘的运营体系。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1.2 行业痛点：客户缺少试点前测算工具</w:t>
      </w:r>
    </w:p>
    <w:p>
      <w:pPr/>
      <w:r>
        <w:rPr>
          <w:rFonts w:ascii="Times New Roman" w:hAnsi="Times New Roman" w:eastAsia="宋体"/>
          <w:color w:val="000000"/>
          <w:sz w:val="24"/>
        </w:rPr>
        <w:t>客户采购低空物流前集中评估三项指标：设备投放规模、单票成本下降空间、安全与合规边界。三项指标缺失时，采购决策无法进入预算审批流程，试点也难以形成可验收结果。</w:t>
      </w:r>
    </w:p>
    <w:p>
      <w:pPr/>
      <w:r>
        <w:rPr>
          <w:rFonts w:ascii="Times New Roman" w:hAnsi="Times New Roman" w:eastAsia="宋体"/>
          <w:color w:val="000000"/>
          <w:sz w:val="24"/>
        </w:rPr>
        <w:t>设备投放规模决定初始预算。校园与园区客户需要确认 UAV 与 AGV 数量、站点位置、服务半径和运行班次。平台通过订单密度、路线距离和时间窗约束计算设备配置，降低一次性过量采购风险。</w:t>
      </w:r>
    </w:p>
    <w:p>
      <w:pPr/>
      <w:r>
        <w:rPr>
          <w:rFonts w:ascii="Times New Roman" w:hAnsi="Times New Roman" w:eastAsia="宋体"/>
          <w:color w:val="000000"/>
          <w:sz w:val="24"/>
        </w:rPr>
        <w:t>单票成本决定付费意愿。校园小件配送、园区文件短驳和景区补给均存在高频短途需求，客户关注每单节约金额、人力替代比例、能耗变化和回收周期。平台输出单票成本、月度节约额和年度优化价值。</w:t>
      </w:r>
    </w:p>
    <w:p>
      <w:pPr/>
      <w:r>
        <w:rPr>
          <w:rFonts w:ascii="Times New Roman" w:hAnsi="Times New Roman" w:eastAsia="宋体"/>
          <w:color w:val="000000"/>
          <w:sz w:val="24"/>
        </w:rPr>
        <w:t>安全边界决定试点审批。客户需要明确起降点、禁行区域、备用回收点、异常回退路径和责任边界。平台在方案输出中同步标注安全等级、路径风险和应急策略，形成试点审批材料。</w:t>
      </w:r>
    </w:p>
    <w:p>
      <w:pPr/>
      <w:r>
        <w:rPr>
          <w:rFonts w:ascii="Times New Roman" w:hAnsi="Times New Roman" w:eastAsia="宋体"/>
          <w:color w:val="000000"/>
          <w:sz w:val="24"/>
        </w:rPr>
        <w:t>试点前测算工具直接影响采购转化。评估报告、设备配置建议、经济性测算和安全方案构成客户内部立项的核心材料，也构成平台早期商业收入入口。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1.3 场景痛点：高频短途配送存在效率瓶颈</w:t>
      </w:r>
    </w:p>
    <w:p>
      <w:pPr/>
      <w:r>
        <w:rPr>
          <w:rFonts w:ascii="Times New Roman" w:hAnsi="Times New Roman" w:eastAsia="宋体"/>
          <w:color w:val="000000"/>
          <w:sz w:val="24"/>
        </w:rPr>
        <w:t>校园场景中，快递驿站、宿舍区、食堂、教学楼、校医院之间存在稳定短途配送需求。高峰期订单集中，传统人工配送和固定车辆配送在等待时间、人工调度和服务体验上存在明显压力。</w:t>
      </w:r>
    </w:p>
    <w:p>
      <w:pPr/>
      <w:r>
        <w:rPr>
          <w:rFonts w:ascii="Times New Roman" w:hAnsi="Times New Roman" w:eastAsia="宋体"/>
          <w:color w:val="000000"/>
          <w:sz w:val="24"/>
        </w:rPr>
        <w:t>园区场景中，企业楼宇之间的文件、小件、样品和餐饮短驳具有重复性强、路线固定、时效要求明确等特征。园区运营方采购智慧物流工具，核心目标是提升企业服务能力、降低短驳成本、增强招商展示效果。</w:t>
      </w:r>
    </w:p>
    <w:p>
      <w:pPr/>
      <w:r>
        <w:rPr>
          <w:rFonts w:ascii="Times New Roman" w:hAnsi="Times New Roman" w:eastAsia="宋体"/>
          <w:color w:val="000000"/>
          <w:sz w:val="24"/>
        </w:rPr>
        <w:t>景区场景中，游客服务点、补给点、观景台和应急点分布较散，传统人工补给路线长、响应慢、成本高。低空配送具备补给和应急价值，安全路径、备用点和运营边界需要提前完成测算。</w:t>
      </w:r>
    </w:p>
    <w:p>
      <w:pPr/>
      <w:r>
        <w:rPr>
          <w:rFonts w:ascii="Times New Roman" w:hAnsi="Times New Roman" w:eastAsia="宋体"/>
          <w:color w:val="000000"/>
          <w:sz w:val="24"/>
        </w:rPr>
        <w:t>三类场景形成统一需求：短途高频订单、固定服务点、明确管理主体、可量化运营指标。该需求结构适合通过数字沙盘、路线测算和空地协同调度完成标准化评估。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1.4 方案缺口：单一设备方案难以覆盖真实运营</w:t>
      </w:r>
    </w:p>
    <w:p>
      <w:pPr/>
      <w:r>
        <w:rPr>
          <w:rFonts w:ascii="Times New Roman" w:hAnsi="Times New Roman" w:eastAsia="宋体"/>
          <w:color w:val="000000"/>
          <w:sz w:val="24"/>
        </w:rPr>
        <w:t>纯 UAV 方案具备速度优势，运营限制集中在续航、载重、回收、天气、噪声、固定总站返航和审批边界。高频订单场景中，固定总站往返将增加无效飞行距离和电量消耗。</w:t>
      </w:r>
    </w:p>
    <w:p>
      <w:pPr/>
      <w:r>
        <w:rPr>
          <w:rFonts w:ascii="Times New Roman" w:hAnsi="Times New Roman" w:eastAsia="宋体"/>
          <w:color w:val="000000"/>
          <w:sz w:val="24"/>
        </w:rPr>
        <w:t>纯 AGV 方案具备稳定运行优势，运营限制集中在地面绕行、人流干扰、道路临时封闭、台阶与复杂楼宇末端触达。校园和园区内部路网变化频繁，纯地面配送难以覆盖全部高时效任务。</w:t>
      </w:r>
    </w:p>
    <w:p>
      <w:pPr/>
      <w:r>
        <w:rPr>
          <w:rFonts w:ascii="Times New Roman" w:hAnsi="Times New Roman" w:eastAsia="宋体"/>
          <w:color w:val="000000"/>
          <w:sz w:val="24"/>
        </w:rPr>
        <w:t>UAV-AGV 协同架构形成互补。AGV 将 UAV 起飞点前移至订单密集区域，UAV 执行短距离末端配送，AGV 同步承担回收补能与等待支撑。该架构降低固定总站长距离返航比例，提高 UAV 有效飞行占比。</w:t>
      </w:r>
    </w:p>
    <w:p>
      <w:pPr/>
      <w:r>
        <w:rPr>
          <w:rFonts w:ascii="Times New Roman" w:hAnsi="Times New Roman" w:eastAsia="宋体"/>
          <w:color w:val="000000"/>
          <w:sz w:val="24"/>
        </w:rPr>
        <w:t>协同方案的关键环节在调度系统。系统根据订单密度、时间窗、路网距离、候选中继点和设备参数，输出 UAV 直达、AGV 承运、UAV-AGV 协同三类策略，并同步生成成本、能耗和准时率对比结果。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1.5 项目机会：低空物流需要决策与调度平台</w:t>
      </w:r>
    </w:p>
    <w:p>
      <w:pPr/>
      <w:r>
        <w:rPr>
          <w:rFonts w:ascii="Times New Roman" w:hAnsi="Times New Roman" w:eastAsia="宋体"/>
          <w:color w:val="000000"/>
          <w:sz w:val="24"/>
        </w:rPr>
        <w:t>低空物流商业化的关键资产是场景决策能力、路径调度能力和运营复盘能力。硬件设备解决运输载体，调度平台解决设备组合、路线组织、能耗测算和试点验收。</w:t>
      </w:r>
    </w:p>
    <w:p>
      <w:pPr/>
      <w:r>
        <w:rPr>
          <w:rFonts w:ascii="Times New Roman" w:hAnsi="Times New Roman" w:eastAsia="宋体"/>
          <w:color w:val="000000"/>
          <w:sz w:val="24"/>
        </w:rPr>
        <w:t>空地绿配智控平台定位为低空物流试点前的数字化决策平台。平台交付路线测算、设备配置、候选中继点推荐、能耗评估、安全边界和运营看板，服务客户从方案论证到试点复盘的全过程。</w:t>
      </w:r>
    </w:p>
    <w:p>
      <w:pPr/>
      <w:r>
        <w:rPr>
          <w:rFonts w:ascii="Times New Roman" w:hAnsi="Times New Roman" w:eastAsia="宋体"/>
          <w:color w:val="000000"/>
          <w:sz w:val="24"/>
        </w:rPr>
        <w:t>平台输入订单、路网、设备续航、时间窗、中继点、安全边界和能耗参数；平台输出任务路线、设备数量、候选中继点、完成率、准时率、单任务能耗、单位距离能耗和碳排估算。</w:t>
      </w:r>
    </w:p>
    <w:p>
      <w:pPr/>
      <w:r>
        <w:rPr>
          <w:rFonts w:ascii="Times New Roman" w:hAnsi="Times New Roman" w:eastAsia="宋体"/>
          <w:color w:val="000000"/>
          <w:sz w:val="24"/>
        </w:rPr>
        <w:t>项目商业入口清晰。前端收入来自仿真评估和场景规划，中端收入来自年度平台授权和项目交付，后端收入来自 SaaS 按单服务和绿色运营报告。轻资产路径降低硬件采购、飞行资质和库存压力。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1.6 首批切入场景与验证路径</w:t>
      </w:r>
    </w:p>
    <w:p>
      <w:pPr/>
      <w:r>
        <w:rPr>
          <w:rFonts w:ascii="Times New Roman" w:hAnsi="Times New Roman" w:eastAsia="宋体"/>
          <w:color w:val="000000"/>
          <w:sz w:val="24"/>
        </w:rPr>
        <w:t>首批场景选择湖南科技大学校园。校园内快递驿站、宿舍区、教学区、食堂、校医院等点位具备高频短途配送需求，可验证订单聚类、候选中继点生成、协同调度和能耗测算。</w:t>
      </w:r>
    </w:p>
    <w:p>
      <w:pPr/>
      <w:r>
        <w:rPr>
          <w:rFonts w:ascii="Times New Roman" w:hAnsi="Times New Roman" w:eastAsia="宋体"/>
          <w:color w:val="000000"/>
          <w:sz w:val="24"/>
        </w:rPr>
        <w:t>校园样板交付物包括数字沙盘、路线测算报告、候选中继点图、设备配置建议、策略对比结果、能耗测算报告和演示视频。样板完成后形成客户沟通材料和外部复制模板。</w:t>
      </w:r>
    </w:p>
    <w:p>
      <w:pPr/>
      <w:r>
        <w:rPr>
          <w:rFonts w:ascii="Times New Roman" w:hAnsi="Times New Roman" w:eastAsia="宋体"/>
          <w:color w:val="000000"/>
          <w:sz w:val="24"/>
        </w:rPr>
        <w:t>第二阶段进入大学科技园和产业园区。园区客户具备付费能力和智慧园区建设需求，适合验证平台授权、项目交付和月度运营报告。</w:t>
      </w:r>
    </w:p>
    <w:p>
      <w:pPr/>
      <w:r>
        <w:rPr>
          <w:rFonts w:ascii="Times New Roman" w:hAnsi="Times New Roman" w:eastAsia="宋体"/>
          <w:color w:val="000000"/>
          <w:sz w:val="24"/>
        </w:rPr>
        <w:t>第三阶段进入景区补给和应急服务场景。景区客户关注安全路线、备用点、游客服务和智慧文旅展示，适合验证低空物流的示范价值。</w:t>
      </w:r>
    </w:p>
    <w:p>
      <w:pPr/>
      <w:r>
        <w:rPr>
          <w:rFonts w:ascii="Times New Roman" w:hAnsi="Times New Roman" w:eastAsia="宋体"/>
          <w:color w:val="000000"/>
          <w:sz w:val="24"/>
        </w:rPr>
        <w:t>验证路径为：校园数字沙盘验证产品能力，园区试点评估商业付费能力，景区补给验证示范扩散能力，硬件厂商合作扩大交付半径。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000000"/>
          <w:sz w:val="36"/>
        </w:rPr>
        <w:t>第 2 章 产品与核心技术 / 解决方案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2.1 产品形态</w:t>
      </w:r>
    </w:p>
    <w:p>
      <w:pPr/>
      <w:r>
        <w:rPr>
          <w:rFonts w:ascii="Times New Roman" w:hAnsi="Times New Roman" w:eastAsia="宋体"/>
          <w:color w:val="000000"/>
          <w:sz w:val="24"/>
        </w:rPr>
        <w:t>空地绿配智控平台由调度软件、评估报告和运营看板三部分组成。调度软件负责场景配置、订单导入、路径优化和结果输出；评估报告用于客户采购、预算审批和试点验收；运营看板记录试点运行中的完成率、准时率、设备利用率、能耗和异常情况。</w:t>
      </w:r>
    </w:p>
    <w:p>
      <w:pPr/>
      <w:r>
        <w:rPr>
          <w:rFonts w:ascii="Times New Roman" w:hAnsi="Times New Roman" w:eastAsia="宋体"/>
          <w:color w:val="000000"/>
          <w:sz w:val="24"/>
        </w:rPr>
        <w:t>平台输入包括总站、服务点、道路网络、候选中继点、禁行区、订单时间窗、UAV 参数、AGV 参数和能耗参数。平台输出包括路线序列、设备配置建议、中继点推荐、完成率、准时率、单任务能耗、单位距离能耗和成本测算。</w:t>
      </w:r>
    </w:p>
    <w:p>
      <w:pPr/>
      <w:r>
        <w:rPr>
          <w:rFonts w:ascii="Times New Roman" w:hAnsi="Times New Roman" w:eastAsia="宋体"/>
          <w:color w:val="000000"/>
          <w:sz w:val="24"/>
        </w:rPr>
        <w:t>产品面向三类使用者：管理层关注投入产出和绿色报告，运营人员关注任务路线和设备状态，硬件厂商关注接口方案和客户交付报告。三类使用者使用同一套场景数据，分别获得经营、运营和交付结果。</w:t>
      </w:r>
    </w:p>
    <w:p>
      <w:pPr/>
      <w:r>
        <w:rPr>
          <w:rFonts w:ascii="Times New Roman" w:hAnsi="Times New Roman" w:eastAsia="宋体"/>
          <w:color w:val="000000"/>
          <w:sz w:val="24"/>
        </w:rPr>
        <w:t>部署方式采用轻量化 SaaS 与项目制交付结合。种子客户阶段交付本地演示和评估报告，试点客户阶段交付云端账户、场景配置模板、月度复盘和年度优化建议。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2.2 功能模块与验证水平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3154"/>
        <w:gridCol w:w="3154"/>
        <w:gridCol w:w="3154"/>
      </w:tblGrid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客户价值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验证水平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场景建模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将路网、服务点、禁行区转为可计算模型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已支持校园点位与路网配置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中继点推荐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减少 UAV 固定总站返航距离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已形成多条件筛选规则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ALNS 调度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输出成本、能耗、准时率综合较优路线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已完成基线与协同策略对比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动态回退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异常任务切换备用路径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已定义 6 类异常处理规则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能耗测算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生成单任务能耗与碳排对比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已输出 18.9% 能耗下降结果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运营看板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支撑客户月度复盘和续费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已形成指标框架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 w:eastAsia="宋体"/>
          <w:color w:val="000000"/>
          <w:sz w:val="24"/>
        </w:rPr>
        <w:t>功能模块按照客户可见结果设计。场景建模输出数字沙盘，中继点推荐输出点位优先级，调度算法输出路线方案，能耗测算输出绿色报告，运营看板输出月度复盘数据。</w:t>
      </w:r>
    </w:p>
    <w:p>
      <w:pPr/>
      <w:r>
        <w:rPr>
          <w:rFonts w:ascii="Times New Roman" w:hAnsi="Times New Roman" w:eastAsia="宋体"/>
          <w:color w:val="000000"/>
          <w:sz w:val="24"/>
        </w:rPr>
        <w:t>验证水平分为已完成、已定义和待扩展三类。已完成模块进入样板交付，已定义模块进入试点开发，待扩展模块进入中长期路线。客户报价与验证水平绑定，降低交付承诺风险。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2.3 ALNS 路径优化算法</w:t>
      </w:r>
    </w:p>
    <w:p>
      <w:pPr/>
      <w:r>
        <w:rPr>
          <w:rFonts w:ascii="Times New Roman" w:hAnsi="Times New Roman" w:eastAsia="宋体"/>
          <w:color w:val="000000"/>
          <w:sz w:val="24"/>
        </w:rPr>
        <w:t>ALNS 已用于 UAV-AGV 协同路径优化，覆盖续航、时间窗、中继点、设备数量、动态回退和能耗六项约束。算法输出完成率、准时率、路线距离、等待时间和能耗成本五类指标。</w:t>
      </w:r>
    </w:p>
    <w:p>
      <w:pPr/>
      <w:r>
        <w:rPr>
          <w:rFonts w:ascii="Times New Roman" w:hAnsi="Times New Roman" w:eastAsia="宋体"/>
          <w:color w:val="000000"/>
          <w:sz w:val="24"/>
        </w:rPr>
        <w:t>算法流程包括初始解生成、破坏算子、修复算子、自适应权重更新和结果评价。破坏算子用于打散局部路线组合，修复算子重新插入订单与中继点，自适应权重根据历史表现调整搜索方向。</w:t>
      </w:r>
    </w:p>
    <w:p>
      <w:pPr/>
      <w:r>
        <w:rPr>
          <w:rFonts w:ascii="Times New Roman" w:hAnsi="Times New Roman" w:eastAsia="宋体"/>
          <w:color w:val="000000"/>
          <w:sz w:val="24"/>
        </w:rPr>
        <w:t>目标函数同时计算距离成本、等待成本、能耗成本和任务失败惩罚。路线结果按照客户采购关注维度输出效率优先、能耗优先、成本优先三类方案。</w:t>
      </w:r>
    </w:p>
    <w:p>
      <w:pPr/>
      <w:r>
        <w:rPr>
          <w:rFonts w:ascii="Times New Roman" w:hAnsi="Times New Roman" w:eastAsia="宋体"/>
          <w:color w:val="000000"/>
          <w:sz w:val="24"/>
        </w:rPr>
        <w:t>现阶段算法服务仿真评估和小规模样板。下一阶段将加入实时订单、天气限制、设备状态和人工接管记录，形成动态调度版本。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2.4 候选中继点生成与筛选</w:t>
      </w:r>
    </w:p>
    <w:p>
      <w:pPr/>
      <w:r>
        <w:rPr>
          <w:rFonts w:ascii="Times New Roman" w:hAnsi="Times New Roman" w:eastAsia="宋体"/>
          <w:color w:val="000000"/>
          <w:sz w:val="24"/>
        </w:rPr>
        <w:t>候选中继点决定 AGV 停靠位置和 UAV 起降位置。平台筛选候选点时同时考虑订单覆盖率、AGV 到达成本、UAV 往返距离、起降安全等级和备用点可用性。</w:t>
      </w:r>
    </w:p>
    <w:p>
      <w:pPr/>
      <w:r>
        <w:rPr>
          <w:rFonts w:ascii="Times New Roman" w:hAnsi="Times New Roman" w:eastAsia="宋体"/>
          <w:color w:val="000000"/>
          <w:sz w:val="24"/>
        </w:rPr>
        <w:t>当前筛选规则包括五项：覆盖订单点数量不少于 3 个，AGV 绕行距离不高于 200 米，UAV 起降区安全等级不低于 B，距离禁行区域保持安全缓冲，具备回收和等待条件。</w:t>
      </w:r>
    </w:p>
    <w:p>
      <w:pPr/>
      <w:r>
        <w:rPr>
          <w:rFonts w:ascii="Times New Roman" w:hAnsi="Times New Roman" w:eastAsia="宋体"/>
          <w:color w:val="000000"/>
          <w:sz w:val="24"/>
        </w:rPr>
        <w:t>中继点结果直接服务客户选址。校园场景用于判断 AGV 停靠位置，园区场景用于判断楼宇服务半径，景区场景用于判断补给点与应急点覆盖关系。</w:t>
      </w:r>
    </w:p>
    <w:p>
      <w:pPr/>
      <w:r>
        <w:rPr>
          <w:rFonts w:ascii="Times New Roman" w:hAnsi="Times New Roman" w:eastAsia="宋体"/>
          <w:color w:val="000000"/>
          <w:sz w:val="24"/>
        </w:rPr>
        <w:t>候选中继点模块是平台区别于普通路径规划工具的重要能力。普通路径规划只输出路线，平台同步输出设备停靠位置、覆盖订单范围和返航距离节约空间。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2.5 动态回退与异常处理</w:t>
      </w:r>
    </w:p>
    <w:p>
      <w:pPr/>
      <w:r>
        <w:rPr>
          <w:rFonts w:ascii="Times New Roman" w:hAnsi="Times New Roman" w:eastAsia="宋体"/>
          <w:color w:val="000000"/>
          <w:sz w:val="24"/>
        </w:rPr>
        <w:t>低空物流试点需要提前配置异常处理规则。平台已定义 UAV 低电量、通信中断、临时禁飞、订单取消、地面路障、起降点占用六类异常，并为每类异常配置备用回退策略。</w:t>
      </w:r>
    </w:p>
    <w:p>
      <w:pPr/>
      <w:r>
        <w:rPr>
          <w:rFonts w:ascii="Times New Roman" w:hAnsi="Times New Roman" w:eastAsia="宋体"/>
          <w:color w:val="000000"/>
          <w:sz w:val="24"/>
        </w:rPr>
        <w:t>UAV 低电量触发最近安全回收点，通信中断触发原路返回或安全等待，临时禁飞触发 AGV 接管，订单取消触发局部重优化，地面路障触发 AGV 改道，起降点占用触发备用中继点。</w:t>
      </w:r>
    </w:p>
    <w:p>
      <w:pPr/>
      <w:r>
        <w:rPr>
          <w:rFonts w:ascii="Times New Roman" w:hAnsi="Times New Roman" w:eastAsia="宋体"/>
          <w:color w:val="000000"/>
          <w:sz w:val="24"/>
        </w:rPr>
        <w:t>异常处理结果进入运营看板。看板记录异常类型、触发次数、处理时长和任务影响，客户在月度复盘中查看系统稳定性。</w:t>
      </w:r>
    </w:p>
    <w:p>
      <w:pPr/>
      <w:r>
        <w:rPr>
          <w:rFonts w:ascii="Times New Roman" w:hAnsi="Times New Roman" w:eastAsia="宋体"/>
          <w:color w:val="000000"/>
          <w:sz w:val="24"/>
        </w:rPr>
        <w:t>动态回退机制服务真实试点。平台在仿真阶段提前生成备用路径和备用点，降低试点过程中人工临时决策比例。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2.6 技术验证结果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基线直送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空地协同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提升效果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任务完成率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 个百分点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准时率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 个百分点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单任务能耗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61.26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49.70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下降约 18.9%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单位距离能耗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0.226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0.187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下降约 17.3%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 w:eastAsia="宋体"/>
          <w:color w:val="000000"/>
          <w:sz w:val="24"/>
        </w:rPr>
        <w:t>验证结果来自现有仿真系统的策略对比。协同方案在完成率、准时率和能耗指标上优于基线直送，形成项目技术可行性依据。</w:t>
      </w:r>
    </w:p>
    <w:p>
      <w:pPr/>
      <w:r>
        <w:rPr>
          <w:rFonts w:ascii="Times New Roman" w:hAnsi="Times New Roman" w:eastAsia="宋体"/>
          <w:color w:val="000000"/>
          <w:sz w:val="24"/>
        </w:rPr>
        <w:t>能耗结果进入商业测算。以校园高频小件配送为例，能耗下降叠加路线优化和等待减少，可转化为单票成本下降空间。</w:t>
      </w:r>
    </w:p>
    <w:p>
      <w:pPr/>
      <w:r>
        <w:rPr>
          <w:rFonts w:ascii="Times New Roman" w:hAnsi="Times New Roman" w:eastAsia="宋体"/>
          <w:color w:val="000000"/>
          <w:sz w:val="24"/>
        </w:rPr>
        <w:t>下一阶段验证目标为：100 单订单规模计算时间控制在 5 秒以内，500 单场景完成分区优化，真实路网样板输出月度运营报告。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2.7 产品交付清单</w:t>
      </w:r>
    </w:p>
    <w:p>
      <w:pPr/>
      <w:r>
        <w:rPr>
          <w:rFonts w:ascii="Times New Roman" w:hAnsi="Times New Roman" w:eastAsia="宋体"/>
          <w:color w:val="000000"/>
          <w:sz w:val="24"/>
        </w:rPr>
        <w:t>调度软件交付场景配置、订单导入、路线优化、候选中继点输出和指标看板。评估报告交付设备数量建议、路线方案、成本测算、能耗测算和安全边界。运营看板交付完成率、准时率、平均等待时间、设备利用率和异常记录。</w:t>
      </w:r>
    </w:p>
    <w:p>
      <w:pPr/>
      <w:r>
        <w:rPr>
          <w:rFonts w:ascii="Times New Roman" w:hAnsi="Times New Roman" w:eastAsia="宋体"/>
          <w:color w:val="000000"/>
          <w:sz w:val="24"/>
        </w:rPr>
        <w:t>部署清单交付客户联系人、数据清单、设备参数、时间计划和验收指标。销售包交付项目介绍、演示视频、典型场景方案、报价单和合作方案。</w:t>
      </w:r>
    </w:p>
    <w:p>
      <w:pPr/>
      <w:r>
        <w:rPr>
          <w:rFonts w:ascii="Times New Roman" w:hAnsi="Times New Roman" w:eastAsia="宋体"/>
          <w:color w:val="000000"/>
          <w:sz w:val="24"/>
        </w:rPr>
        <w:t>交付清单按客户购买阶段配置。评估客户购买报告与方案，试点客户购买软件与部署清单，长期客户购买运营看板和月度复盘服务。</w:t>
      </w:r>
    </w:p>
    <w:p>
      <w:pPr/>
      <w:r>
        <w:rPr>
          <w:rFonts w:ascii="Times New Roman" w:hAnsi="Times New Roman" w:eastAsia="宋体"/>
          <w:color w:val="000000"/>
          <w:sz w:val="24"/>
        </w:rPr>
        <w:t>每项交付物对应验收标准。软件验收看功能可用，报告验收看指标完整，部署清单验收看数据齐备，看板验收看月度复盘可用。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2.8 用户使用流程</w:t>
      </w:r>
    </w:p>
    <w:p>
      <w:pPr/>
      <w:r>
        <w:rPr>
          <w:rFonts w:ascii="Times New Roman" w:hAnsi="Times New Roman" w:eastAsia="宋体"/>
          <w:color w:val="000000"/>
          <w:sz w:val="24"/>
        </w:rPr>
        <w:t>平台使用流程为：场景初始化、订单导入、策略选择、调度计算、方案对比、报告导出。场景初始化录入总站、道路节点、服务终点、禁行区域、候选中继点和设备参数。</w:t>
      </w:r>
    </w:p>
    <w:p>
      <w:pPr/>
      <w:r>
        <w:rPr>
          <w:rFonts w:ascii="Times New Roman" w:hAnsi="Times New Roman" w:eastAsia="宋体"/>
          <w:color w:val="000000"/>
          <w:sz w:val="24"/>
        </w:rPr>
        <w:t>订单导入支持历史订单、模拟订单和客户填写样本。策略选择包含传统直送、纯 UAV、纯 AGV、UAV-AGV 协同四类模式。调度计算输出路线与指标，方案对比展示成本、能耗、准时率和设备利用率。</w:t>
      </w:r>
    </w:p>
    <w:p>
      <w:pPr/>
      <w:r>
        <w:rPr>
          <w:rFonts w:ascii="Times New Roman" w:hAnsi="Times New Roman" w:eastAsia="宋体"/>
          <w:color w:val="000000"/>
          <w:sz w:val="24"/>
        </w:rPr>
        <w:t>报告导出服务客户内部汇报和试点决策。报告模板包含场景概况、订单假设、设备建议、路线图、绿色指标、风险边界和预算建议。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2.9 技术壁垒</w:t>
      </w:r>
    </w:p>
    <w:p>
      <w:pPr/>
      <w:r>
        <w:rPr>
          <w:rFonts w:ascii="Times New Roman" w:hAnsi="Times New Roman" w:eastAsia="宋体"/>
          <w:color w:val="000000"/>
          <w:sz w:val="24"/>
        </w:rPr>
        <w:t>第一项壁垒是场景数据结构。平台将校园、园区、景区的路网、订单、禁行区、起降点和设备参数转化为统一计算模型。</w:t>
      </w:r>
    </w:p>
    <w:p>
      <w:pPr/>
      <w:r>
        <w:rPr>
          <w:rFonts w:ascii="Times New Roman" w:hAnsi="Times New Roman" w:eastAsia="宋体"/>
          <w:color w:val="000000"/>
          <w:sz w:val="24"/>
        </w:rPr>
        <w:t>第二项壁垒是空地协同约束。算法同时处理 UAV 续航、AGV 移动、中继点选择、时间窗、回收补能和异常回退。</w:t>
      </w:r>
    </w:p>
    <w:p>
      <w:pPr/>
      <w:r>
        <w:rPr>
          <w:rFonts w:ascii="Times New Roman" w:hAnsi="Times New Roman" w:eastAsia="宋体"/>
          <w:color w:val="000000"/>
          <w:sz w:val="24"/>
        </w:rPr>
        <w:t>第三项壁垒是绿色指标模型。平台把路线结果转化为单任务能耗、单位距离能耗和碳排估算，形成客户可汇报数据。</w:t>
      </w:r>
    </w:p>
    <w:p>
      <w:pPr/>
      <w:r>
        <w:rPr>
          <w:rFonts w:ascii="Times New Roman" w:hAnsi="Times New Roman" w:eastAsia="宋体"/>
          <w:color w:val="000000"/>
          <w:sz w:val="24"/>
        </w:rPr>
        <w:t>第四项壁垒是交付模板。每完成一个试点，项目沉淀场景配置、报告模板、验收指标和客户复盘流程，提高复制效率。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2.10 产品迭代计划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核心能力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64" w:lineRule="auto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商业目标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 沙盘演示版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场景建模、策略对比、能耗看板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完成比赛展示和校园样板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V2.0 试点决策版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2027 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ALNS 优化、中继点推荐、报告导出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支撑校园/园区付费评估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V3.0 运营管理版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2028 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订单接口、异常回退、月度报表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形成年度授权与续费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V4.0 平台扩展版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2029 年后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多场景模板、厂商接口、数据服务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区域复制与生态合作</w:t>
            </w:r>
          </w:p>
        </w:tc>
      </w:tr>
    </w:tbl>
    <w:p>
      <w:pPr>
        <w:spacing w:after="40"/>
      </w:pPr>
    </w:p>
    <w:p>
      <w:pPr/>
      <w:r>
        <w:rPr>
          <w:rFonts w:ascii="Times New Roman" w:hAnsi="Times New Roman" w:eastAsia="宋体"/>
          <w:color w:val="000000"/>
          <w:sz w:val="24"/>
        </w:rPr>
        <w:t>V1.0 输出演示可信度，V2.0 输出客户决策价值，V3.0 输出续费价值，V4.0 输出生态合作价值。</w:t>
      </w:r>
    </w:p>
    <w:p>
      <w:pPr/>
      <w:r>
        <w:rPr>
          <w:rFonts w:ascii="Times New Roman" w:hAnsi="Times New Roman" w:eastAsia="宋体"/>
          <w:color w:val="000000"/>
          <w:sz w:val="24"/>
        </w:rPr>
        <w:t>产品迭代与收入阶段同步。评估费对应 V1.0-V2.0，年度授权对应 V2.0-V3.0，按单 SaaS 和数据服务对应 V3.0-V4.0。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6"/>
        </w:rPr>
        <w:t>第 3 章 市场分析与竞品对比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3.1 目标市场</w:t>
      </w:r>
    </w:p>
    <w:p>
      <w:pPr/>
      <w:r>
        <w:rPr>
          <w:rFonts w:ascii="Times New Roman" w:hAnsi="Times New Roman" w:eastAsia="宋体"/>
          <w:color w:val="000000"/>
          <w:sz w:val="24"/>
        </w:rPr>
        <w:t>目标市场：高校、园区、景区三类封闭场景。三类场景具备配送频次高、路线边界清晰、管理主体明确、绿色示范需求强四项特征。</w:t>
      </w:r>
    </w:p>
    <w:p>
      <w:pPr/>
      <w:r>
        <w:rPr>
          <w:rFonts w:ascii="Times New Roman" w:hAnsi="Times New Roman" w:eastAsia="宋体"/>
          <w:color w:val="000000"/>
          <w:sz w:val="24"/>
        </w:rPr>
        <w:t>首批可触达市场包括湖南科技大学校园、湘潭周边大学科技园、湘潭及长沙产业园区、周边景区补给场景和无人机/无人车厂商售前渠道。</w:t>
      </w:r>
    </w:p>
    <w:p>
      <w:pPr/>
      <w:r>
        <w:rPr>
          <w:rFonts w:ascii="Times New Roman" w:hAnsi="Times New Roman" w:eastAsia="宋体"/>
          <w:color w:val="000000"/>
          <w:sz w:val="24"/>
        </w:rPr>
        <w:t>市场切入不依赖城市开放空域。封闭场景试点周期更短，客户沟通成本更低，安全责任边界更清晰，适合大学生团队完成首批商业验证。</w:t>
      </w:r>
    </w:p>
    <w:p>
      <w:pPr/>
      <w:r>
        <w:rPr>
          <w:rFonts w:ascii="Times New Roman" w:hAnsi="Times New Roman" w:eastAsia="宋体"/>
          <w:color w:val="000000"/>
          <w:sz w:val="24"/>
        </w:rPr>
        <w:t>市场扩张路径由近场景向区域场景推进。校园样板形成后，进入大学科技园和产业园；园区案例形成后，与硬件厂商打包进入更多封闭场景。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3.2 目标客户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客户类型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购买场景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付费动机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高校后勤集团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快递、餐饮、教学物资短驳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绿色校园、服务效率、创新展示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最高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产业园运营方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楼宇文件、小件、餐饮、样品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智慧园区、企业服务、招商形象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景区管理方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补给、应急、游客服务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智慧文旅、应急响应、低空示范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中高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硬件厂商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售前测算、联合交付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提高成交率、增强方案完整度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低空示范区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试点规划、项目申报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政策示范、数据报告、区域样板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中高</w:t>
            </w:r>
          </w:p>
        </w:tc>
      </w:tr>
    </w:tbl>
    <w:p/>
    <w:p>
      <w:pPr/>
      <w:r>
        <w:rPr>
          <w:rFonts w:ascii="Times New Roman" w:hAnsi="Times New Roman" w:eastAsia="宋体"/>
          <w:color w:val="000000"/>
          <w:sz w:val="24"/>
        </w:rPr>
        <w:t>高校客户承担首个样板价值。后勤部门关注配送效率和服务体验，学校管理部门关注绿色校园和创新创业成果。</w:t>
      </w:r>
    </w:p>
    <w:p>
      <w:pPr/>
      <w:r>
        <w:rPr>
          <w:rFonts w:ascii="Times New Roman" w:hAnsi="Times New Roman" w:eastAsia="宋体"/>
          <w:color w:val="000000"/>
          <w:sz w:val="24"/>
        </w:rPr>
        <w:t>园区客户承担商业验证价值。园区运营方具备付费能力，关注企业服务效率、运营成本和智慧园区标签。</w:t>
      </w:r>
    </w:p>
    <w:p>
      <w:pPr/>
      <w:r>
        <w:rPr>
          <w:rFonts w:ascii="Times New Roman" w:hAnsi="Times New Roman" w:eastAsia="宋体"/>
          <w:color w:val="000000"/>
          <w:sz w:val="24"/>
        </w:rPr>
        <w:t>硬件厂商承担渠道价值。厂商提供 UAV/AGV 设备，平台提供调度与测算能力，双方形成联合解决方案。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3.3 市场切入路径</w:t>
      </w:r>
    </w:p>
    <w:p>
      <w:pPr/>
      <w:r>
        <w:rPr>
          <w:rFonts w:ascii="Times New Roman" w:hAnsi="Times New Roman" w:eastAsia="宋体"/>
          <w:color w:val="000000"/>
          <w:sz w:val="24"/>
        </w:rPr>
        <w:t>第一阶段：校园样板。目标是完成湖南科技大学校园数字沙盘、仿真评估报告、演示视频和校内场景证明。</w:t>
      </w:r>
    </w:p>
    <w:p>
      <w:pPr/>
      <w:r>
        <w:rPr>
          <w:rFonts w:ascii="Times New Roman" w:hAnsi="Times New Roman" w:eastAsia="宋体"/>
          <w:color w:val="000000"/>
          <w:sz w:val="24"/>
        </w:rPr>
        <w:t>第二阶段：园区评估。目标是完成 3 至 5 个大学科技园或产业园的场景评估，形成付费咨询和平台授权意向。</w:t>
      </w:r>
    </w:p>
    <w:p>
      <w:pPr/>
      <w:r>
        <w:rPr>
          <w:rFonts w:ascii="Times New Roman" w:hAnsi="Times New Roman" w:eastAsia="宋体"/>
          <w:color w:val="000000"/>
          <w:sz w:val="24"/>
        </w:rPr>
        <w:t>第三阶段：联合交付。目标是与 UAV/AGV 厂商共同完成 2 个软硬件联合试点，提高项目客单价和交付可信度。</w:t>
      </w:r>
    </w:p>
    <w:p>
      <w:pPr/>
      <w:r>
        <w:rPr>
          <w:rFonts w:ascii="Times New Roman" w:hAnsi="Times New Roman" w:eastAsia="宋体"/>
          <w:color w:val="000000"/>
          <w:sz w:val="24"/>
        </w:rPr>
        <w:t>第四阶段：区域复制。目标是在湘潭、长沙、株洲周边形成多场景案例，复制至更多高校、园区和景区。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3.4 竞品对比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纯 UAV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纯 AGV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人工配送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空地绿配智控平台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效率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空中直达快，返航占比高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地面稳定，绕行多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灵活，效率受人工影响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UAV 末端 + AGV 中继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设备维护与电池损耗高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车辆数量与等待成本高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人工成本持续上升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按场景测算设备与路线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审批与起降要求高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道路环境影响大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成熟但管理粗放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先仿真评估再试点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绿色指标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单机能耗可记录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地面能耗可记录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难形成系统指标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自动输出能耗与碳排报告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商业化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重硬件销售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重设备交付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服务外包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轻资产平台与数据服务</w:t>
            </w:r>
          </w:p>
        </w:tc>
      </w:tr>
    </w:tbl>
    <w:p/>
    <w:p>
      <w:pPr/>
      <w:r>
        <w:rPr>
          <w:rFonts w:ascii="Times New Roman" w:hAnsi="Times New Roman" w:eastAsia="宋体"/>
          <w:color w:val="000000"/>
          <w:sz w:val="24"/>
        </w:rPr>
        <w:t>相比纯无人机，本项目增加 AGV 中继，降低固定总站返航比例。相比纯无人车，本项目增加空中末端触达，减少复杂路网绕行。相比人工配送，本项目增加调度优化、能耗测算和运营数据沉淀。</w:t>
      </w:r>
    </w:p>
    <w:p>
      <w:pPr/>
      <w:r>
        <w:rPr>
          <w:rFonts w:ascii="Times New Roman" w:hAnsi="Times New Roman" w:eastAsia="宋体"/>
          <w:color w:val="000000"/>
          <w:sz w:val="24"/>
        </w:rPr>
        <w:t>平台价值集中在试点前决策和试点后优化。硬件企业解决设备供给，平台解决设备如何组合、路线如何安排、绿色指标如何输出。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3.5 进入壁垒</w:t>
      </w:r>
    </w:p>
    <w:p>
      <w:pPr/>
      <w:r>
        <w:rPr>
          <w:rFonts w:ascii="Times New Roman" w:hAnsi="Times New Roman" w:eastAsia="宋体"/>
          <w:color w:val="000000"/>
          <w:sz w:val="24"/>
        </w:rPr>
        <w:t>场景数据壁垒：校园、园区、景区的路网、楼宇、禁行区、订单密度和时间窗均具有本地差异。平台沉淀的配置模板越多，新客户测算越快。</w:t>
      </w:r>
    </w:p>
    <w:p>
      <w:pPr/>
      <w:r>
        <w:rPr>
          <w:rFonts w:ascii="Times New Roman" w:hAnsi="Times New Roman" w:eastAsia="宋体"/>
          <w:color w:val="000000"/>
          <w:sz w:val="24"/>
        </w:rPr>
        <w:t>算法约束壁垒：空地协同需要同时处理 UAV 与 AGV 的移动、等待、续航、回收和中继点选择，复杂度高于单一设备路线规划。</w:t>
      </w:r>
    </w:p>
    <w:p>
      <w:pPr/>
      <w:r>
        <w:rPr>
          <w:rFonts w:ascii="Times New Roman" w:hAnsi="Times New Roman" w:eastAsia="宋体"/>
          <w:color w:val="000000"/>
          <w:sz w:val="24"/>
        </w:rPr>
        <w:t>绿色指标壁垒：平台把能耗和碳排纳入路线结果，形成客户可汇报数据。</w:t>
      </w:r>
    </w:p>
    <w:p>
      <w:pPr/>
      <w:r>
        <w:rPr>
          <w:rFonts w:ascii="Times New Roman" w:hAnsi="Times New Roman" w:eastAsia="宋体"/>
          <w:color w:val="000000"/>
          <w:sz w:val="24"/>
        </w:rPr>
        <w:t>交付流程壁垒：需求调研、场景建模、仿真评估、方案确认、试点部署、运营复盘形成标准流程，降低复制成本。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3.6 首批可触达市场</w:t>
      </w:r>
    </w:p>
    <w:p>
      <w:pPr/>
      <w:r>
        <w:rPr>
          <w:rFonts w:ascii="Times New Roman" w:hAnsi="Times New Roman" w:eastAsia="宋体"/>
          <w:color w:val="000000"/>
          <w:sz w:val="24"/>
        </w:rPr>
        <w:t>首批可触达实体超过 50 个，包括本校及周边高校、大学科技园、产业园区、景区运营主体、无人机企业和无人车企业。团队优先筛选沟通半径短、场景边界清晰、试点意愿强的客户。</w:t>
      </w:r>
    </w:p>
    <w:p>
      <w:pPr/>
      <w:r>
        <w:rPr>
          <w:rFonts w:ascii="Times New Roman" w:hAnsi="Times New Roman" w:eastAsia="宋体"/>
          <w:color w:val="000000"/>
          <w:sz w:val="24"/>
        </w:rPr>
        <w:t>校园客户以湖南科技大学为起点，延伸至湘潭周边高校。园区客户以大学科技园和产业园为重点，匹配智慧园区建设需求。景区客户以补给和应急场景为切入点，匹配智慧文旅需求。</w:t>
      </w:r>
    </w:p>
    <w:p>
      <w:pPr/>
      <w:r>
        <w:rPr>
          <w:rFonts w:ascii="Times New Roman" w:hAnsi="Times New Roman" w:eastAsia="宋体"/>
          <w:color w:val="000000"/>
          <w:sz w:val="24"/>
        </w:rPr>
        <w:t>渠道客户以硬件厂商为重点。平台作为售前测算和联合交付工具，嵌入厂商解决方案，提高设备方案成交率。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3.7 客户决策链条</w:t>
      </w:r>
    </w:p>
    <w:p>
      <w:pPr/>
      <w:r>
        <w:rPr>
          <w:rFonts w:ascii="Times New Roman" w:hAnsi="Times New Roman" w:eastAsia="宋体"/>
          <w:color w:val="000000"/>
          <w:sz w:val="24"/>
        </w:rPr>
        <w:t>校园客户决策链：后勤集团提出需求，保卫部门确认安全边界，信息化部门评估系统接入，创新创业学院提供示范支持，学校管理层批准试点。</w:t>
      </w:r>
    </w:p>
    <w:p>
      <w:pPr/>
      <w:r>
        <w:rPr>
          <w:rFonts w:ascii="Times New Roman" w:hAnsi="Times New Roman" w:eastAsia="宋体"/>
          <w:color w:val="000000"/>
          <w:sz w:val="24"/>
        </w:rPr>
        <w:t>园区客户决策链：运营公司提出服务升级需求，物业部门提供路线与点位，招商或企业服务部门评估示范价值，管理层批准预算。</w:t>
      </w:r>
    </w:p>
    <w:p>
      <w:pPr/>
      <w:r>
        <w:rPr>
          <w:rFonts w:ascii="Times New Roman" w:hAnsi="Times New Roman" w:eastAsia="宋体"/>
          <w:color w:val="000000"/>
          <w:sz w:val="24"/>
        </w:rPr>
        <w:t>景区客户决策链：游客服务部门提出补给需求，安保部门确认安全范围，应急部门确认备用方案，景区管理层批准试点。</w:t>
      </w:r>
    </w:p>
    <w:p>
      <w:pPr/>
      <w:r>
        <w:rPr>
          <w:rFonts w:ascii="Times New Roman" w:hAnsi="Times New Roman" w:eastAsia="宋体"/>
          <w:color w:val="000000"/>
          <w:sz w:val="24"/>
        </w:rPr>
        <w:t>硬件厂商决策链：销售团队提出客户需求，方案团队使用平台测算，技术团队对接接口，交付团队执行现场部署。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3.8 量化差异</w:t>
      </w:r>
    </w:p>
    <w:p>
      <w:pPr/>
      <w:r>
        <w:rPr>
          <w:rFonts w:ascii="Times New Roman" w:hAnsi="Times New Roman" w:eastAsia="宋体"/>
          <w:color w:val="000000"/>
          <w:sz w:val="24"/>
        </w:rPr>
        <w:t>差异一：固定总站返航距离下降。AGV 移动中继把 UAV 起飞点前移至订单密集区域，仿真场景中 UAV 无效返航比例下降。</w:t>
      </w:r>
    </w:p>
    <w:p>
      <w:pPr/>
      <w:r>
        <w:rPr>
          <w:rFonts w:ascii="Times New Roman" w:hAnsi="Times New Roman" w:eastAsia="宋体"/>
          <w:color w:val="000000"/>
          <w:sz w:val="24"/>
        </w:rPr>
        <w:t>差异二：设备利用率提升。平台按订单密度分配 UAV 与 AGV 任务，减少设备等待和空驶。</w:t>
      </w:r>
    </w:p>
    <w:p>
      <w:pPr/>
      <w:r>
        <w:rPr>
          <w:rFonts w:ascii="Times New Roman" w:hAnsi="Times New Roman" w:eastAsia="宋体"/>
          <w:color w:val="000000"/>
          <w:sz w:val="24"/>
        </w:rPr>
        <w:t>差异三：能耗报告自动生成。每次路线计算同步输出单任务能耗、单位距离能耗和碳排估算，服务客户绿色运营汇报。</w:t>
      </w:r>
    </w:p>
    <w:p>
      <w:pPr/>
      <w:r>
        <w:rPr>
          <w:rFonts w:ascii="Times New Roman" w:hAnsi="Times New Roman" w:eastAsia="宋体"/>
          <w:color w:val="000000"/>
          <w:sz w:val="24"/>
        </w:rPr>
        <w:t>差异四：采购前测算。客户在硬件采购前获得设备数量、路线方案、成本收益和安全边界，降低试点失败风险。</w:t>
      </w:r>
    </w:p>
    <w:p>
      <w:r>
        <w:br w:type="page"/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3.9 市场规模测算口径</w:t>
      </w:r>
    </w:p>
    <w:p>
      <w:pPr/>
      <w:r>
        <w:rPr>
          <w:rFonts w:ascii="Times New Roman" w:hAnsi="Times New Roman" w:eastAsia="宋体"/>
          <w:color w:val="000000"/>
          <w:sz w:val="24"/>
        </w:rPr>
        <w:t>市场测算采用自下而上口径。单校园首年收入按评估费 3 万元、授权费 8 万元、SaaS 服务费 12.96 万元估算，合计约 23.96 万元。10 个校园客户形成约 239.6 万元首年收入空间。</w:t>
      </w:r>
    </w:p>
    <w:p>
      <w:pPr/>
      <w:r>
        <w:rPr>
          <w:rFonts w:ascii="Times New Roman" w:hAnsi="Times New Roman" w:eastAsia="宋体"/>
          <w:color w:val="000000"/>
          <w:sz w:val="24"/>
        </w:rPr>
        <w:t>单园区首年收入按评估费 3 万元、授权费 12 万元、项目交付费 15 万元估算，合计约 30 万元。5 个园区客户形成约 150 万元首年收入空间。</w:t>
      </w:r>
    </w:p>
    <w:p>
      <w:pPr/>
      <w:r>
        <w:rPr>
          <w:rFonts w:ascii="Times New Roman" w:hAnsi="Times New Roman" w:eastAsia="宋体"/>
          <w:color w:val="000000"/>
          <w:sz w:val="24"/>
        </w:rPr>
        <w:t>单景区首年收入按评估费 5 万元、项目交付费 20 万元、数据报告 3 万元估算，合计约 28 万元。3 个景区客户形成约 84 万元首年收入空间。</w:t>
      </w:r>
    </w:p>
    <w:p>
      <w:pPr/>
      <w:r>
        <w:rPr>
          <w:rFonts w:ascii="Times New Roman" w:hAnsi="Times New Roman" w:eastAsia="宋体"/>
          <w:color w:val="000000"/>
          <w:sz w:val="24"/>
        </w:rPr>
        <w:t>区域早期市场由校园、园区和景区三类客户构成，首批 18 个客户场景对应约 473.6 万元收入空间。该口径仅计算可触达封闭场景，不计入开放城市配送市场。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3.10 客户预算来源</w:t>
      </w:r>
    </w:p>
    <w:p>
      <w:pPr/>
      <w:r>
        <w:rPr>
          <w:rFonts w:ascii="Times New Roman" w:hAnsi="Times New Roman" w:eastAsia="宋体"/>
          <w:color w:val="000000"/>
          <w:sz w:val="24"/>
        </w:rPr>
        <w:t>高校客户预算来源包括后勤信息化、绿色校园建设、创新创业成果转化和智慧校园项目。评估服务适合进入小额服务采购，平台授权适合进入年度信息化预算。</w:t>
      </w:r>
    </w:p>
    <w:p>
      <w:pPr/>
      <w:r>
        <w:rPr>
          <w:rFonts w:ascii="Times New Roman" w:hAnsi="Times New Roman" w:eastAsia="宋体"/>
          <w:color w:val="000000"/>
          <w:sz w:val="24"/>
        </w:rPr>
        <w:t>园区客户预算来源包括智慧园区建设、物业服务升级、企业服务平台和招商展示项目。项目交付费可与园区数字化建设预算合并申报。</w:t>
      </w:r>
    </w:p>
    <w:p>
      <w:pPr/>
      <w:r>
        <w:rPr>
          <w:rFonts w:ascii="Times New Roman" w:hAnsi="Times New Roman" w:eastAsia="宋体"/>
          <w:color w:val="000000"/>
          <w:sz w:val="24"/>
        </w:rPr>
        <w:t>景区客户预算来源包括智慧文旅、应急服务、绿色景区建设和游客服务提升项目。补给与应急场景可进入专项试点预算。</w:t>
      </w:r>
    </w:p>
    <w:p>
      <w:pPr/>
      <w:r>
        <w:rPr>
          <w:rFonts w:ascii="Times New Roman" w:hAnsi="Times New Roman" w:eastAsia="宋体"/>
          <w:color w:val="000000"/>
          <w:sz w:val="24"/>
        </w:rPr>
        <w:t>硬件厂商预算来源包括售前方案、软件配套、联合交付和客户成功服务。平台可按项目授权或联合分成方式进入厂商解决方案。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3.11 竞争策略</w:t>
      </w:r>
    </w:p>
    <w:p>
      <w:pPr/>
      <w:r>
        <w:rPr>
          <w:rFonts w:ascii="Times New Roman" w:hAnsi="Times New Roman" w:eastAsia="宋体"/>
          <w:color w:val="000000"/>
          <w:sz w:val="24"/>
        </w:rPr>
        <w:t>价格策略：评估服务低门槛，平台授权中等客单，示范项目高客单。项目通过低价评估获取客户数据，通过年度授权形成稳定收入。</w:t>
      </w:r>
    </w:p>
    <w:p>
      <w:pPr/>
      <w:r>
        <w:rPr>
          <w:rFonts w:ascii="Times New Roman" w:hAnsi="Times New Roman" w:eastAsia="宋体"/>
          <w:color w:val="000000"/>
          <w:sz w:val="24"/>
        </w:rPr>
        <w:t>场景策略：优先进入封闭路线、高频短途、客户关系清晰的场景。首批客户控制交付半径，减少跨城市交付成本。</w:t>
      </w:r>
    </w:p>
    <w:p>
      <w:pPr/>
      <w:r>
        <w:rPr>
          <w:rFonts w:ascii="Times New Roman" w:hAnsi="Times New Roman" w:eastAsia="宋体"/>
          <w:color w:val="000000"/>
          <w:sz w:val="24"/>
        </w:rPr>
        <w:t>渠道策略：校内样板建立可信度，园区客户验证付费能力，硬件厂商扩大销售半径。三类渠道共同支撑区域复制。</w:t>
      </w:r>
    </w:p>
    <w:p>
      <w:pPr/>
      <w:r>
        <w:rPr>
          <w:rFonts w:ascii="Times New Roman" w:hAnsi="Times New Roman" w:eastAsia="宋体"/>
          <w:color w:val="000000"/>
          <w:sz w:val="24"/>
        </w:rPr>
        <w:t>产品策略：核心功能保持轻量，客户定制需求进入配置层。超过标准范围的功能按项目交付单独报价。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6"/>
        </w:rPr>
        <w:t>第 4 章 商业模式与运营落地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4.1 收入公式</w:t>
      </w:r>
    </w:p>
    <w:p>
      <w:pPr/>
      <w:r>
        <w:rPr>
          <w:rFonts w:ascii="Times New Roman" w:hAnsi="Times New Roman" w:eastAsia="宋体"/>
          <w:color w:val="000000"/>
          <w:sz w:val="24"/>
        </w:rPr>
        <w:t>平台收入 = 仿真评估费 + 年度授权费 + 项目交付费 + SaaS 按单服务费 + 数据报告服务。</w:t>
      </w:r>
    </w:p>
    <w:p>
      <w:pPr/>
      <w:r>
        <w:rPr>
          <w:rFonts w:ascii="Times New Roman" w:hAnsi="Times New Roman" w:eastAsia="宋体"/>
          <w:color w:val="000000"/>
          <w:sz w:val="24"/>
        </w:rPr>
        <w:t>仿真评估费获取种子客户，年度授权费形成稳定收入，项目交付费提高客单价，SaaS 按单服务费绑定订单规模，数据报告服务提升续费价值。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4.2 收入来源与付款节点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收入类型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价格区间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付款节点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适用客户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仿真评估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1-3 万元/次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签约预付 50%，报告交付后 50%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校园、园区、景区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平台授权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5-20 万元/年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年度预付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试点客户、长期客户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项目交付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5-30 万元/项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启动 40%，联调 40%，验收 20%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软硬件联合项目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按单 SaaS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0.08-0.20 元/单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月结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订单稳定客户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数据报告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1-5 万元/份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报告交付结算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绿色申报、示范项目</w:t>
            </w:r>
          </w:p>
        </w:tc>
      </w:tr>
    </w:tbl>
    <w:p/>
    <w:p>
      <w:pPr/>
      <w:r>
        <w:rPr>
          <w:rFonts w:ascii="Times New Roman" w:hAnsi="Times New Roman" w:eastAsia="宋体"/>
          <w:color w:val="000000"/>
          <w:sz w:val="24"/>
        </w:rPr>
        <w:t>基础版服务包含场景建模和仿真评估，适合首次接触客户。标准版服务包含平台授权、报告导出和月度复盘，适合试点客户。示范版服务包含硬件联调、数据报告和示范材料，适合政府或园区示范项目。</w:t>
      </w:r>
    </w:p>
    <w:p>
      <w:pPr/>
      <w:r>
        <w:rPr>
          <w:rFonts w:ascii="Times New Roman" w:hAnsi="Times New Roman" w:eastAsia="宋体"/>
          <w:color w:val="000000"/>
          <w:sz w:val="24"/>
        </w:rPr>
        <w:t>收入结构按客户成熟度递进。客户先购买低成本评估服务，确认价值后进入年度授权和交付，订单稳定后进入按单 SaaS。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4.3 单位经济模型</w:t>
      </w:r>
    </w:p>
    <w:p>
      <w:pPr/>
      <w:r>
        <w:rPr>
          <w:rFonts w:ascii="Times New Roman" w:hAnsi="Times New Roman" w:eastAsia="宋体"/>
          <w:color w:val="000000"/>
          <w:sz w:val="24"/>
        </w:rPr>
        <w:t>单校园场景假设：日均可调度订单 3000 单，SaaS 服务费 0.12 元/单，月度 SaaS 收入约 1.08 万元，年度 SaaS 收入约 12.96 万元。</w:t>
      </w:r>
    </w:p>
    <w:p>
      <w:pPr/>
      <w:r>
        <w:rPr>
          <w:rFonts w:ascii="Times New Roman" w:hAnsi="Times New Roman" w:eastAsia="宋体"/>
          <w:color w:val="000000"/>
          <w:sz w:val="24"/>
        </w:rPr>
        <w:t>首年收入测算：年度平台授权费 8 万元，仿真评估服务费 3 万元，SaaS 服务费约 12.96 万元，单校园首年收入约 23.96 万元。</w:t>
      </w:r>
    </w:p>
    <w:p>
      <w:pPr/>
      <w:r>
        <w:rPr>
          <w:rFonts w:ascii="Times New Roman" w:hAnsi="Times New Roman" w:eastAsia="宋体"/>
          <w:color w:val="000000"/>
          <w:sz w:val="24"/>
        </w:rPr>
        <w:t>客户侧年优化价值：按每单节约 0.25-0.60 元估算，日均 3000 单场景年优化价值约 27-65 万元。平台收费占优化价值约 8%-15%，客户采购具备经济空间。</w:t>
      </w:r>
    </w:p>
    <w:p>
      <w:pPr/>
      <w:r>
        <w:rPr>
          <w:rFonts w:ascii="Times New Roman" w:hAnsi="Times New Roman" w:eastAsia="宋体"/>
          <w:color w:val="000000"/>
          <w:sz w:val="24"/>
        </w:rPr>
        <w:t>项目侧成本结构：软件边际成本低，前期成本集中在研发、数据整理和交付。场景模板成熟后，新客户复制成本下降，毛利率提高。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4.4 落地流程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3154"/>
        <w:gridCol w:w="3154"/>
        <w:gridCol w:w="3154"/>
      </w:tblGrid>
      <w:tr>
        <w:tc>
          <w:tcPr>
            <w:tcW w:type="dxa" w:w="275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75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275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交付结果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需求调研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周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订单规模、路线范围、现有成本、客户目标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场景建模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周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总站、路网、终点、候选点、设备参数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仿真评估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天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策略对比、设备建议、能耗测算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方案确认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周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试点范围、预算、验收指标、安全边界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试点部署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2-4 周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系统配置、硬件联调、人员培训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运营复盘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月度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完成率、准时率、成本、能耗、异常报告</w:t>
            </w:r>
          </w:p>
        </w:tc>
      </w:tr>
    </w:tbl>
    <w:p/>
    <w:p>
      <w:pPr/>
      <w:r>
        <w:rPr>
          <w:rFonts w:ascii="Times New Roman" w:hAnsi="Times New Roman" w:eastAsia="宋体"/>
          <w:color w:val="000000"/>
          <w:sz w:val="24"/>
        </w:rPr>
        <w:t>流程采用阶段验收。每一阶段交付明确材料，客户确认后进入下一阶段。该方式降低垫资风险和需求失控风险。</w:t>
      </w:r>
    </w:p>
    <w:p>
      <w:pPr/>
      <w:r>
        <w:rPr>
          <w:rFonts w:ascii="Times New Roman" w:hAnsi="Times New Roman" w:eastAsia="宋体"/>
          <w:color w:val="000000"/>
          <w:sz w:val="24"/>
        </w:rPr>
        <w:t>试点部署以半封闭路线优先。校园和园区先选择固定点位、固定时间窗、固定订单类型，验证系统稳定性后扩大范围。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4.5 推广渠道</w:t>
      </w:r>
    </w:p>
    <w:p>
      <w:pPr/>
      <w:r>
        <w:rPr>
          <w:rFonts w:ascii="Times New Roman" w:hAnsi="Times New Roman" w:eastAsia="宋体"/>
          <w:color w:val="000000"/>
          <w:sz w:val="24"/>
        </w:rPr>
        <w:t>校内渠道：创新创业学院、计算机学院、后勤集团和校内展示活动。目标是完成校园样板和校内证明材料。</w:t>
      </w:r>
    </w:p>
    <w:p>
      <w:pPr/>
      <w:r>
        <w:rPr>
          <w:rFonts w:ascii="Times New Roman" w:hAnsi="Times New Roman" w:eastAsia="宋体"/>
          <w:color w:val="000000"/>
          <w:sz w:val="24"/>
        </w:rPr>
        <w:t>地方渠道：湘潭及周边大学科技园、产业园区、低空经济示范平台。目标是获取外部试点和付费评估客户。</w:t>
      </w:r>
    </w:p>
    <w:p>
      <w:pPr/>
      <w:r>
        <w:rPr>
          <w:rFonts w:ascii="Times New Roman" w:hAnsi="Times New Roman" w:eastAsia="宋体"/>
          <w:color w:val="000000"/>
          <w:sz w:val="24"/>
        </w:rPr>
        <w:t>企业渠道：无人机、无人车和智慧物流企业。目标是把平台嵌入硬件解决方案，形成联合销售。</w:t>
      </w:r>
    </w:p>
    <w:p>
      <w:pPr/>
      <w:r>
        <w:rPr>
          <w:rFonts w:ascii="Times New Roman" w:hAnsi="Times New Roman" w:eastAsia="宋体"/>
          <w:color w:val="000000"/>
          <w:sz w:val="24"/>
        </w:rPr>
        <w:t>竞赛渠道：中国国际大学生创新大赛、创新创业训练计划、校企合作项目。目标是获得资源、曝光和客户背书。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4.6 客户购买旅程</w:t>
      </w:r>
    </w:p>
    <w:p>
      <w:pPr/>
      <w:r>
        <w:rPr>
          <w:rFonts w:ascii="Times New Roman" w:hAnsi="Times New Roman" w:eastAsia="宋体"/>
          <w:color w:val="000000"/>
          <w:sz w:val="24"/>
        </w:rPr>
        <w:t>认知阶段：客户获得一页式项目介绍和场景案例，确认项目适用范围。</w:t>
      </w:r>
    </w:p>
    <w:p>
      <w:pPr/>
      <w:r>
        <w:rPr>
          <w:rFonts w:ascii="Times New Roman" w:hAnsi="Times New Roman" w:eastAsia="宋体"/>
          <w:color w:val="000000"/>
          <w:sz w:val="24"/>
        </w:rPr>
        <w:t>评估阶段：客户提交路线、订单和设备参数，平台输出仿真评估报告。</w:t>
      </w:r>
    </w:p>
    <w:p>
      <w:pPr/>
      <w:r>
        <w:rPr>
          <w:rFonts w:ascii="Times New Roman" w:hAnsi="Times New Roman" w:eastAsia="宋体"/>
          <w:color w:val="000000"/>
          <w:sz w:val="24"/>
        </w:rPr>
        <w:t>试点阶段：双方确认固定路线、设备数量、验收指标和安全边界。</w:t>
      </w:r>
    </w:p>
    <w:p>
      <w:pPr/>
      <w:r>
        <w:rPr>
          <w:rFonts w:ascii="Times New Roman" w:hAnsi="Times New Roman" w:eastAsia="宋体"/>
          <w:color w:val="000000"/>
          <w:sz w:val="24"/>
        </w:rPr>
        <w:t>采购阶段：客户选择基础版、标准版或示范版服务，签署服务协议。</w:t>
      </w:r>
    </w:p>
    <w:p>
      <w:pPr/>
      <w:r>
        <w:rPr>
          <w:rFonts w:ascii="Times New Roman" w:hAnsi="Times New Roman" w:eastAsia="宋体"/>
          <w:color w:val="000000"/>
          <w:sz w:val="24"/>
        </w:rPr>
        <w:t>复购阶段：平台输出月度运营报告、年度优化报告和新增路线评估。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4.7 标杆案例打造</w:t>
      </w:r>
    </w:p>
    <w:p>
      <w:pPr/>
      <w:r>
        <w:rPr>
          <w:rFonts w:ascii="Times New Roman" w:hAnsi="Times New Roman" w:eastAsia="宋体"/>
          <w:color w:val="000000"/>
          <w:sz w:val="24"/>
        </w:rPr>
        <w:t>校园样板覆盖快递驿站、宿舍区、教学区、食堂和校医院。样板输出校园数字沙盘、候选中继点图、策略对比结果、能耗报告和演示视频。</w:t>
      </w:r>
    </w:p>
    <w:p>
      <w:pPr/>
      <w:r>
        <w:rPr>
          <w:rFonts w:ascii="Times New Roman" w:hAnsi="Times New Roman" w:eastAsia="宋体"/>
          <w:color w:val="000000"/>
          <w:sz w:val="24"/>
        </w:rPr>
        <w:t>园区样板覆盖楼宇文件、小件、样品和餐饮短驳。样板输出设备配置建议、短驳路线方案、服务半径测算和月度运营指标。</w:t>
      </w:r>
    </w:p>
    <w:p>
      <w:pPr/>
      <w:r>
        <w:rPr>
          <w:rFonts w:ascii="Times New Roman" w:hAnsi="Times New Roman" w:eastAsia="宋体"/>
          <w:color w:val="000000"/>
          <w:sz w:val="24"/>
        </w:rPr>
        <w:t>景区样板覆盖游客服务中心、补给点、观景台和应急点。样板输出安全路线、备用点、补给路径和应急配送方案。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4.8 客户成功与续费</w:t>
      </w:r>
    </w:p>
    <w:p>
      <w:pPr/>
      <w:r>
        <w:rPr>
          <w:rFonts w:ascii="Times New Roman" w:hAnsi="Times New Roman" w:eastAsia="宋体"/>
          <w:color w:val="000000"/>
          <w:sz w:val="24"/>
        </w:rPr>
        <w:t>续费指标包括月度订单量、任务完成率、准时率、设备利用率、单票成本、单任务能耗和异常处理时长。</w:t>
      </w:r>
    </w:p>
    <w:p>
      <w:pPr/>
      <w:r>
        <w:rPr>
          <w:rFonts w:ascii="Times New Roman" w:hAnsi="Times New Roman" w:eastAsia="宋体"/>
          <w:color w:val="000000"/>
          <w:sz w:val="24"/>
        </w:rPr>
        <w:t>客户成功服务包括月度复盘、路线再优化、新增点位评估、绿色报告更新和试点扩大建议。</w:t>
      </w:r>
    </w:p>
    <w:p>
      <w:pPr/>
      <w:r>
        <w:rPr>
          <w:rFonts w:ascii="Times New Roman" w:hAnsi="Times New Roman" w:eastAsia="宋体"/>
          <w:color w:val="000000"/>
          <w:sz w:val="24"/>
        </w:rPr>
        <w:t>年度续费包包含平台授权、数据维护、算法升级、月度报告和一次新增场景评估。</w:t>
      </w:r>
    </w:p>
    <w:p>
      <w:pPr/>
      <w:r>
        <w:rPr>
          <w:rFonts w:ascii="Times New Roman" w:hAnsi="Times New Roman" w:eastAsia="宋体"/>
          <w:color w:val="000000"/>
          <w:sz w:val="24"/>
        </w:rPr>
        <w:t>续费价值来自运营数据积累。客户使用时间越长，平台越了解订单峰值、路线瓶颈和设备利用情况，优化建议越准确。</w:t>
      </w:r>
    </w:p>
    <w:p>
      <w:r>
        <w:br w:type="page"/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4.9 销售漏斗</w:t>
      </w:r>
    </w:p>
    <w:p>
      <w:pPr/>
      <w:r>
        <w:rPr>
          <w:rFonts w:ascii="Times New Roman" w:hAnsi="Times New Roman" w:eastAsia="宋体"/>
          <w:color w:val="000000"/>
          <w:sz w:val="24"/>
        </w:rPr>
        <w:t>线索阶段：获取校园、园区、景区和厂商客户名单，记录客户类型、联系人、场景需求和预算可能性。月度目标为 10 条有效线索。</w:t>
      </w:r>
    </w:p>
    <w:p>
      <w:pPr/>
      <w:r>
        <w:rPr>
          <w:rFonts w:ascii="Times New Roman" w:hAnsi="Times New Roman" w:eastAsia="宋体"/>
          <w:color w:val="000000"/>
          <w:sz w:val="24"/>
        </w:rPr>
        <w:t>诊断阶段：完成场景评估问卷，收集点位、路线、订单和现有成本。月度目标为 5 个诊断客户。</w:t>
      </w:r>
    </w:p>
    <w:p>
      <w:pPr/>
      <w:r>
        <w:rPr>
          <w:rFonts w:ascii="Times New Roman" w:hAnsi="Times New Roman" w:eastAsia="宋体"/>
          <w:color w:val="000000"/>
          <w:sz w:val="24"/>
        </w:rPr>
        <w:t>评估阶段：输出低空配送仿真评估报告，形成 1-3 万元评估订单。月度目标为 2 个评估客户。</w:t>
      </w:r>
    </w:p>
    <w:p>
      <w:pPr/>
      <w:r>
        <w:rPr>
          <w:rFonts w:ascii="Times New Roman" w:hAnsi="Times New Roman" w:eastAsia="宋体"/>
          <w:color w:val="000000"/>
          <w:sz w:val="24"/>
        </w:rPr>
        <w:t>试点阶段：完成平台授权、项目交付或联合硬件方案。季度目标为 1 个试点客户。</w:t>
      </w:r>
    </w:p>
    <w:p>
      <w:pPr/>
      <w:r>
        <w:rPr>
          <w:rFonts w:ascii="Times New Roman" w:hAnsi="Times New Roman" w:eastAsia="宋体"/>
          <w:color w:val="000000"/>
          <w:sz w:val="24"/>
        </w:rPr>
        <w:t>续费阶段：以月度报告和新增路线评估推动年度续费。年度目标为 70% 以上续费率。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4.10 定价套餐</w:t>
      </w:r>
    </w:p>
    <w:p>
      <w:pPr/>
      <w:r>
        <w:rPr>
          <w:rFonts w:ascii="Times New Roman" w:hAnsi="Times New Roman" w:eastAsia="宋体"/>
          <w:color w:val="000000"/>
          <w:sz w:val="24"/>
        </w:rPr>
        <w:t>基础评估版：1-3 万元/次。交付场景建模、策略对比、设备建议、能耗测算和评估报告。适合首次客户。</w:t>
      </w:r>
    </w:p>
    <w:p>
      <w:pPr/>
      <w:r>
        <w:rPr>
          <w:rFonts w:ascii="Times New Roman" w:hAnsi="Times New Roman" w:eastAsia="宋体"/>
          <w:color w:val="000000"/>
          <w:sz w:val="24"/>
        </w:rPr>
        <w:t>标准授权版：5-20 万元/年。交付平台账户、场景维护、报告导出、月度复盘和一次新增路线评估。适合试点客户。</w:t>
      </w:r>
    </w:p>
    <w:p>
      <w:pPr/>
      <w:r>
        <w:rPr>
          <w:rFonts w:ascii="Times New Roman" w:hAnsi="Times New Roman" w:eastAsia="宋体"/>
          <w:color w:val="000000"/>
          <w:sz w:val="24"/>
        </w:rPr>
        <w:t>示范交付版：20-50 万元/项。交付硬件联调支持、运营看板、数据报告、示范材料和验收支持。适合园区、景区和政府示范场景。</w:t>
      </w:r>
    </w:p>
    <w:p>
      <w:pPr/>
      <w:r>
        <w:rPr>
          <w:rFonts w:ascii="Times New Roman" w:hAnsi="Times New Roman" w:eastAsia="宋体"/>
          <w:color w:val="000000"/>
          <w:sz w:val="24"/>
        </w:rPr>
        <w:t>厂商合作版：按项目授权或收入分成。平台作为售前测算和交付工具嵌入硬件解决方案，支持厂商客户转化。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4.11 合作模式</w:t>
      </w:r>
    </w:p>
    <w:p>
      <w:pPr/>
      <w:r>
        <w:rPr>
          <w:rFonts w:ascii="Times New Roman" w:hAnsi="Times New Roman" w:eastAsia="宋体"/>
          <w:color w:val="000000"/>
          <w:sz w:val="24"/>
        </w:rPr>
        <w:t>校园直签模式：客户采购评估服务与平台授权，团队完成场景建模、报告交付和月度复盘。</w:t>
      </w:r>
    </w:p>
    <w:p>
      <w:pPr/>
      <w:r>
        <w:rPr>
          <w:rFonts w:ascii="Times New Roman" w:hAnsi="Times New Roman" w:eastAsia="宋体"/>
          <w:color w:val="000000"/>
          <w:sz w:val="24"/>
        </w:rPr>
        <w:t>园区项目模式：客户采购项目交付，团队提供软件平台、路线测算、运营看板和验收报告，硬件由客户或厂商提供。</w:t>
      </w:r>
    </w:p>
    <w:p>
      <w:pPr/>
      <w:r>
        <w:rPr>
          <w:rFonts w:ascii="Times New Roman" w:hAnsi="Times New Roman" w:eastAsia="宋体"/>
          <w:color w:val="000000"/>
          <w:sz w:val="24"/>
        </w:rPr>
        <w:t>厂商联合模式：无人机/无人车企业提供设备、维护和现场支持，平台提供调度、测算和报告，双方共同面向客户交付。</w:t>
      </w:r>
    </w:p>
    <w:p>
      <w:pPr/>
      <w:r>
        <w:rPr>
          <w:rFonts w:ascii="Times New Roman" w:hAnsi="Times New Roman" w:eastAsia="宋体"/>
          <w:color w:val="000000"/>
          <w:sz w:val="24"/>
        </w:rPr>
        <w:t>示范项目模式：围绕低空经济、绿色园区、智慧文旅和应急补给申报试点，平台提供数据支撑和运营报告。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4.12 年度运营服务</w:t>
      </w:r>
    </w:p>
    <w:p>
      <w:pPr/>
      <w:r>
        <w:rPr>
          <w:rFonts w:ascii="Times New Roman" w:hAnsi="Times New Roman" w:eastAsia="宋体"/>
          <w:color w:val="000000"/>
          <w:sz w:val="24"/>
        </w:rPr>
        <w:t>年度服务包含平台授权、场景数据维护、算法更新、月度运营报告、季度路线优化和年度绿色报告。</w:t>
      </w:r>
    </w:p>
    <w:p>
      <w:pPr/>
      <w:r>
        <w:rPr>
          <w:rFonts w:ascii="Times New Roman" w:hAnsi="Times New Roman" w:eastAsia="宋体"/>
          <w:color w:val="000000"/>
          <w:sz w:val="24"/>
        </w:rPr>
        <w:t>月度报告包含订单量、完成率、准时率、平均等待时间、设备利用率、单任务能耗、单位距离能耗和异常处理记录。</w:t>
      </w:r>
    </w:p>
    <w:p>
      <w:pPr/>
      <w:r>
        <w:rPr>
          <w:rFonts w:ascii="Times New Roman" w:hAnsi="Times New Roman" w:eastAsia="宋体"/>
          <w:color w:val="000000"/>
          <w:sz w:val="24"/>
        </w:rPr>
        <w:t>季度优化包含新增点位评估、热点路线调整、中继点重新排序和设备配置建议。</w:t>
      </w:r>
    </w:p>
    <w:p>
      <w:pPr/>
      <w:r>
        <w:rPr>
          <w:rFonts w:ascii="Times New Roman" w:hAnsi="Times New Roman" w:eastAsia="宋体"/>
          <w:color w:val="000000"/>
          <w:sz w:val="24"/>
        </w:rPr>
        <w:t>年度报告包含年度订单规模、累计节能、碳排估算、运营改善和下一年度预算建议。</w:t>
      </w:r>
    </w:p>
    <w:p>
      <w:pPr>
        <w:pStyle w:val="Heading1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6"/>
        </w:rPr>
        <w:t>第 5 章 团队介绍与核心优势</w:t>
      </w:r>
    </w:p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5.1 团队简介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本团队由湖南科技大学本科生组成，围绕“空地绿配智控平台”建立项目统筹、算法研发、系统开发、场景数据、商业运营和产品展示六类能力。团队当前服务的核心目标，是把 UAV-AGV 空地协同调度从算法结果转化为可演示、可评估、可复制的低空绿色物流试点方案。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团队以计算机与信息技术能力为基础，在舒红梅老师指导下推进 ALNS 路径优化、候选中继点生成、动态回退、能耗测算、运营看板和商业计划书建设。成员分工围绕项目真实交付链条展开，以岗位职责、阶段交付和下一步计划为主线，突出团队能力与项目实施的匹配度。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现阶段团队已形成从技术原型到商业表达的完整协作机制：算法成员负责路线优化与策略对比，系统成员负责平台界面与结果展示，数据成员负责场景建模与实验复核，商业成员负责客户调研与财务测算，展示成员负责视觉表达与路演材料。该分工能够支撑项目从校内样板验证逐步走向园区、景区和硬件厂商联合方案。</w:t>
      </w:r>
    </w:p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5.2 组织架构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团队采用“项目负责人统筹 + 职能小组协作”的组织架构。项目负责人统一把控进度、质量、版本和外部沟通，各职能成员围绕同一版本目标推进任务，每周同步算法进展、系统开发、数据测试、市场材料和展示内容。该架构让技术、商业和展示口径在同一节奏中更新，降低版本混乱和任务脱节风险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职能模块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负责人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核心任务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A"/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阶段交付物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项目统筹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陈舟然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总体进度、技术路线、版本规划、资源协调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版本计划、任务看板、答辩主线、外部沟通材料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算法研发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陈舟然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ALNS 优化、候选中继点、动态回退、能耗目标函数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算法说明、策略对比结果、技术验证材料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系统开发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刘琪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场景配置、订单导入、路线展示、看板与报告导出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仿真系统原型、运营看板、报告模板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数据测试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于江楠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场景参数整理、订单样本构造、指标复核、异常记录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数据清单、测试记录、验证报告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商业运营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易颜章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市场分析、客户访谈、报价体系、财务测算、合作方案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商业模型、客户材料、财务预测、渠道方案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产品展示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唐福敏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PPT、演示视频、界面视觉、品牌表达、材料排版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after="20"/>
              <w:ind w:firstLine="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路演材料、演示脚本、视觉模板、项目一页纸</w:t>
            </w:r>
          </w:p>
        </w:tc>
      </w:tr>
    </w:tbl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5.3 团队成员与分工</w:t>
      </w:r>
    </w:p>
    <w:p>
      <w:pPr>
        <w:pStyle w:val="Heading3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26"/>
        </w:rPr>
        <w:t>陈舟然：项目负责人 / 算法研发负责人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陈舟然负责项目整体统筹与核心算法研发，是团队技术路线和交付节奏的主要负责人。其工作重点包括明确项目阶段目标、拆解研发任务、协调成员分工，并围绕 UAV-AGV 协同调度建立 ALNS 路径优化框架。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在技术层面，陈舟然负责候选中继点生成、动态回退策略、效率与能耗综合目标函数设计，推动系统完成基线直送、纯 UAV、纯 AGV 和空地协同四类策略对比。在项目管理层面，其负责商业计划书主线、路演表达、版本规划和外部资源沟通，推动技术成果转化为外部对象可理解、可判断、可合作的商业价值。下一阶段重点推进 100 单与 500 单订单规模测试、软著材料整理和校园样板验证。</w:t>
      </w:r>
    </w:p>
    <w:p>
      <w:pPr>
        <w:pStyle w:val="Heading3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26"/>
        </w:rPr>
        <w:t>刘琪：系统开发与可视化负责人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刘琪负责平台软件原型建设，重点承担场景配置、订单导入、路线结果展示、运营看板和报告导出模块。其任务是把算法输出从实验结果转化为可操作的软件界面，让客户能够直观看到路线、设备、中继点、能耗和准时率等关键指标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在当前阶段，刘琪主要推进校园数字沙盘、策略对比界面和绿色指标看板建设，并配合算法组接入 ALNS 结果。后续将完善客户账户、场景模板、报告导出和异常记录功能，使平台具备面向校园、园区和景区试点评估的交付能力。</w:t>
      </w:r>
    </w:p>
    <w:p>
      <w:pPr>
        <w:pStyle w:val="Heading3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26"/>
        </w:rPr>
        <w:t>于江楠：数据测试与场景建模负责人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于江楠负责场景数据整理、测试样本构造和实验结果复核。低空物流试点能否成立，关键取决于路网、点位、订单、时间窗、禁行区和设备参数是否准确，因此数据测试岗位直接影响方案可信度。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于江楠当前重点整理湖南科技大学校园样板点位，覆盖快递驿站、宿舍区、教学区、食堂、校医院等典型节点；同时负责构造不同订单密度、不同时间窗和不同设备数量下的测试样本，对完成率、准时率、单任务能耗和单位距离能耗进行复核。下一阶段将建立校园、园区、景区三类场景配置模板，提升项目复制效率。</w:t>
      </w:r>
    </w:p>
    <w:p>
      <w:pPr>
        <w:pStyle w:val="Heading3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26"/>
        </w:rPr>
        <w:t>易颜章：商业运营与市场测算负责人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易颜章负责项目商业运营板块，重点承担市场分析、客户画像、客户访谈、商业模式设计、报价体系和财务测算。其工作目标是把平台技术能力转化为客户采购逻辑，回答“谁会买、为什么买、花多少钱买、多久产生价值”四个问题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在当前阶段，易颜章围绕校园后勤、大学科技园、产业园运营方、景区管理方和无人机/无人车硬件厂商建立目标客户清单，梳理仿真评估费、年度授权费、项目交付费、按单 SaaS 服务费和绿色报告服务等收入来源。后续将重点完善客户访谈纪要、单场景经济性测算、渠道合作方案和三年财务预测。</w:t>
      </w:r>
    </w:p>
    <w:p>
      <w:pPr>
        <w:pStyle w:val="Heading3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26"/>
        </w:rPr>
        <w:t>唐福敏：产品展示与品牌材料负责人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唐福敏负责项目视觉表达、路演材料、演示视频、界面展示图和品牌化包装。低空绿色物流项目涉及算法、设备、路线、能耗和商业模型，表达难度较高，产品展示岗位承担把复杂技术转化为清晰视觉信息的任务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唐福敏当前重点统一商业计划书、PPT、产品界面和演示视频的视觉风格，突出“低空经济、绿色物流、空地协同、智能调度”四个关键词。后续将围绕校园样板制作路线演示图、客户一页纸、产品功能图和路演脚本，提高项目在路演展示、客户沟通和合作洽谈中的理解效率。</w:t>
      </w:r>
    </w:p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5.4 指导老师与资源支持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项目指导老师为舒红梅老师，负责在技术路线、竞赛规范、项目表达和材料质量方面提供指导。导师支持重点集中在低空绿色物流场景建模、路径优化算法表达、仿真结果解释和商业计划书逻辑打磨，帮助团队把技术工作转化为规范的创新创业项目成果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学院资源为项目提供算法、软件工程、数据分析和系统开发方面的专业基础。学校创新创业平台支持赛事申报、路演训练、材料规范和外部资源连接。校内场景资源将支持校园样板建设，后续团队将围绕湖南科技大学校园开展点位建模、路线测算和订单假设验证，并逐步对接园区、景区和硬件厂商资源。</w:t>
      </w:r>
    </w:p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5.5 团队执行成果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代码成果：团队已完成基础仿真系统，支持场景配置、路线策略对比和能耗指标输出，具备从场景输入到结果展示的基础流程。该成果为后续校园数字沙盘、客户评估报告和运营看板开发提供了底层支撑。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实验成果：团队已完成基线直送与空地协同方案对比，获得单任务能耗下降约 18.9%、单位距离能耗下降约 17.3% 的验证结果。该结果说明空地协同方案在完成率、准时率和绿色指标方面具备继续验证价值。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材料成果：团队已完成项目摘要、行业痛点、产品方案、市场分析、商业模式、财务预测和路演材料基础。当前材料已经从技术说明转向商业计划书表达，能够围绕客户、场景、成本、交付和收益展开论证。</w:t>
      </w:r>
    </w:p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5.6 团队建设计划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技术补强方向包括前后端开发、地图数据处理、自动化测试、运筹优化和设备接口。团队将围绕 V1.0 沙盘演示版、V2.0 试点决策版和 V3.0 运营管理版持续补齐工程化能力。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商业补强方向包括客户访谈、报价体系、财务模型、合作方案和渠道材料。团队将形成校园版、园区版、景区版三类销售材料，并根据客户类型分别输出评估报告模板和合作方案。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展示补强方向包括产品界面、演示视频、路线动画、品牌视觉和路演表达。团队将以校园样板为核心制作可视化材料，提升项目在评审和客户沟通中的直观度。</w:t>
      </w:r>
    </w:p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5.7 项目管理机制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团队采用周度任务看板管理。每周更新算法、系统、数据、商业、展示五类任务，记录负责人、交付物、完成状态和阻塞问题，保证项目推进过程可追踪。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团队采用版本制推进。V1.0 聚焦演示可信度，完成场景建模、策略对比和能耗看板；V2.0 聚焦客户决策价值，完善 ALNS 优化、中继点推荐和报告导出；V3.0 聚焦运营复盘和续费价值，完善订单接口、异常记录和月度报表。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团队采用统一资料库管理。代码说明、实验结果、场景数据、客户材料、财务模型、PPT、演示视频和软著材料统一归档，保证项目迭代可追溯、材料版本可管理。</w:t>
      </w:r>
    </w:p>
    <w:p>
      <w:pPr>
        <w:pStyle w:val="Heading2"/>
        <w:spacing w:line="300" w:lineRule="auto" w:after="80"/>
        <w:ind w:firstLine="0"/>
      </w:pPr>
      <w:r>
        <w:rPr>
          <w:rFonts w:ascii="Times New Roman" w:hAnsi="Times New Roman" w:eastAsia="SimHei"/>
          <w:b/>
          <w:color w:val="000000"/>
          <w:sz w:val="30"/>
        </w:rPr>
        <w:t>5.8 知识产权与成果规划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团队计划申请软著 3 项：空地协同调度系统、候选中继点生成工具、能耗测算与碳排评估模块。软著材料将围绕系统功能、算法流程、数据结构和界面截图整理。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团队计划沉淀技术文档 3 类：ALNS 调度说明、UAV-AGV 协同模型说明、低空绿色物流场景配置规范。技术文档服务后续系统开发、客户沟通和竞赛答辩。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团队计划沉淀商业材料 4 类：客户访谈纪要、试点评估报告、合作方案模板、月度运营报告模板。商业材料服务市场拓展、园区复制和厂商合作。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6"/>
        </w:rPr>
        <w:t>第 6 章 财务规划与盈利预测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6.1 财务预测口径</w:t>
      </w:r>
    </w:p>
    <w:p>
      <w:pPr/>
      <w:r>
        <w:rPr>
          <w:rFonts w:ascii="Times New Roman" w:hAnsi="Times New Roman" w:eastAsia="宋体"/>
          <w:color w:val="000000"/>
          <w:sz w:val="24"/>
        </w:rPr>
        <w:t>收入口径包括仿真评估费、平台年度授权费、项目交付费、按单 SaaS 服务费和数据报告服务费。</w:t>
      </w:r>
    </w:p>
    <w:p>
      <w:pPr/>
      <w:r>
        <w:rPr>
          <w:rFonts w:ascii="Times New Roman" w:hAnsi="Times New Roman" w:eastAsia="宋体"/>
          <w:color w:val="000000"/>
          <w:sz w:val="24"/>
        </w:rPr>
        <w:t>成本口径包括研发费用、云资源与数据费用、市场拓展费用、交付运维费用、管理费用和合规咨询费用。</w:t>
      </w:r>
    </w:p>
    <w:p>
      <w:pPr/>
      <w:r>
        <w:rPr>
          <w:rFonts w:ascii="Times New Roman" w:hAnsi="Times New Roman" w:eastAsia="宋体"/>
          <w:color w:val="000000"/>
          <w:sz w:val="24"/>
        </w:rPr>
        <w:t>预测周期为 3 年。第 1 年完成样板和初始收入，第 2 年完成园区复制和联合交付，第 3 年形成区域扩张和 SaaS 放量。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6.2 三年营收预测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年份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客户/项目假设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收入结构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预计收入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 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个试点 + 3 次评估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评估费、校内授权、项目支持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万元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 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个授权场景 + 2 个联合项目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授权费、交付费、数据报告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万元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3 年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个授权场景 + 多个按单客户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授权费、SaaS、交付、数据服务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 万元</w:t>
            </w:r>
          </w:p>
        </w:tc>
      </w:tr>
    </w:tbl>
    <w:p/>
    <w:p>
      <w:pPr/>
      <w:r>
        <w:rPr>
          <w:rFonts w:ascii="Times New Roman" w:hAnsi="Times New Roman" w:eastAsia="宋体"/>
          <w:color w:val="000000"/>
          <w:sz w:val="24"/>
        </w:rPr>
        <w:t>第 1 年收入来自校园样板、仿真评估和初始平台授权。第 2 年收入来自园区复制、硬件联合交付和年度授权。第 3 年收入来自授权客户增加与按单服务放量。</w:t>
      </w:r>
    </w:p>
    <w:p>
      <w:pPr/>
      <w:r>
        <w:rPr>
          <w:rFonts w:ascii="Times New Roman" w:hAnsi="Times New Roman" w:eastAsia="宋体"/>
          <w:color w:val="000000"/>
          <w:sz w:val="24"/>
        </w:rPr>
        <w:t>客户数量假设采用保守口径。授权客户数从 2 个增长至 15 个，符合从样板到区域复制的推进节奏。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6.3 成本费用预测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 1 年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 2 年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第 3 年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研发费用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算法、平台、接口、测试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市场费用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客户拜访、材料、展示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交付运维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建模、培训、联调、运维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管理与合规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管理、咨询、数据合规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总成本费用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随客户规模增长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6.4 盈利预测与回本周期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年份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预计收入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预计成本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预计净利润</w:t>
            </w:r>
          </w:p>
        </w:tc>
        <w:tc>
          <w:tcPr>
            <w:tcW w:type="dxa" w:w="1655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经营状态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 年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样板验证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 年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区域复制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3 年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万元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平台化运营</w:t>
            </w:r>
          </w:p>
        </w:tc>
      </w:tr>
    </w:tbl>
    <w:p/>
    <w:p>
      <w:pPr/>
      <w:r>
        <w:rPr>
          <w:rFonts w:ascii="Times New Roman" w:hAnsi="Times New Roman" w:eastAsia="宋体"/>
          <w:color w:val="000000"/>
          <w:sz w:val="24"/>
        </w:rPr>
        <w:t>三年累计净利润约 157 万元。按 80 万元初始发展资金测算，简单回本周期约 18-24 个月。</w:t>
      </w:r>
    </w:p>
    <w:p>
      <w:pPr/>
      <w:r>
        <w:rPr>
          <w:rFonts w:ascii="Times New Roman" w:hAnsi="Times New Roman" w:eastAsia="宋体"/>
          <w:color w:val="000000"/>
          <w:sz w:val="24"/>
        </w:rPr>
        <w:t>盈利提升来自平台复用。场景模板、算法模块和报告模板成熟后，新增客户交付成本下降。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6.5 资金使用计划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金额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占比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交付目标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算法研发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万元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31.25%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ALNS、动态回退、中继点引擎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数据与测试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万元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18.75%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地图、订单、仿真场景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样板建设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万元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25.00%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校园数字沙盘、演示系统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市场拓展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万元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15.00%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客户拜访、材料、展示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合规咨询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万元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10.00%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安全、数据、低空政策咨询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6.6 财务假设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研发人员成本：3 名兼职折算为 1.5 人年，按 8 万元/人年计。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授权客户数：第 1 年 2 个，第 2 年 5 个，第 3 年 15 个。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平台授权费：5-20 万元/年/场景，预测采用中低区间。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仿真评估费：1-3 万元/次，种子客户采用低价策略。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按单 SaaS：0.08-0.20 元/单，校园模型采用 0.12 元/单。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硬件成本：由客户或合作厂商承担，不计入项目固定资产。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6.7 敏感性分析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变量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下行情形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控制动作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客户数量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授权客户减少 30%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收入下降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提高评估服务转化率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客单价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授权费下调 20%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毛利下降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增加报告和交付服务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交付周期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项目延期 1 个月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现金回款延迟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阶段验收与分期付款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研发投入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算法开发超预算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成本上升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按客户需求排序开发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SaaS 渗透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按单客户增长慢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后期收入放缓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先强化年度授权</w:t>
            </w:r>
          </w:p>
        </w:tc>
      </w:tr>
    </w:tbl>
    <w:p/>
    <w:p>
      <w:r>
        <w:br w:type="page"/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6.8 收入拆解模型</w:t>
      </w:r>
    </w:p>
    <w:p>
      <w:pPr/>
      <w:r>
        <w:rPr>
          <w:rFonts w:ascii="Times New Roman" w:hAnsi="Times New Roman" w:eastAsia="宋体"/>
          <w:color w:val="000000"/>
          <w:sz w:val="24"/>
        </w:rPr>
        <w:t>评估收入 = 评估客户数 × 单次评估价格。第 1 年按 3 次、每次 2 万元测算，评估收入 6 万元。</w:t>
      </w:r>
    </w:p>
    <w:p>
      <w:pPr/>
      <w:r>
        <w:rPr>
          <w:rFonts w:ascii="Times New Roman" w:hAnsi="Times New Roman" w:eastAsia="宋体"/>
          <w:color w:val="000000"/>
          <w:sz w:val="24"/>
        </w:rPr>
        <w:t>授权收入 = 授权客户数 × 年度授权费。第 1 年按 2 个客户、每个 8 万元测算，授权收入 16 万元。</w:t>
      </w:r>
    </w:p>
    <w:p>
      <w:pPr/>
      <w:r>
        <w:rPr>
          <w:rFonts w:ascii="Times New Roman" w:hAnsi="Times New Roman" w:eastAsia="宋体"/>
          <w:color w:val="000000"/>
          <w:sz w:val="24"/>
        </w:rPr>
        <w:t>交付收入 = 项目数 × 单项目交付费。第 1 年按 1 个轻量交付、费用 15 万元测算。</w:t>
      </w:r>
    </w:p>
    <w:p>
      <w:pPr/>
      <w:r>
        <w:rPr>
          <w:rFonts w:ascii="Times New Roman" w:hAnsi="Times New Roman" w:eastAsia="宋体"/>
          <w:color w:val="000000"/>
          <w:sz w:val="24"/>
        </w:rPr>
        <w:t>SaaS 收入 = 订单量 × 单价。第 1 年按单场景日均 3000 单、0.12 元/单、运行 90 天测算，阶段收入约 3.24 万元。</w:t>
      </w:r>
    </w:p>
    <w:p>
      <w:pPr/>
      <w:r>
        <w:rPr>
          <w:rFonts w:ascii="Times New Roman" w:hAnsi="Times New Roman" w:eastAsia="宋体"/>
          <w:color w:val="000000"/>
          <w:sz w:val="24"/>
        </w:rPr>
        <w:t>数据报告收入 = 报告数量 × 单价。第 1 年按 2 份报告、每份 2 万元测算，收入 4 万元。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6.9 现金流安排</w:t>
      </w:r>
    </w:p>
    <w:p>
      <w:pPr/>
      <w:r>
        <w:rPr>
          <w:rFonts w:ascii="Times New Roman" w:hAnsi="Times New Roman" w:eastAsia="宋体"/>
          <w:color w:val="000000"/>
          <w:sz w:val="24"/>
        </w:rPr>
        <w:t>评估服务采用预付款 50% + 报告交付 50%。评估周期控制在 2-3 周，现金回收周期短。</w:t>
      </w:r>
    </w:p>
    <w:p>
      <w:pPr/>
      <w:r>
        <w:rPr>
          <w:rFonts w:ascii="Times New Roman" w:hAnsi="Times New Roman" w:eastAsia="宋体"/>
          <w:color w:val="000000"/>
          <w:sz w:val="24"/>
        </w:rPr>
        <w:t>平台授权采用年度预付。客户签署授权协议后开通场景账户，授权收入用于覆盖研发和云资源成本。</w:t>
      </w:r>
    </w:p>
    <w:p>
      <w:pPr/>
      <w:r>
        <w:rPr>
          <w:rFonts w:ascii="Times New Roman" w:hAnsi="Times New Roman" w:eastAsia="宋体"/>
          <w:color w:val="000000"/>
          <w:sz w:val="24"/>
        </w:rPr>
        <w:t>项目交付采用启动 40% + 联调 40% + 验收 20%。阶段回款覆盖建模、联调和人员成本。</w:t>
      </w:r>
    </w:p>
    <w:p>
      <w:pPr/>
      <w:r>
        <w:rPr>
          <w:rFonts w:ascii="Times New Roman" w:hAnsi="Times New Roman" w:eastAsia="宋体"/>
          <w:color w:val="000000"/>
          <w:sz w:val="24"/>
        </w:rPr>
        <w:t>SaaS 按单服务采用月结。订单稳定客户按月输出账单，降低客户一次性支出压力。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6.10 毛利结构</w:t>
      </w:r>
    </w:p>
    <w:p>
      <w:pPr/>
      <w:r>
        <w:rPr>
          <w:rFonts w:ascii="Times New Roman" w:hAnsi="Times New Roman" w:eastAsia="宋体"/>
          <w:color w:val="000000"/>
          <w:sz w:val="24"/>
        </w:rPr>
        <w:t>仿真评估服务毛利率预计 60%-70%。主要成本为调研、建模和报告编制，模板化后单次成本下降。</w:t>
      </w:r>
    </w:p>
    <w:p>
      <w:pPr/>
      <w:r>
        <w:rPr>
          <w:rFonts w:ascii="Times New Roman" w:hAnsi="Times New Roman" w:eastAsia="宋体"/>
          <w:color w:val="000000"/>
          <w:sz w:val="24"/>
        </w:rPr>
        <w:t>平台授权服务毛利率预计 70%-80%。主要成本为云资源、维护和客户成功服务。</w:t>
      </w:r>
    </w:p>
    <w:p>
      <w:pPr/>
      <w:r>
        <w:rPr>
          <w:rFonts w:ascii="Times New Roman" w:hAnsi="Times New Roman" w:eastAsia="宋体"/>
          <w:color w:val="000000"/>
          <w:sz w:val="24"/>
        </w:rPr>
        <w:t>项目交付服务毛利率预计 40%-60%。涉及现场建模、硬件联调和培训支持，人员成本较高。</w:t>
      </w:r>
    </w:p>
    <w:p>
      <w:pPr/>
      <w:r>
        <w:rPr>
          <w:rFonts w:ascii="Times New Roman" w:hAnsi="Times New Roman" w:eastAsia="宋体"/>
          <w:color w:val="000000"/>
          <w:sz w:val="24"/>
        </w:rPr>
        <w:t>数据报告服务毛利率预计 65%-75%。报告基于平台运营数据生成，边际成本较低。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6.11 费用控制策略</w:t>
      </w:r>
    </w:p>
    <w:p>
      <w:pPr/>
      <w:r>
        <w:rPr>
          <w:rFonts w:ascii="Times New Roman" w:hAnsi="Times New Roman" w:eastAsia="宋体"/>
          <w:color w:val="000000"/>
          <w:sz w:val="24"/>
        </w:rPr>
        <w:t>研发费用按交付优先级投入。服务客户所需功能优先，展示型功能后置。</w:t>
      </w:r>
    </w:p>
    <w:p>
      <w:pPr/>
      <w:r>
        <w:rPr>
          <w:rFonts w:ascii="Times New Roman" w:hAnsi="Times New Roman" w:eastAsia="宋体"/>
          <w:color w:val="000000"/>
          <w:sz w:val="24"/>
        </w:rPr>
        <w:t>市场费用聚焦可转化客户。客户拜访、园区活动、厂商合作和校内样板优先，泛广告投放后置。</w:t>
      </w:r>
    </w:p>
    <w:p>
      <w:pPr/>
      <w:r>
        <w:rPr>
          <w:rFonts w:ascii="Times New Roman" w:hAnsi="Times New Roman" w:eastAsia="宋体"/>
          <w:color w:val="000000"/>
          <w:sz w:val="24"/>
        </w:rPr>
        <w:t>交付费用通过模板化降低。场景调研表、数据清单、报告模板和验收清单统一复用。</w:t>
      </w:r>
    </w:p>
    <w:p>
      <w:pPr/>
      <w:r>
        <w:rPr>
          <w:rFonts w:ascii="Times New Roman" w:hAnsi="Times New Roman" w:eastAsia="宋体"/>
          <w:color w:val="000000"/>
          <w:sz w:val="24"/>
        </w:rPr>
        <w:t>管理费用保持轻量。团队早期以学校资源、竞赛资源和合作资源降低固定支出。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6"/>
        </w:rPr>
        <w:t>第 7 章 社会效益与发展规划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7.1 社会效益指标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3154"/>
        <w:gridCol w:w="3154"/>
        <w:gridCol w:w="3154"/>
      </w:tblGrid>
      <w:tr>
        <w:tc>
          <w:tcPr>
            <w:tcW w:type="dxa" w:w="275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75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测算口径</w:t>
            </w:r>
          </w:p>
        </w:tc>
        <w:tc>
          <w:tcPr>
            <w:tcW w:type="dxa" w:w="275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预期价值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碳减排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每万单减少无效行驶与能耗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形成绿色校园/园区数据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效率提升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准时率、完成率、等待时间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提升后勤与园区服务体验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示范价值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每个样板形成可复制报告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支撑绿色校园和智慧园区申报</w:t>
            </w:r>
          </w:p>
        </w:tc>
      </w:tr>
      <w:tr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人才培养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学生参与算法、系统、商业全流程</w:t>
            </w:r>
          </w:p>
        </w:tc>
        <w:tc>
          <w:tcPr>
            <w:tcW w:type="dxa" w:w="27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形成创新创业训练成果</w:t>
            </w:r>
          </w:p>
        </w:tc>
      </w:tr>
    </w:tbl>
    <w:p/>
    <w:p>
      <w:pPr/>
      <w:r>
        <w:rPr>
          <w:rFonts w:ascii="Times New Roman" w:hAnsi="Times New Roman" w:eastAsia="宋体"/>
          <w:color w:val="000000"/>
          <w:sz w:val="24"/>
        </w:rPr>
        <w:t>碳减排指标由单任务能耗、单位距离能耗和年度订单量计算。平台每月输出绿色运营报告，支撑客户内部汇报。</w:t>
      </w:r>
    </w:p>
    <w:p>
      <w:pPr/>
      <w:r>
        <w:rPr>
          <w:rFonts w:ascii="Times New Roman" w:hAnsi="Times New Roman" w:eastAsia="宋体"/>
          <w:color w:val="000000"/>
          <w:sz w:val="24"/>
        </w:rPr>
        <w:t>效率提升指标由完成率、准时率、平均等待时间和设备利用率计算。试点客户可根据指标调整路线和设备配置。</w:t>
      </w:r>
    </w:p>
    <w:p>
      <w:pPr/>
      <w:r>
        <w:rPr>
          <w:rFonts w:ascii="Times New Roman" w:hAnsi="Times New Roman" w:eastAsia="宋体"/>
          <w:color w:val="000000"/>
          <w:sz w:val="24"/>
        </w:rPr>
        <w:t>示范价值由样板数量、合作单位数量、报告数量和外部展示次数计算。校园样板形成后可复制到园区与景区。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7.2 短期规划（2026-2027）</w:t>
      </w:r>
    </w:p>
    <w:p>
      <w:pPr/>
      <w:r>
        <w:rPr>
          <w:rFonts w:ascii="Times New Roman" w:hAnsi="Times New Roman" w:eastAsia="宋体"/>
          <w:color w:val="000000"/>
          <w:sz w:val="24"/>
        </w:rPr>
        <w:t>完成 V1.0 沙盘演示版：场景配置、策略对比、能耗看板、报告导出。</w:t>
      </w:r>
    </w:p>
    <w:p>
      <w:pPr/>
      <w:r>
        <w:rPr>
          <w:rFonts w:ascii="Times New Roman" w:hAnsi="Times New Roman" w:eastAsia="宋体"/>
          <w:color w:val="000000"/>
          <w:sz w:val="24"/>
        </w:rPr>
        <w:t>完成湖南科技大学校园样板：快递驿站、宿舍区、教学区、食堂、校医院点位建模。</w:t>
      </w:r>
    </w:p>
    <w:p>
      <w:pPr/>
      <w:r>
        <w:rPr>
          <w:rFonts w:ascii="Times New Roman" w:hAnsi="Times New Roman" w:eastAsia="宋体"/>
          <w:color w:val="000000"/>
          <w:sz w:val="24"/>
        </w:rPr>
        <w:t>完成软著申请材料：空地协同调度系统、候选中继点生成工具、能耗测算模块。</w:t>
      </w:r>
    </w:p>
    <w:p>
      <w:pPr/>
      <w:r>
        <w:rPr>
          <w:rFonts w:ascii="Times New Roman" w:hAnsi="Times New Roman" w:eastAsia="宋体"/>
          <w:color w:val="000000"/>
          <w:sz w:val="24"/>
        </w:rPr>
        <w:t>完成 3 次外部客户访谈，形成客户需求摘要和试点评估模板。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7.3 中期规划（2027-2029）</w:t>
      </w:r>
    </w:p>
    <w:p>
      <w:pPr/>
      <w:r>
        <w:rPr>
          <w:rFonts w:ascii="Times New Roman" w:hAnsi="Times New Roman" w:eastAsia="宋体"/>
          <w:color w:val="000000"/>
          <w:sz w:val="24"/>
        </w:rPr>
        <w:t>完成 5-10 个校园、园区或景区试点评估，形成标准化部署流程。</w:t>
      </w:r>
    </w:p>
    <w:p>
      <w:pPr/>
      <w:r>
        <w:rPr>
          <w:rFonts w:ascii="Times New Roman" w:hAnsi="Times New Roman" w:eastAsia="宋体"/>
          <w:color w:val="000000"/>
          <w:sz w:val="24"/>
        </w:rPr>
        <w:t>完成 2 个软硬件联合交付项目，建立与 UAV/AGV 厂商的合作机制。</w:t>
      </w:r>
    </w:p>
    <w:p>
      <w:pPr/>
      <w:r>
        <w:rPr>
          <w:rFonts w:ascii="Times New Roman" w:hAnsi="Times New Roman" w:eastAsia="宋体"/>
          <w:color w:val="000000"/>
          <w:sz w:val="24"/>
        </w:rPr>
        <w:t>完成 V2.0 试点决策版和 V3.0 运营管理版，支持订单接口、异常回退和月度报表。</w:t>
      </w:r>
    </w:p>
    <w:p>
      <w:pPr/>
      <w:r>
        <w:rPr>
          <w:rFonts w:ascii="Times New Roman" w:hAnsi="Times New Roman" w:eastAsia="宋体"/>
          <w:color w:val="000000"/>
          <w:sz w:val="24"/>
        </w:rPr>
        <w:t>形成年度授权、项目交付和数据报告三类稳定收入。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7.4 长期规划（2029 以后）</w:t>
      </w:r>
    </w:p>
    <w:p>
      <w:pPr/>
      <w:r>
        <w:rPr>
          <w:rFonts w:ascii="Times New Roman" w:hAnsi="Times New Roman" w:eastAsia="宋体"/>
          <w:color w:val="000000"/>
          <w:sz w:val="24"/>
        </w:rPr>
        <w:t>平台扩展至应急物资、景区补给、医疗小件、工业园巡检和港区短驳等场景。</w:t>
      </w:r>
    </w:p>
    <w:p>
      <w:pPr/>
      <w:r>
        <w:rPr>
          <w:rFonts w:ascii="Times New Roman" w:hAnsi="Times New Roman" w:eastAsia="宋体"/>
          <w:color w:val="000000"/>
          <w:sz w:val="24"/>
        </w:rPr>
        <w:t>建立低空绿色物流场景模板库，覆盖校园、园区、景区和应急场景。</w:t>
      </w:r>
    </w:p>
    <w:p>
      <w:pPr/>
      <w:r>
        <w:rPr>
          <w:rFonts w:ascii="Times New Roman" w:hAnsi="Times New Roman" w:eastAsia="宋体"/>
          <w:color w:val="000000"/>
          <w:sz w:val="24"/>
        </w:rPr>
        <w:t>开放厂商接口，连接无人机、无人车、园区地图和订单系统。</w:t>
      </w:r>
    </w:p>
    <w:p>
      <w:pPr/>
      <w:r>
        <w:rPr>
          <w:rFonts w:ascii="Times New Roman" w:hAnsi="Times New Roman" w:eastAsia="宋体"/>
          <w:color w:val="000000"/>
          <w:sz w:val="24"/>
        </w:rPr>
        <w:t>形成区域化服务网络，输出低空物流试点前决策工具和运营数据服务。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7.5 项目愿景</w:t>
      </w:r>
    </w:p>
    <w:p>
      <w:pPr/>
      <w:r>
        <w:rPr>
          <w:rFonts w:ascii="Times New Roman" w:hAnsi="Times New Roman" w:eastAsia="宋体"/>
          <w:color w:val="000000"/>
          <w:sz w:val="24"/>
        </w:rPr>
        <w:t>三年目标：成为校园和园区低空配送试点前的数字化评估工具。</w:t>
      </w:r>
    </w:p>
    <w:p>
      <w:pPr/>
      <w:r>
        <w:rPr>
          <w:rFonts w:ascii="Times New Roman" w:hAnsi="Times New Roman" w:eastAsia="宋体"/>
          <w:color w:val="000000"/>
          <w:sz w:val="24"/>
        </w:rPr>
        <w:t>五年目标：成为连接 UAV、AGV、园区订单系统和绿色运营报告的低空物流调度平台。</w:t>
      </w:r>
    </w:p>
    <w:p>
      <w:pPr/>
      <w:r>
        <w:rPr>
          <w:rFonts w:ascii="Times New Roman" w:hAnsi="Times New Roman" w:eastAsia="宋体"/>
          <w:color w:val="000000"/>
          <w:sz w:val="24"/>
        </w:rPr>
        <w:t>长期目标：让低空绿色物流从概念展示进入可计算、可验证、可复制的运营体系。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7.6 社会价值量化路径</w:t>
      </w:r>
    </w:p>
    <w:p>
      <w:pPr/>
      <w:r>
        <w:rPr>
          <w:rFonts w:ascii="Times New Roman" w:hAnsi="Times New Roman" w:eastAsia="宋体"/>
          <w:color w:val="000000"/>
          <w:sz w:val="24"/>
        </w:rPr>
        <w:t>绿色价值量化：以单任务能耗、单位距离能耗、年度订单量和碳排因子计算年度减排数据。</w:t>
      </w:r>
    </w:p>
    <w:p>
      <w:pPr/>
      <w:r>
        <w:rPr>
          <w:rFonts w:ascii="Times New Roman" w:hAnsi="Times New Roman" w:eastAsia="宋体"/>
          <w:color w:val="000000"/>
          <w:sz w:val="24"/>
        </w:rPr>
        <w:t>效率价值量化：以准时率、完成率、等待时间和人工调度时长计算运营改善数据。</w:t>
      </w:r>
    </w:p>
    <w:p>
      <w:pPr/>
      <w:r>
        <w:rPr>
          <w:rFonts w:ascii="Times New Roman" w:hAnsi="Times New Roman" w:eastAsia="宋体"/>
          <w:color w:val="000000"/>
          <w:sz w:val="24"/>
        </w:rPr>
        <w:t>示范价值量化：以样板场景数、客户报告数、合作单位数和申报材料数计算项目扩散效果。</w:t>
      </w:r>
    </w:p>
    <w:p>
      <w:pPr/>
      <w:r>
        <w:rPr>
          <w:rFonts w:ascii="Times New Roman" w:hAnsi="Times New Roman" w:eastAsia="宋体"/>
          <w:color w:val="000000"/>
          <w:sz w:val="24"/>
        </w:rPr>
        <w:t>教育价值量化：以参与学生数、代码版本数、软著数量、竞赛成果和企业访谈次数计算创新创业训练成果。</w:t>
      </w:r>
    </w:p>
    <w:p>
      <w:r>
        <w:br w:type="page"/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7.7 就业与人才培养价值</w:t>
      </w:r>
    </w:p>
    <w:p>
      <w:pPr/>
      <w:r>
        <w:rPr>
          <w:rFonts w:ascii="Times New Roman" w:hAnsi="Times New Roman" w:eastAsia="宋体"/>
          <w:color w:val="000000"/>
          <w:sz w:val="24"/>
        </w:rPr>
        <w:t>项目训练岗位覆盖算法、软件、数据、产品、市场和运营。每个岗位对应具体交付物，学生参与完整商业化链条。</w:t>
      </w:r>
    </w:p>
    <w:p>
      <w:pPr/>
      <w:r>
        <w:rPr>
          <w:rFonts w:ascii="Times New Roman" w:hAnsi="Times New Roman" w:eastAsia="宋体"/>
          <w:color w:val="000000"/>
          <w:sz w:val="24"/>
        </w:rPr>
        <w:t>算法岗位完成 ALNS、候选中继点和动态回退；软件岗位完成场景配置、看板和报告导出；商业岗位完成客户访谈、报价、销售材料和财务测算。</w:t>
      </w:r>
    </w:p>
    <w:p>
      <w:pPr/>
      <w:r>
        <w:rPr>
          <w:rFonts w:ascii="Times New Roman" w:hAnsi="Times New Roman" w:eastAsia="宋体"/>
          <w:color w:val="000000"/>
          <w:sz w:val="24"/>
        </w:rPr>
        <w:t>项目形成课程实践、竞赛训练、软著申请和企业访谈四类成果，提升学生工程能力和创业能力。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7.8 区域产业带动价值</w:t>
      </w:r>
    </w:p>
    <w:p>
      <w:pPr/>
      <w:r>
        <w:rPr>
          <w:rFonts w:ascii="Times New Roman" w:hAnsi="Times New Roman" w:eastAsia="宋体"/>
          <w:color w:val="000000"/>
          <w:sz w:val="24"/>
        </w:rPr>
        <w:t>项目服务湘潭及周边高校、园区和景区低空物流试点，形成地方低空经济应用样板。</w:t>
      </w:r>
    </w:p>
    <w:p>
      <w:pPr/>
      <w:r>
        <w:rPr>
          <w:rFonts w:ascii="Times New Roman" w:hAnsi="Times New Roman" w:eastAsia="宋体"/>
          <w:color w:val="000000"/>
          <w:sz w:val="24"/>
        </w:rPr>
        <w:t>平台与无人机、无人车企业合作，提升硬件方案完整度，带动设备销售、场景交付和运维服务。</w:t>
      </w:r>
    </w:p>
    <w:p>
      <w:pPr/>
      <w:r>
        <w:rPr>
          <w:rFonts w:ascii="Times New Roman" w:hAnsi="Times New Roman" w:eastAsia="宋体"/>
          <w:color w:val="000000"/>
          <w:sz w:val="24"/>
        </w:rPr>
        <w:t>区域样板形成后，可复制到更多园区、景区和应急补给场景，支撑地方低空经济从示范到应用。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7.9 绿色报告样例指标</w:t>
      </w:r>
    </w:p>
    <w:p>
      <w:pPr/>
      <w:r>
        <w:rPr>
          <w:rFonts w:ascii="Times New Roman" w:hAnsi="Times New Roman" w:eastAsia="宋体"/>
          <w:color w:val="000000"/>
          <w:sz w:val="24"/>
        </w:rPr>
        <w:t>月度绿色报告包含订单量、总行驶距离、无效行驶减少量、单任务能耗、单位距离能耗和碳排估算。</w:t>
      </w:r>
    </w:p>
    <w:p>
      <w:pPr/>
      <w:r>
        <w:rPr>
          <w:rFonts w:ascii="Times New Roman" w:hAnsi="Times New Roman" w:eastAsia="宋体"/>
          <w:color w:val="000000"/>
          <w:sz w:val="24"/>
        </w:rPr>
        <w:t>年度绿色报告包含累计订单、累计能耗、同比优化、设备利用率、异常记录和下一年度优化建议。</w:t>
      </w:r>
    </w:p>
    <w:p>
      <w:pPr/>
      <w:r>
        <w:rPr>
          <w:rFonts w:ascii="Times New Roman" w:hAnsi="Times New Roman" w:eastAsia="宋体"/>
          <w:color w:val="000000"/>
          <w:sz w:val="24"/>
        </w:rPr>
        <w:t>客户可将绿色报告用于绿色校园、智慧园区、低碳示范和 ESG 展示材料。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6"/>
        </w:rPr>
        <w:t>第 8 章 风险分析与应对措施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8.1 风险总表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风险类型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概率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2069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64" w:lineRule="auto" w:after="20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具体预案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技术风险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计算速度和方案稳定性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分区优化、启发式初始解、指标回归测试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政策安全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真实试点延期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半封闭路线、合规厂商、备用点和人工接管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市场风险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客户转化慢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低价评估切入、样板案例、渠道合作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资金风险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中低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研发和交付受限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分期付款、轻资产、不自购硬件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团队交付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进度波动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周度看板、版本管理、资料归档</w:t>
            </w:r>
          </w:p>
        </w:tc>
      </w:tr>
      <w:tr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数据合规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中低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客户信任下降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64" w:lineRule="auto" w:after="20" w:before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最小采集、脱敏展示、客户数据隔离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8.2 技术风险</w:t>
      </w:r>
    </w:p>
    <w:p>
      <w:pPr/>
      <w:r>
        <w:rPr>
          <w:rFonts w:ascii="Times New Roman" w:hAnsi="Times New Roman" w:eastAsia="宋体"/>
          <w:color w:val="000000"/>
          <w:sz w:val="24"/>
        </w:rPr>
        <w:t>风险描述：订单规模扩大后，算法计算时间增加，路线结果稳定性下降。</w:t>
      </w:r>
    </w:p>
    <w:p>
      <w:pPr/>
      <w:r>
        <w:rPr>
          <w:rFonts w:ascii="Times New Roman" w:hAnsi="Times New Roman" w:eastAsia="宋体"/>
          <w:color w:val="000000"/>
          <w:sz w:val="24"/>
        </w:rPr>
        <w:t>概率：中。影响：客户演示和试点效率下降。</w:t>
      </w:r>
    </w:p>
    <w:p>
      <w:pPr/>
      <w:r>
        <w:rPr>
          <w:rFonts w:ascii="Times New Roman" w:hAnsi="Times New Roman" w:eastAsia="宋体"/>
          <w:color w:val="000000"/>
          <w:sz w:val="24"/>
        </w:rPr>
        <w:t>已落地预案：启发式初始解、分区优化、局部重优化。下一阶段目标：100 单规模计算时间控制在 5 秒以内，500 单场景采用分区计算。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8.3 政策与安全风险</w:t>
      </w:r>
    </w:p>
    <w:p>
      <w:pPr/>
      <w:r>
        <w:rPr>
          <w:rFonts w:ascii="Times New Roman" w:hAnsi="Times New Roman" w:eastAsia="宋体"/>
          <w:color w:val="000000"/>
          <w:sz w:val="24"/>
        </w:rPr>
        <w:t>风险描述：低空飞行审批、场地安全和责任边界影响真实试点。</w:t>
      </w:r>
    </w:p>
    <w:p>
      <w:pPr/>
      <w:r>
        <w:rPr>
          <w:rFonts w:ascii="Times New Roman" w:hAnsi="Times New Roman" w:eastAsia="宋体"/>
          <w:color w:val="000000"/>
          <w:sz w:val="24"/>
        </w:rPr>
        <w:t>概率：中。影响：真实飞行试点延期。</w:t>
      </w:r>
    </w:p>
    <w:p>
      <w:pPr/>
      <w:r>
        <w:rPr>
          <w:rFonts w:ascii="Times New Roman" w:hAnsi="Times New Roman" w:eastAsia="宋体"/>
          <w:color w:val="000000"/>
          <w:sz w:val="24"/>
        </w:rPr>
        <w:t>已落地预案：先做数字仿真和半封闭路线；真实设备运行与合规硬件厂商合作；系统设置禁行区、备用回收点和人工接管机制。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8.4 市场风险</w:t>
      </w:r>
    </w:p>
    <w:p>
      <w:pPr/>
      <w:r>
        <w:rPr>
          <w:rFonts w:ascii="Times New Roman" w:hAnsi="Times New Roman" w:eastAsia="宋体"/>
          <w:color w:val="000000"/>
          <w:sz w:val="24"/>
        </w:rPr>
        <w:t>风险描述：客户兴趣高，预算审批慢；低空物流试点从关注到采购周期较长。</w:t>
      </w:r>
    </w:p>
    <w:p>
      <w:pPr/>
      <w:r>
        <w:rPr>
          <w:rFonts w:ascii="Times New Roman" w:hAnsi="Times New Roman" w:eastAsia="宋体"/>
          <w:color w:val="000000"/>
          <w:sz w:val="24"/>
        </w:rPr>
        <w:t>概率：中。影响：收入确认延后。</w:t>
      </w:r>
    </w:p>
    <w:p>
      <w:pPr/>
      <w:r>
        <w:rPr>
          <w:rFonts w:ascii="Times New Roman" w:hAnsi="Times New Roman" w:eastAsia="宋体"/>
          <w:color w:val="000000"/>
          <w:sz w:val="24"/>
        </w:rPr>
        <w:t>已落地预案：仿真评估服务作为低价入口，平台授权作为中期收入，硬件厂商渠道作为外部客户来源。客户先购买 1-3 万元评估服务，再进入年度授权和试点。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8.5 资金风险</w:t>
      </w:r>
    </w:p>
    <w:p>
      <w:pPr/>
      <w:r>
        <w:rPr>
          <w:rFonts w:ascii="Times New Roman" w:hAnsi="Times New Roman" w:eastAsia="宋体"/>
          <w:color w:val="000000"/>
          <w:sz w:val="24"/>
        </w:rPr>
        <w:t>风险描述：研发、市场和交付投入超过早期现金流承受能力。</w:t>
      </w:r>
    </w:p>
    <w:p>
      <w:pPr/>
      <w:r>
        <w:rPr>
          <w:rFonts w:ascii="Times New Roman" w:hAnsi="Times New Roman" w:eastAsia="宋体"/>
          <w:color w:val="000000"/>
          <w:sz w:val="24"/>
        </w:rPr>
        <w:t>概率：中低。影响：产品迭代和客户拓展放缓。</w:t>
      </w:r>
    </w:p>
    <w:p>
      <w:pPr/>
      <w:r>
        <w:rPr>
          <w:rFonts w:ascii="Times New Roman" w:hAnsi="Times New Roman" w:eastAsia="宋体"/>
          <w:color w:val="000000"/>
          <w:sz w:val="24"/>
        </w:rPr>
        <w:t>已落地预案：硬件由客户或厂商承担；项目采用预付款、阶段款、验收款；研发按客户交付优先级排序。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8.6 团队与交付风险</w:t>
      </w:r>
    </w:p>
    <w:p>
      <w:pPr/>
      <w:r>
        <w:rPr>
          <w:rFonts w:ascii="Times New Roman" w:hAnsi="Times New Roman" w:eastAsia="宋体"/>
          <w:color w:val="000000"/>
          <w:sz w:val="24"/>
        </w:rPr>
        <w:t>风险描述：学生团队时间受课程、比赛和人员变动影响，交付节奏波动。</w:t>
      </w:r>
    </w:p>
    <w:p>
      <w:pPr/>
      <w:r>
        <w:rPr>
          <w:rFonts w:ascii="Times New Roman" w:hAnsi="Times New Roman" w:eastAsia="宋体"/>
          <w:color w:val="000000"/>
          <w:sz w:val="24"/>
        </w:rPr>
        <w:t>概率：中。影响：版本延期和客户响应下降。</w:t>
      </w:r>
    </w:p>
    <w:p>
      <w:pPr/>
      <w:r>
        <w:rPr>
          <w:rFonts w:ascii="Times New Roman" w:hAnsi="Times New Roman" w:eastAsia="宋体"/>
          <w:color w:val="000000"/>
          <w:sz w:val="24"/>
        </w:rPr>
        <w:t>已落地预案：建立周度任务看板、版本里程碑、代码与材料归档；核心资料包括算法说明、测试结果、客户材料、财务模型和演示文件。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8.7 数据合规风险</w:t>
      </w:r>
    </w:p>
    <w:p>
      <w:pPr/>
      <w:r>
        <w:rPr>
          <w:rFonts w:ascii="Times New Roman" w:hAnsi="Times New Roman" w:eastAsia="宋体"/>
          <w:color w:val="000000"/>
          <w:sz w:val="24"/>
        </w:rPr>
        <w:t>风险描述：订单位置、时间和路线数据涉及客户运营信息，管理不当影响合作信任。</w:t>
      </w:r>
    </w:p>
    <w:p>
      <w:pPr/>
      <w:r>
        <w:rPr>
          <w:rFonts w:ascii="Times New Roman" w:hAnsi="Times New Roman" w:eastAsia="宋体"/>
          <w:color w:val="000000"/>
          <w:sz w:val="24"/>
        </w:rPr>
        <w:t>概率：中低。影响：客户数据授权受限。</w:t>
      </w:r>
    </w:p>
    <w:p>
      <w:pPr/>
      <w:r>
        <w:rPr>
          <w:rFonts w:ascii="Times New Roman" w:hAnsi="Times New Roman" w:eastAsia="宋体"/>
          <w:color w:val="000000"/>
          <w:sz w:val="24"/>
        </w:rPr>
        <w:t>已落地预案：最小必要采集、客户数据分区存储、对外展示脱敏汇总指标、行业基准库采用匿名化数据。</w:t>
      </w:r>
    </w:p>
    <w:p>
      <w:r>
        <w:br w:type="page"/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8.8 风险台账机制</w:t>
      </w:r>
    </w:p>
    <w:p>
      <w:pPr/>
      <w:r>
        <w:rPr>
          <w:rFonts w:ascii="Times New Roman" w:hAnsi="Times New Roman" w:eastAsia="宋体"/>
          <w:color w:val="000000"/>
          <w:sz w:val="24"/>
        </w:rPr>
        <w:t>风险台账字段包含风险类型、触发条件、概率、影响、责任人、预案状态和复盘结果。每周更新一次，客户试点阶段按项目更新。</w:t>
      </w:r>
    </w:p>
    <w:p>
      <w:pPr/>
      <w:r>
        <w:rPr>
          <w:rFonts w:ascii="Times New Roman" w:hAnsi="Times New Roman" w:eastAsia="宋体"/>
          <w:color w:val="000000"/>
          <w:sz w:val="24"/>
        </w:rPr>
        <w:t>技术风险台账记录计算时间、失败任务、异常回退和指标波动。市场风险台账记录客户阶段、流失原因和下一步动作。资金风险台账记录应收款、预算执行和现金余额。</w:t>
      </w:r>
    </w:p>
    <w:p>
      <w:pPr/>
      <w:r>
        <w:rPr>
          <w:rFonts w:ascii="Times New Roman" w:hAnsi="Times New Roman" w:eastAsia="宋体"/>
          <w:color w:val="000000"/>
          <w:sz w:val="24"/>
        </w:rPr>
        <w:t>风险台账服务项目管理和客户复盘。试点客户可查看关键异常记录和处理结果，增强合作透明度。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8.9 交付质量控制</w:t>
      </w:r>
    </w:p>
    <w:p>
      <w:pPr/>
      <w:r>
        <w:rPr>
          <w:rFonts w:ascii="Times New Roman" w:hAnsi="Times New Roman" w:eastAsia="宋体"/>
          <w:color w:val="000000"/>
          <w:sz w:val="24"/>
        </w:rPr>
        <w:t>交付前检查：客户数据完整性、点位准确性、设备参数、路线边界和安全约束。</w:t>
      </w:r>
    </w:p>
    <w:p>
      <w:pPr/>
      <w:r>
        <w:rPr>
          <w:rFonts w:ascii="Times New Roman" w:hAnsi="Times New Roman" w:eastAsia="宋体"/>
          <w:color w:val="000000"/>
          <w:sz w:val="24"/>
        </w:rPr>
        <w:t>交付中检查：模型版本、策略结果、报告编号、客户确认记录和变更记录。</w:t>
      </w:r>
    </w:p>
    <w:p>
      <w:pPr/>
      <w:r>
        <w:rPr>
          <w:rFonts w:ascii="Times New Roman" w:hAnsi="Times New Roman" w:eastAsia="宋体"/>
          <w:color w:val="000000"/>
          <w:sz w:val="24"/>
        </w:rPr>
        <w:t>交付后检查：验收指标、运营报告、异常复盘、客户满意度和续费机会。</w:t>
      </w:r>
    </w:p>
    <w:p>
      <w:pPr/>
      <w:r>
        <w:rPr>
          <w:rFonts w:ascii="Times New Roman" w:hAnsi="Times New Roman" w:eastAsia="宋体"/>
          <w:color w:val="000000"/>
          <w:sz w:val="24"/>
        </w:rPr>
        <w:t>质量控制结果进入项目资料库，作为下一客户复制模板。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8.10 品牌与舆情控制</w:t>
      </w:r>
    </w:p>
    <w:p>
      <w:pPr/>
      <w:r>
        <w:rPr>
          <w:rFonts w:ascii="Times New Roman" w:hAnsi="Times New Roman" w:eastAsia="宋体"/>
          <w:color w:val="000000"/>
          <w:sz w:val="24"/>
        </w:rPr>
        <w:t>品牌表达关键词为绿色、可靠、可计算、可落地。所有对外材料统一使用平台定位、核心指标、试点边界和客户价值四类信息。</w:t>
      </w:r>
    </w:p>
    <w:p>
      <w:pPr/>
      <w:r>
        <w:rPr>
          <w:rFonts w:ascii="Times New Roman" w:hAnsi="Times New Roman" w:eastAsia="宋体"/>
          <w:color w:val="000000"/>
          <w:sz w:val="24"/>
        </w:rPr>
        <w:t>试点宣传采用审慎口径，聚焦数字化评估、路线优化和绿色报告。现场演示标注运行范围、安全边界和人工接管机制。</w:t>
      </w:r>
    </w:p>
    <w:p>
      <w:pPr/>
      <w:r>
        <w:rPr>
          <w:rFonts w:ascii="Times New Roman" w:hAnsi="Times New Roman" w:eastAsia="宋体"/>
          <w:color w:val="000000"/>
          <w:sz w:val="24"/>
        </w:rPr>
        <w:t>用户反馈进入月度报告。噪声、路线干扰、安全疑虑和服务体验均形成记录，作为后续路线优化依据。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6"/>
        </w:rPr>
        <w:t>第 9 章 附录与支撑材料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9.1 典型场景方案</w:t>
      </w:r>
    </w:p>
    <w:p>
      <w:pPr/>
      <w:r>
        <w:rPr>
          <w:rFonts w:ascii="Times New Roman" w:hAnsi="Times New Roman" w:eastAsia="宋体"/>
          <w:color w:val="000000"/>
          <w:sz w:val="24"/>
        </w:rPr>
        <w:t>校园场景：快递驿站、宿舍区、教学区、食堂、校医院组成高频点位网络。平台输出订单聚类、候选中继点、UAV/AGV 协同路线和绿色指标。</w:t>
      </w:r>
    </w:p>
    <w:p>
      <w:pPr/>
      <w:r>
        <w:rPr>
          <w:rFonts w:ascii="Times New Roman" w:hAnsi="Times New Roman" w:eastAsia="宋体"/>
          <w:color w:val="000000"/>
          <w:sz w:val="24"/>
        </w:rPr>
        <w:t>园区场景：企业楼宇、服务中心、餐饮点和仓储点组成短驳网络。平台输出设备数量、服务半径、路线成本和月度运营报告。</w:t>
      </w:r>
    </w:p>
    <w:p>
      <w:pPr/>
      <w:r>
        <w:rPr>
          <w:rFonts w:ascii="Times New Roman" w:hAnsi="Times New Roman" w:eastAsia="宋体"/>
          <w:color w:val="000000"/>
          <w:sz w:val="24"/>
        </w:rPr>
        <w:t>景区场景：游客服务中心、补给点、观景台和应急点组成补给网络。平台输出安全路径、备用点和补给方案。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9.2 客户访谈重点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当前日均短途配送订单量、峰值时间段和主要路线。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现有人工、车辆和管理成本。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客户最关注的约束：安全、成本、准时率、噪声、审批或展示价值。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是否具备绿色校园、智慧园区、低空经济示范或文旅创新需求。</w:t>
      </w:r>
    </w:p>
    <w:p>
      <w:pPr>
        <w:pStyle w:val="ListBullet"/>
        <w:spacing w:line="300" w:lineRule="auto"/>
        <w:ind w:left="425" w:firstLine="0"/>
      </w:pPr>
      <w:r>
        <w:rPr>
          <w:rFonts w:ascii="Times New Roman" w:hAnsi="Times New Roman" w:eastAsia="宋体"/>
          <w:color w:val="000000"/>
          <w:sz w:val="24"/>
        </w:rPr>
        <w:t>可提供的数据类型：路网、点位、订单样本、设备参数、现有成本。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9.3 校园样板实施设想</w:t>
      </w:r>
    </w:p>
    <w:p>
      <w:pPr/>
      <w:r>
        <w:rPr>
          <w:rFonts w:ascii="Times New Roman" w:hAnsi="Times New Roman" w:eastAsia="宋体"/>
          <w:color w:val="000000"/>
          <w:sz w:val="24"/>
        </w:rPr>
        <w:t>样板路线一：快递驿站至宿舍区。验证高频小件配送、订单聚类和高峰调度。</w:t>
      </w:r>
    </w:p>
    <w:p>
      <w:pPr/>
      <w:r>
        <w:rPr>
          <w:rFonts w:ascii="Times New Roman" w:hAnsi="Times New Roman" w:eastAsia="宋体"/>
          <w:color w:val="000000"/>
          <w:sz w:val="24"/>
        </w:rPr>
        <w:t>样板路线二：食堂至宿舍区。验证时间窗约束、准时率和高峰期任务分配。</w:t>
      </w:r>
    </w:p>
    <w:p>
      <w:pPr/>
      <w:r>
        <w:rPr>
          <w:rFonts w:ascii="Times New Roman" w:hAnsi="Times New Roman" w:eastAsia="宋体"/>
          <w:color w:val="000000"/>
          <w:sz w:val="24"/>
        </w:rPr>
        <w:t>样板路线三：教学楼至办公区。验证低风险物资配送和固定路线运营。</w:t>
      </w:r>
    </w:p>
    <w:p>
      <w:pPr/>
      <w:r>
        <w:rPr>
          <w:rFonts w:ascii="Times New Roman" w:hAnsi="Times New Roman" w:eastAsia="宋体"/>
          <w:color w:val="000000"/>
          <w:sz w:val="24"/>
        </w:rPr>
        <w:t>样板交付物：校园数字沙盘、候选中继点图、策略对比报告、能耗测算报告和演示视频。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0"/>
        </w:rPr>
        <w:t>9.4 园区试点实施设想</w:t>
      </w:r>
    </w:p>
    <w:p>
      <w:pPr/>
      <w:r>
        <w:rPr>
          <w:rFonts w:ascii="Times New Roman" w:hAnsi="Times New Roman" w:eastAsia="宋体"/>
          <w:color w:val="000000"/>
          <w:sz w:val="24"/>
        </w:rPr>
        <w:t>试点对象选择楼宇集中、道路边界清晰、运营方配合度高的大学科技园或产业园。</w:t>
      </w:r>
    </w:p>
    <w:p>
      <w:pPr/>
      <w:r>
        <w:rPr>
          <w:rFonts w:ascii="Times New Roman" w:hAnsi="Times New Roman" w:eastAsia="宋体"/>
          <w:color w:val="000000"/>
          <w:sz w:val="24"/>
        </w:rPr>
        <w:t>初始订单选择文件、小件、样品和餐饮短驳，避免高价值和高敏感物资。</w:t>
      </w:r>
    </w:p>
    <w:p>
      <w:pPr/>
      <w:r>
        <w:rPr>
          <w:rFonts w:ascii="Times New Roman" w:hAnsi="Times New Roman" w:eastAsia="宋体"/>
          <w:color w:val="000000"/>
          <w:sz w:val="24"/>
        </w:rPr>
        <w:t>试点报告包含现有配送成本、设备配置建议、路线组织方案、预计效率提升和回收周期。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9.5 数据采集模板</w:t>
      </w:r>
    </w:p>
    <w:p>
      <w:pPr/>
      <w:r>
        <w:rPr>
          <w:rFonts w:ascii="Times New Roman" w:hAnsi="Times New Roman" w:eastAsia="宋体"/>
          <w:color w:val="000000"/>
          <w:sz w:val="24"/>
        </w:rPr>
        <w:t>基础场景数据：总站位置、服务点位置、道路连通关系、禁行区域、候选停靠点、楼宇入口和安全缓冲区。</w:t>
      </w:r>
    </w:p>
    <w:p>
      <w:pPr/>
      <w:r>
        <w:rPr>
          <w:rFonts w:ascii="Times New Roman" w:hAnsi="Times New Roman" w:eastAsia="宋体"/>
          <w:color w:val="000000"/>
          <w:sz w:val="24"/>
        </w:rPr>
        <w:t>订单数据：订单数量、时间窗、服务点、重量等级、优先级、取消率和高峰时段。</w:t>
      </w:r>
    </w:p>
    <w:p>
      <w:pPr/>
      <w:r>
        <w:rPr>
          <w:rFonts w:ascii="Times New Roman" w:hAnsi="Times New Roman" w:eastAsia="宋体"/>
          <w:color w:val="000000"/>
          <w:sz w:val="24"/>
        </w:rPr>
        <w:t>设备数据：UAV 续航、载重、速度、起降条件、AGV 速度、等待成本、回收时间和补能时间。</w:t>
      </w:r>
    </w:p>
    <w:p>
      <w:pPr/>
      <w:r>
        <w:rPr>
          <w:rFonts w:ascii="Times New Roman" w:hAnsi="Times New Roman" w:eastAsia="宋体"/>
          <w:color w:val="000000"/>
          <w:sz w:val="24"/>
        </w:rPr>
        <w:t>经营数据：人工成本、车辆成本、现有配送时长、投诉记录、服务满意度和绿色申报需求。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9.6 验收清单</w:t>
      </w:r>
    </w:p>
    <w:p>
      <w:pPr/>
      <w:r>
        <w:rPr>
          <w:rFonts w:ascii="Times New Roman" w:hAnsi="Times New Roman" w:eastAsia="宋体"/>
          <w:color w:val="000000"/>
          <w:sz w:val="24"/>
        </w:rPr>
        <w:t>评估报告验收：场景图、订单假设、设备建议、路线方案、成本测算、能耗测算和风险提示齐备。</w:t>
      </w:r>
    </w:p>
    <w:p>
      <w:pPr/>
      <w:r>
        <w:rPr>
          <w:rFonts w:ascii="Times New Roman" w:hAnsi="Times New Roman" w:eastAsia="宋体"/>
          <w:color w:val="000000"/>
          <w:sz w:val="24"/>
        </w:rPr>
        <w:t>系统功能验收：场景配置、订单导入、策略计算、结果展示、报告导出和异常记录可用。</w:t>
      </w:r>
    </w:p>
    <w:p>
      <w:pPr/>
      <w:r>
        <w:rPr>
          <w:rFonts w:ascii="Times New Roman" w:hAnsi="Times New Roman" w:eastAsia="宋体"/>
          <w:color w:val="000000"/>
          <w:sz w:val="24"/>
        </w:rPr>
        <w:t>试点运行验收：任务完成率、准时率、平均等待时间、设备利用率和异常处理记录达到协议要求。</w:t>
      </w:r>
    </w:p>
    <w:p>
      <w:pPr/>
      <w:r>
        <w:rPr>
          <w:rFonts w:ascii="Times New Roman" w:hAnsi="Times New Roman" w:eastAsia="宋体"/>
          <w:color w:val="000000"/>
          <w:sz w:val="24"/>
        </w:rPr>
        <w:t>客户交付验收：培训记录、系统账号、报告文件、数据备份和下一阶段优化建议交付完成。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9.7 景区补给场景实施设想</w:t>
      </w:r>
    </w:p>
    <w:p>
      <w:pPr/>
      <w:r>
        <w:rPr>
          <w:rFonts w:ascii="Times New Roman" w:hAnsi="Times New Roman" w:eastAsia="宋体"/>
          <w:color w:val="000000"/>
          <w:sz w:val="24"/>
        </w:rPr>
        <w:t>景区场景优先验证补给、应急和游客服务。路线覆盖游客服务中心、补给点、观景平台和医疗点。</w:t>
      </w:r>
    </w:p>
    <w:p>
      <w:pPr/>
      <w:r>
        <w:rPr>
          <w:rFonts w:ascii="Times New Roman" w:hAnsi="Times New Roman" w:eastAsia="宋体"/>
          <w:color w:val="000000"/>
          <w:sz w:val="24"/>
        </w:rPr>
        <w:t>安全模型包含人流密度、禁行区、备用降落点、天气影响和噪声控制。</w:t>
      </w:r>
    </w:p>
    <w:p>
      <w:pPr/>
      <w:r>
        <w:rPr>
          <w:rFonts w:ascii="Times New Roman" w:hAnsi="Times New Roman" w:eastAsia="宋体"/>
          <w:color w:val="000000"/>
          <w:sz w:val="24"/>
        </w:rPr>
        <w:t>景区方案输出智慧文旅、绿色景区和应急补给三类价值，适合形成示范项目。</w:t>
      </w:r>
    </w:p>
    <w:sectPr w:rsidR="00FC693F" w:rsidRPr="0006063C" w:rsidSect="00034616">
      <w:pgSz w:w="12240" w:h="15840"/>
      <w:pgMar w:top="1247" w:right="1389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  <w:ind w:firstLine="4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