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80" w:before="0"/>
        <w:jc w:val="left"/>
      </w:pPr>
      <w:r>
        <w:rPr>
          <w:rFonts w:ascii="宋体" w:hAnsi="宋体" w:eastAsia="宋体"/>
          <w:b w:val="0"/>
          <w:color w:val="000000"/>
          <w:sz w:val="24"/>
        </w:rPr>
      </w:r>
    </w:p>
    <w:p>
      <w:pPr>
        <w:spacing w:line="300" w:lineRule="auto" w:after="80" w:before="0"/>
        <w:jc w:val="left"/>
      </w:pPr>
      <w:r>
        <w:rPr>
          <w:rFonts w:ascii="宋体" w:hAnsi="宋体" w:eastAsia="宋体"/>
          <w:b w:val="0"/>
          <w:color w:val="000000"/>
          <w:sz w:val="24"/>
        </w:rPr>
      </w:r>
    </w:p>
    <w:p>
      <w:pPr>
        <w:spacing w:line="300" w:lineRule="auto" w:after="560" w:before="0"/>
        <w:jc w:val="center"/>
      </w:pPr>
      <w:r>
        <w:rPr>
          <w:rFonts w:ascii="宋体" w:hAnsi="宋体" w:eastAsia="宋体"/>
          <w:b/>
          <w:color w:val="000000"/>
          <w:sz w:val="52"/>
        </w:rPr>
        <w:t>2026 年</w:t>
      </w:r>
    </w:p>
    <w:p>
      <w:pPr>
        <w:spacing w:line="300" w:lineRule="auto" w:after="560" w:before="0"/>
        <w:jc w:val="center"/>
      </w:pPr>
      <w:r>
        <w:rPr>
          <w:rFonts w:ascii="宋体" w:hAnsi="宋体" w:eastAsia="宋体"/>
          <w:b/>
          <w:color w:val="000000"/>
          <w:sz w:val="48"/>
        </w:rPr>
        <w:t>中国国际大学生创新大赛</w:t>
      </w:r>
    </w:p>
    <w:p>
      <w:pPr>
        <w:spacing w:line="300" w:lineRule="auto" w:after="2640" w:before="0"/>
        <w:jc w:val="center"/>
      </w:pPr>
      <w:r>
        <w:rPr>
          <w:rFonts w:ascii="宋体" w:hAnsi="宋体" w:eastAsia="宋体"/>
          <w:b/>
          <w:color w:val="000000"/>
          <w:sz w:val="48"/>
        </w:rPr>
        <w:t>商业计划书</w:t>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项目名称：</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“空地绿配智控平台”——基于 ALNS 的 UAV-AGV 协同</w:t>
            </w:r>
          </w:p>
        </w:tc>
      </w:tr>
    </w:tbl>
    <w:p>
      <w:pPr>
        <w:spacing w:line="300" w:lineRule="auto" w:after="8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低空绿色物流决策系统</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参赛赛道：</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高教主赛道（商业类）</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负责人：</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王港辉</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团队成员：</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计算机科学与工程学院本科生团队</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指导老师：</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舒红梅</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所属学校/单位：</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湖南科技大学</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提交日期：</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2026 年 5 月</w:t>
            </w:r>
          </w:p>
        </w:tc>
      </w:tr>
    </w:tbl>
    <w:p>
      <w:pPr>
        <w:spacing w:line="300" w:lineRule="auto" w:after="0" w:before="0"/>
        <w:jc w:val="left"/>
      </w:pPr>
      <w:r>
        <w:rPr>
          <w:rFonts w:ascii="宋体" w:hAnsi="宋体" w:eastAsia="宋体"/>
          <w:b w:val="0"/>
          <w:color w:val="000000"/>
          <w:sz w:val="24"/>
        </w:rPr>
      </w:r>
    </w:p>
    <w:p>
      <w:r>
        <w:br w:type="page"/>
      </w:r>
    </w:p>
    <w:p>
      <w:pPr>
        <w:spacing w:line="300" w:lineRule="auto" w:after="280" w:before="0"/>
        <w:jc w:val="center"/>
      </w:pPr>
      <w:r>
        <w:rPr>
          <w:rFonts w:ascii="黑体" w:hAnsi="黑体" w:eastAsia="黑体"/>
          <w:b/>
          <w:color w:val="000000"/>
          <w:sz w:val="36"/>
        </w:rPr>
        <w:t>目录</w:t>
      </w:r>
    </w:p>
    <w:p>
      <w:pPr>
        <w:spacing w:after="20"/>
        <w:ind w:left="0"/>
      </w:pPr>
      <w:r>
        <w:rPr>
          <w:rFonts w:ascii="宋体" w:hAnsi="宋体" w:eastAsia="宋体"/>
          <w:b w:val="0"/>
          <w:color w:val="000000"/>
          <w:sz w:val="22"/>
        </w:rPr>
        <w:t>第 1 章 项目概述</w:t>
      </w:r>
      <w:r>
        <w:rPr>
          <w:rFonts w:ascii="宋体" w:hAnsi="宋体" w:eastAsia="宋体"/>
          <w:b w:val="0"/>
          <w:color w:val="000000"/>
          <w:sz w:val="22"/>
        </w:rPr>
        <w:t xml:space="preserve"> .............................................. </w:t>
      </w:r>
      <w:r>
        <w:rPr>
          <w:rFonts w:ascii="宋体" w:hAnsi="宋体" w:eastAsia="宋体"/>
          <w:b w:val="0"/>
          <w:color w:val="000000"/>
          <w:sz w:val="22"/>
        </w:rPr>
        <w:t>1</w:t>
      </w:r>
    </w:p>
    <w:p>
      <w:pPr>
        <w:spacing w:after="20"/>
        <w:ind w:left="360"/>
      </w:pPr>
      <w:r>
        <w:rPr>
          <w:rFonts w:ascii="宋体" w:hAnsi="宋体" w:eastAsia="宋体"/>
          <w:b w:val="0"/>
          <w:color w:val="000000"/>
          <w:sz w:val="22"/>
        </w:rPr>
        <w:t>1.1 2026 低空经济痛点</w:t>
      </w:r>
      <w:r>
        <w:rPr>
          <w:rFonts w:ascii="宋体" w:hAnsi="宋体" w:eastAsia="宋体"/>
          <w:b w:val="0"/>
          <w:color w:val="000000"/>
          <w:sz w:val="22"/>
        </w:rPr>
        <w:t xml:space="preserve"> ................................ </w:t>
      </w:r>
      <w:r>
        <w:rPr>
          <w:rFonts w:ascii="宋体" w:hAnsi="宋体" w:eastAsia="宋体"/>
          <w:b w:val="0"/>
          <w:color w:val="000000"/>
          <w:sz w:val="22"/>
        </w:rPr>
        <w:t>1</w:t>
      </w:r>
    </w:p>
    <w:p>
      <w:pPr>
        <w:spacing w:after="20"/>
        <w:ind w:left="360"/>
      </w:pPr>
      <w:r>
        <w:rPr>
          <w:rFonts w:ascii="宋体" w:hAnsi="宋体" w:eastAsia="宋体"/>
          <w:b w:val="0"/>
          <w:color w:val="000000"/>
          <w:sz w:val="22"/>
        </w:rPr>
        <w:t>1.2 项目简介</w:t>
      </w:r>
      <w:r>
        <w:rPr>
          <w:rFonts w:ascii="宋体" w:hAnsi="宋体" w:eastAsia="宋体"/>
          <w:b w:val="0"/>
          <w:color w:val="000000"/>
          <w:sz w:val="22"/>
        </w:rPr>
        <w:t xml:space="preserve"> .............................................. </w:t>
      </w:r>
      <w:r>
        <w:rPr>
          <w:rFonts w:ascii="宋体" w:hAnsi="宋体" w:eastAsia="宋体"/>
          <w:b w:val="0"/>
          <w:color w:val="000000"/>
          <w:sz w:val="22"/>
        </w:rPr>
        <w:t>1</w:t>
      </w:r>
    </w:p>
    <w:p>
      <w:pPr>
        <w:spacing w:after="20"/>
        <w:ind w:left="360"/>
      </w:pPr>
      <w:r>
        <w:rPr>
          <w:rFonts w:ascii="宋体" w:hAnsi="宋体" w:eastAsia="宋体"/>
          <w:b w:val="0"/>
          <w:color w:val="000000"/>
          <w:sz w:val="22"/>
        </w:rPr>
        <w:t>1.3 核心卖点</w:t>
      </w:r>
      <w:r>
        <w:rPr>
          <w:rFonts w:ascii="宋体" w:hAnsi="宋体" w:eastAsia="宋体"/>
          <w:b w:val="0"/>
          <w:color w:val="000000"/>
          <w:sz w:val="22"/>
        </w:rPr>
        <w:t xml:space="preserve"> .............................................. </w:t>
      </w:r>
      <w:r>
        <w:rPr>
          <w:rFonts w:ascii="宋体" w:hAnsi="宋体" w:eastAsia="宋体"/>
          <w:b w:val="0"/>
          <w:color w:val="000000"/>
          <w:sz w:val="22"/>
        </w:rPr>
        <w:t>3</w:t>
      </w:r>
    </w:p>
    <w:p>
      <w:pPr>
        <w:spacing w:after="20"/>
        <w:ind w:left="360"/>
      </w:pPr>
      <w:r>
        <w:rPr>
          <w:rFonts w:ascii="宋体" w:hAnsi="宋体" w:eastAsia="宋体"/>
          <w:b w:val="0"/>
          <w:color w:val="000000"/>
          <w:sz w:val="22"/>
        </w:rPr>
        <w:t>1.4 阶段成果</w:t>
      </w:r>
      <w:r>
        <w:rPr>
          <w:rFonts w:ascii="宋体" w:hAnsi="宋体" w:eastAsia="宋体"/>
          <w:b w:val="0"/>
          <w:color w:val="000000"/>
          <w:sz w:val="22"/>
        </w:rPr>
        <w:t xml:space="preserve"> .............................................. </w:t>
      </w:r>
      <w:r>
        <w:rPr>
          <w:rFonts w:ascii="宋体" w:hAnsi="宋体" w:eastAsia="宋体"/>
          <w:b w:val="0"/>
          <w:color w:val="000000"/>
          <w:sz w:val="22"/>
        </w:rPr>
        <w:t>4</w:t>
      </w:r>
    </w:p>
    <w:p>
      <w:pPr>
        <w:spacing w:after="20"/>
        <w:ind w:left="360"/>
      </w:pPr>
      <w:r>
        <w:rPr>
          <w:rFonts w:ascii="宋体" w:hAnsi="宋体" w:eastAsia="宋体"/>
          <w:b w:val="0"/>
          <w:color w:val="000000"/>
          <w:sz w:val="22"/>
        </w:rPr>
        <w:t>1.5 参赛价值</w:t>
      </w:r>
      <w:r>
        <w:rPr>
          <w:rFonts w:ascii="宋体" w:hAnsi="宋体" w:eastAsia="宋体"/>
          <w:b w:val="0"/>
          <w:color w:val="000000"/>
          <w:sz w:val="22"/>
        </w:rPr>
        <w:t xml:space="preserve"> .............................................. </w:t>
      </w:r>
      <w:r>
        <w:rPr>
          <w:rFonts w:ascii="宋体" w:hAnsi="宋体" w:eastAsia="宋体"/>
          <w:b w:val="0"/>
          <w:color w:val="000000"/>
          <w:sz w:val="22"/>
        </w:rPr>
        <w:t>5</w:t>
      </w:r>
    </w:p>
    <w:p>
      <w:pPr>
        <w:spacing w:after="20"/>
        <w:ind w:left="0"/>
      </w:pPr>
      <w:r>
        <w:rPr>
          <w:rFonts w:ascii="宋体" w:hAnsi="宋体" w:eastAsia="宋体"/>
          <w:b w:val="0"/>
          <w:color w:val="000000"/>
          <w:sz w:val="22"/>
        </w:rPr>
        <w:t>第 2 章 市场分析</w:t>
      </w:r>
      <w:r>
        <w:rPr>
          <w:rFonts w:ascii="宋体" w:hAnsi="宋体" w:eastAsia="宋体"/>
          <w:b w:val="0"/>
          <w:color w:val="000000"/>
          <w:sz w:val="22"/>
        </w:rPr>
        <w:t xml:space="preserve"> .............................................. </w:t>
      </w:r>
      <w:r>
        <w:rPr>
          <w:rFonts w:ascii="宋体" w:hAnsi="宋体" w:eastAsia="宋体"/>
          <w:b w:val="0"/>
          <w:color w:val="000000"/>
          <w:sz w:val="22"/>
        </w:rPr>
        <w:t>6</w:t>
      </w:r>
    </w:p>
    <w:p>
      <w:pPr>
        <w:spacing w:after="20"/>
        <w:ind w:left="360"/>
      </w:pPr>
      <w:r>
        <w:rPr>
          <w:rFonts w:ascii="宋体" w:hAnsi="宋体" w:eastAsia="宋体"/>
          <w:b w:val="0"/>
          <w:color w:val="000000"/>
          <w:sz w:val="22"/>
        </w:rPr>
        <w:t>2.1 PEST 分析</w:t>
      </w:r>
      <w:r>
        <w:rPr>
          <w:rFonts w:ascii="宋体" w:hAnsi="宋体" w:eastAsia="宋体"/>
          <w:b w:val="0"/>
          <w:color w:val="000000"/>
          <w:sz w:val="22"/>
        </w:rPr>
        <w:t xml:space="preserve"> ........................................ </w:t>
      </w:r>
      <w:r>
        <w:rPr>
          <w:rFonts w:ascii="宋体" w:hAnsi="宋体" w:eastAsia="宋体"/>
          <w:b w:val="0"/>
          <w:color w:val="000000"/>
          <w:sz w:val="22"/>
        </w:rPr>
        <w:t>6</w:t>
      </w:r>
    </w:p>
    <w:p>
      <w:pPr>
        <w:spacing w:after="20"/>
        <w:ind w:left="360"/>
      </w:pPr>
      <w:r>
        <w:rPr>
          <w:rFonts w:ascii="宋体" w:hAnsi="宋体" w:eastAsia="宋体"/>
          <w:b w:val="0"/>
          <w:color w:val="000000"/>
          <w:sz w:val="22"/>
        </w:rPr>
        <w:t>2.2 客户画像</w:t>
      </w:r>
      <w:r>
        <w:rPr>
          <w:rFonts w:ascii="宋体" w:hAnsi="宋体" w:eastAsia="宋体"/>
          <w:b w:val="0"/>
          <w:color w:val="000000"/>
          <w:sz w:val="22"/>
        </w:rPr>
        <w:t xml:space="preserve"> .............................................. </w:t>
      </w:r>
      <w:r>
        <w:rPr>
          <w:rFonts w:ascii="宋体" w:hAnsi="宋体" w:eastAsia="宋体"/>
          <w:b w:val="0"/>
          <w:color w:val="000000"/>
          <w:sz w:val="22"/>
        </w:rPr>
        <w:t>9</w:t>
      </w:r>
    </w:p>
    <w:p>
      <w:pPr>
        <w:spacing w:after="20"/>
        <w:ind w:left="360"/>
      </w:pPr>
      <w:r>
        <w:rPr>
          <w:rFonts w:ascii="宋体" w:hAnsi="宋体" w:eastAsia="宋体"/>
          <w:b w:val="0"/>
          <w:color w:val="000000"/>
          <w:sz w:val="22"/>
        </w:rPr>
        <w:t>2.3 市场规模与切入路径</w:t>
      </w:r>
      <w:r>
        <w:rPr>
          <w:rFonts w:ascii="宋体" w:hAnsi="宋体" w:eastAsia="宋体"/>
          <w:b w:val="0"/>
          <w:color w:val="000000"/>
          <w:sz w:val="22"/>
        </w:rPr>
        <w:t xml:space="preserve"> .................................... </w:t>
      </w:r>
      <w:r>
        <w:rPr>
          <w:rFonts w:ascii="宋体" w:hAnsi="宋体" w:eastAsia="宋体"/>
          <w:b w:val="0"/>
          <w:color w:val="000000"/>
          <w:sz w:val="22"/>
        </w:rPr>
        <w:t>10</w:t>
      </w:r>
    </w:p>
    <w:p>
      <w:pPr>
        <w:spacing w:after="20"/>
        <w:ind w:left="360"/>
      </w:pPr>
      <w:r>
        <w:rPr>
          <w:rFonts w:ascii="宋体" w:hAnsi="宋体" w:eastAsia="宋体"/>
          <w:b w:val="0"/>
          <w:color w:val="000000"/>
          <w:sz w:val="22"/>
        </w:rPr>
        <w:t>2.4 竞品分析</w:t>
      </w:r>
      <w:r>
        <w:rPr>
          <w:rFonts w:ascii="宋体" w:hAnsi="宋体" w:eastAsia="宋体"/>
          <w:b w:val="0"/>
          <w:color w:val="000000"/>
          <w:sz w:val="22"/>
        </w:rPr>
        <w:t xml:space="preserve"> .............................................. </w:t>
      </w:r>
      <w:r>
        <w:rPr>
          <w:rFonts w:ascii="宋体" w:hAnsi="宋体" w:eastAsia="宋体"/>
          <w:b w:val="0"/>
          <w:color w:val="000000"/>
          <w:sz w:val="22"/>
        </w:rPr>
        <w:t>12</w:t>
      </w:r>
    </w:p>
    <w:p>
      <w:pPr>
        <w:spacing w:after="20"/>
        <w:ind w:left="360"/>
      </w:pPr>
      <w:r>
        <w:rPr>
          <w:rFonts w:ascii="宋体" w:hAnsi="宋体" w:eastAsia="宋体"/>
          <w:b w:val="0"/>
          <w:color w:val="000000"/>
          <w:sz w:val="22"/>
        </w:rPr>
        <w:t>2.5 进入壁垒</w:t>
      </w:r>
      <w:r>
        <w:rPr>
          <w:rFonts w:ascii="宋体" w:hAnsi="宋体" w:eastAsia="宋体"/>
          <w:b w:val="0"/>
          <w:color w:val="000000"/>
          <w:sz w:val="22"/>
        </w:rPr>
        <w:t xml:space="preserve"> .............................................. </w:t>
      </w:r>
      <w:r>
        <w:rPr>
          <w:rFonts w:ascii="宋体" w:hAnsi="宋体" w:eastAsia="宋体"/>
          <w:b w:val="0"/>
          <w:color w:val="000000"/>
          <w:sz w:val="22"/>
        </w:rPr>
        <w:t>13</w:t>
      </w:r>
    </w:p>
    <w:p>
      <w:pPr>
        <w:spacing w:after="20"/>
        <w:ind w:left="0"/>
      </w:pPr>
      <w:r>
        <w:rPr>
          <w:rFonts w:ascii="宋体" w:hAnsi="宋体" w:eastAsia="宋体"/>
          <w:b w:val="0"/>
          <w:color w:val="000000"/>
          <w:sz w:val="22"/>
        </w:rPr>
        <w:t>第 3 章 产品与技术</w:t>
      </w:r>
      <w:r>
        <w:rPr>
          <w:rFonts w:ascii="宋体" w:hAnsi="宋体" w:eastAsia="宋体"/>
          <w:b w:val="0"/>
          <w:color w:val="000000"/>
          <w:sz w:val="22"/>
        </w:rPr>
        <w:t xml:space="preserve"> ............................................ </w:t>
      </w:r>
      <w:r>
        <w:rPr>
          <w:rFonts w:ascii="宋体" w:hAnsi="宋体" w:eastAsia="宋体"/>
          <w:b w:val="0"/>
          <w:color w:val="000000"/>
          <w:sz w:val="22"/>
        </w:rPr>
        <w:t>15</w:t>
      </w:r>
    </w:p>
    <w:p>
      <w:pPr>
        <w:spacing w:after="20"/>
        <w:ind w:left="360"/>
      </w:pPr>
      <w:r>
        <w:rPr>
          <w:rFonts w:ascii="宋体" w:hAnsi="宋体" w:eastAsia="宋体"/>
          <w:b w:val="0"/>
          <w:color w:val="000000"/>
          <w:sz w:val="22"/>
        </w:rPr>
        <w:t>3.1 产品总体设计</w:t>
      </w:r>
      <w:r>
        <w:rPr>
          <w:rFonts w:ascii="宋体" w:hAnsi="宋体" w:eastAsia="宋体"/>
          <w:b w:val="0"/>
          <w:color w:val="000000"/>
          <w:sz w:val="22"/>
        </w:rPr>
        <w:t xml:space="preserve"> .......................................... </w:t>
      </w:r>
      <w:r>
        <w:rPr>
          <w:rFonts w:ascii="宋体" w:hAnsi="宋体" w:eastAsia="宋体"/>
          <w:b w:val="0"/>
          <w:color w:val="000000"/>
          <w:sz w:val="22"/>
        </w:rPr>
        <w:t>15</w:t>
      </w:r>
    </w:p>
    <w:p>
      <w:pPr>
        <w:spacing w:after="20"/>
        <w:ind w:left="360"/>
      </w:pPr>
      <w:r>
        <w:rPr>
          <w:rFonts w:ascii="宋体" w:hAnsi="宋体" w:eastAsia="宋体"/>
          <w:b w:val="0"/>
          <w:color w:val="000000"/>
          <w:sz w:val="22"/>
        </w:rPr>
        <w:t>3.2 软硬件产品形态</w:t>
      </w:r>
      <w:r>
        <w:rPr>
          <w:rFonts w:ascii="宋体" w:hAnsi="宋体" w:eastAsia="宋体"/>
          <w:b w:val="0"/>
          <w:color w:val="000000"/>
          <w:sz w:val="22"/>
        </w:rPr>
        <w:t xml:space="preserve"> ........................................ </w:t>
      </w:r>
      <w:r>
        <w:rPr>
          <w:rFonts w:ascii="宋体" w:hAnsi="宋体" w:eastAsia="宋体"/>
          <w:b w:val="0"/>
          <w:color w:val="000000"/>
          <w:sz w:val="22"/>
        </w:rPr>
        <w:t>16</w:t>
      </w:r>
    </w:p>
    <w:p>
      <w:pPr>
        <w:spacing w:after="20"/>
        <w:ind w:left="360"/>
      </w:pPr>
      <w:r>
        <w:rPr>
          <w:rFonts w:ascii="宋体" w:hAnsi="宋体" w:eastAsia="宋体"/>
          <w:b w:val="0"/>
          <w:color w:val="000000"/>
          <w:sz w:val="22"/>
        </w:rPr>
        <w:t>3.3 技术商业化表达</w:t>
      </w:r>
      <w:r>
        <w:rPr>
          <w:rFonts w:ascii="宋体" w:hAnsi="宋体" w:eastAsia="宋体"/>
          <w:b w:val="0"/>
          <w:color w:val="000000"/>
          <w:sz w:val="22"/>
        </w:rPr>
        <w:t xml:space="preserve"> ........................................ </w:t>
      </w:r>
      <w:r>
        <w:rPr>
          <w:rFonts w:ascii="宋体" w:hAnsi="宋体" w:eastAsia="宋体"/>
          <w:b w:val="0"/>
          <w:color w:val="000000"/>
          <w:sz w:val="22"/>
        </w:rPr>
        <w:t>18</w:t>
      </w:r>
    </w:p>
    <w:p>
      <w:pPr>
        <w:spacing w:after="20"/>
        <w:ind w:left="360"/>
      </w:pPr>
      <w:r>
        <w:rPr>
          <w:rFonts w:ascii="宋体" w:hAnsi="宋体" w:eastAsia="宋体"/>
          <w:b w:val="0"/>
          <w:color w:val="000000"/>
          <w:sz w:val="22"/>
        </w:rPr>
        <w:t>3.4 数据验证与价值测算</w:t>
      </w:r>
      <w:r>
        <w:rPr>
          <w:rFonts w:ascii="宋体" w:hAnsi="宋体" w:eastAsia="宋体"/>
          <w:b w:val="0"/>
          <w:color w:val="000000"/>
          <w:sz w:val="22"/>
        </w:rPr>
        <w:t xml:space="preserve"> .................................... </w:t>
      </w:r>
      <w:r>
        <w:rPr>
          <w:rFonts w:ascii="宋体" w:hAnsi="宋体" w:eastAsia="宋体"/>
          <w:b w:val="0"/>
          <w:color w:val="000000"/>
          <w:sz w:val="22"/>
        </w:rPr>
        <w:t>20</w:t>
      </w:r>
    </w:p>
    <w:p>
      <w:pPr>
        <w:spacing w:after="20"/>
        <w:ind w:left="360"/>
      </w:pPr>
      <w:r>
        <w:rPr>
          <w:rFonts w:ascii="宋体" w:hAnsi="宋体" w:eastAsia="宋体"/>
          <w:b w:val="0"/>
          <w:color w:val="000000"/>
          <w:sz w:val="22"/>
        </w:rPr>
        <w:t>3.5 产品路线</w:t>
      </w:r>
      <w:r>
        <w:rPr>
          <w:rFonts w:ascii="宋体" w:hAnsi="宋体" w:eastAsia="宋体"/>
          <w:b w:val="0"/>
          <w:color w:val="000000"/>
          <w:sz w:val="22"/>
        </w:rPr>
        <w:t xml:space="preserve"> .............................................. </w:t>
      </w:r>
      <w:r>
        <w:rPr>
          <w:rFonts w:ascii="宋体" w:hAnsi="宋体" w:eastAsia="宋体"/>
          <w:b w:val="0"/>
          <w:color w:val="000000"/>
          <w:sz w:val="22"/>
        </w:rPr>
        <w:t>22</w:t>
      </w:r>
    </w:p>
    <w:p>
      <w:r/>
      <w:r>
        <w:br w:type="page"/>
      </w:r>
    </w:p>
    <w:p>
      <w:pPr>
        <w:pStyle w:val="Heading1"/>
      </w:pPr>
      <w:r>
        <w:t>第 4 章 商业模式</w:t>
      </w:r>
    </w:p>
    <w:p>
      <w:pPr/>
      <w:r>
        <w:t>本项目的商业模式不是简单销售一套算法，也不是直接进入重资产无人机运营，而是以“低空绿色物流决策系统”为核心，从仿真评估、平台授权、项目交付和持续运营服务四个层次形成收入。这样的设计符合大学生创新创业项目的现实条件：前期用软件和数据服务降低启动成本，中期用标准化产品复制场景，后期再通过生态合作接入硬件和订单系统，逐步形成可持续经营能力。</w:t>
      </w:r>
    </w:p>
    <w:p>
      <w:pPr/>
      <w:r>
        <w:t>在互联网+语境下，本项目的本质是一套面向低空物流场景的数字化基础设施。客户并不只是购买一段代码，而是购买“能不能飞、怎么飞、飞多少、值不值得飞”的决策能力。平台把订单、路网、设备、能耗、安全约束和碳排指标统一建模，让校园、园区、景区和企业在真正投入无人机、无人车之前，先用数字沙盘看清投入产出。这种先决策、后部署、再运营的路径，能够降低低空经济试点的不确定性，也能让项目在早期没有大量硬件资产的情况下完成商业闭环。</w:t>
      </w:r>
    </w:p>
    <w:p>
      <w:pPr>
        <w:pStyle w:val="Heading2"/>
      </w:pPr>
      <w:r>
        <w:t>4.1 价值主张与客户付费逻辑</w:t>
      </w:r>
    </w:p>
    <w:p>
      <w:pPr/>
      <w:r>
        <w:t>项目面向的客户主要包括校园后勤集团、园区运营公司、景区管理方、低空经济示范区、智慧物流企业以及无人机/无人车硬件厂商。不同客户的表面需求并不完全相同，但底层痛点高度一致：配送需求增长、人工成本上升、设备投入不确定、低空政策要求趋严、绿色运营指标需要量化。客户愿意付费的原因，不是因为算法本身复杂，而是因为平台能够把复杂技术转化为可执行的经营判断。</w:t>
      </w:r>
    </w:p>
    <w:p>
      <w:pPr/>
      <w:r>
        <w:t>对校园客户而言，平台帮助其回答“快递驿站、宿舍区、教学区、食堂之间能否形成高频绿色配送网络”；对园区客户而言，平台帮助其判断“无人机和无人车投入多少台才不浪费，哪些路线适合空地协同”；对硬件厂商而言，平台可以作为售前方案工具和交付后的调度大脑，提高硬件方案的成交率与客户留存率。</w:t>
      </w:r>
    </w:p>
    <w:p>
      <w:pPr/>
      <w:r>
        <w:t>因此，本项目的核心价值主张可以概括为三句话：第一，让低空物流从概念展示变成可测算的经营方案；第二，让无人机和无人车从单点设备变成协同网络；第三，让绿色配送从宣传口号变成可量化的成本、能耗和碳排数据。</w:t>
      </w:r>
    </w:p>
    <w:p>
      <w:pPr>
        <w:pStyle w:val="Heading2"/>
      </w:pPr>
      <w:r>
        <w:t>4.2 收入结构</w:t>
      </w:r>
    </w:p>
    <w:p>
      <w:pPr/>
      <w:r>
        <w:t>项目收入结构采用“轻咨询切入、平台授权承接、按单服务放大、数据服务增值”的递进模式。早期客户对新技术通常存在试错顾虑，因此不能一开始就要求客户购买完整系统。更合理的方式是先提供低门槛的场景评估服务，帮助客户把订单、路网和设备参数导入平台，输出中继点建议、路线方案、设备数量和节能测算。该阶段既能产生现金流，也能积累真实场景数据。</w:t>
      </w:r>
    </w:p>
    <w:p>
      <w:pPr/>
      <w:r>
        <w:t>当客户认可仿真结果后，平台可以进入年度授权和项目交付阶段。客户按年购买系统使用权，获得场景配置、调度计算、运营看板、能耗分析和报告导出等功能；对于需要硬件联调的场景，项目团队与无人机、无人车企业合作完成接口适配、测试运行和验收交付。随着订单量稳定增长，平台进一步转向按单 SaaS 收费，即每完成一单收取少量调度服务费。这种收费方式与客户业务规模绑定，客户订单越多、平台收入越高，也更容易被客户接受。</w:t>
      </w:r>
    </w:p>
    <w:p>
      <w:pPr/>
      <w:r>
        <w:t>在增值服务层面，平台还可以输出低空物流规划报告、绿色校园/绿色园区碳减排报告、设备利用率诊断报告和示范项目申报材料。对于政府示范项目、园区招商和企业 ESG 披露而言，这类报告具有明确使用场景。它们不是额外堆砌的收入想象，而是从平台真实数据自然延伸出来的服务。</w:t>
      </w:r>
    </w:p>
    <w:tbl>
      <w:tblPr>
        <w:tblStyle w:val="TableGrid"/>
        <w:tblW w:type="auto" w:w="0"/>
        <w:tblLook w:firstColumn="1" w:firstRow="1" w:lastColumn="0" w:lastRow="0" w:noHBand="0" w:noVBand="1" w:val="04A0"/>
      </w:tblPr>
      <w:tblGrid>
        <w:gridCol w:w="2318"/>
        <w:gridCol w:w="2318"/>
        <w:gridCol w:w="2318"/>
        <w:gridCol w:w="2318"/>
      </w:tblGrid>
      <w:tr>
        <w:tc>
          <w:tcPr>
            <w:tcW w:type="dxa" w:w="2318"/>
          </w:tcPr>
          <w:p>
            <w:r>
              <w:t>收入来源</w:t>
            </w:r>
          </w:p>
        </w:tc>
        <w:tc>
          <w:tcPr>
            <w:tcW w:type="dxa" w:w="2318"/>
          </w:tcPr>
          <w:p>
            <w:r>
              <w:t>客户购买内容</w:t>
            </w:r>
          </w:p>
        </w:tc>
        <w:tc>
          <w:tcPr>
            <w:tcW w:type="dxa" w:w="2318"/>
          </w:tcPr>
          <w:p>
            <w:r>
              <w:t>适用阶段</w:t>
            </w:r>
          </w:p>
        </w:tc>
        <w:tc>
          <w:tcPr>
            <w:tcW w:type="dxa" w:w="2318"/>
          </w:tcPr>
          <w:p>
            <w:r>
              <w:t>商业意义</w:t>
            </w:r>
          </w:p>
        </w:tc>
      </w:tr>
      <w:tr>
        <w:tc>
          <w:tcPr>
            <w:tcW w:type="dxa" w:w="2318"/>
          </w:tcPr>
          <w:p>
            <w:r>
              <w:t>仿真评估服务</w:t>
            </w:r>
          </w:p>
        </w:tc>
        <w:tc>
          <w:tcPr>
            <w:tcW w:type="dxa" w:w="2318"/>
          </w:tcPr>
          <w:p>
            <w:r>
              <w:t>场景建模、路线测算、中继点建议、能耗与碳排评估</w:t>
            </w:r>
          </w:p>
        </w:tc>
        <w:tc>
          <w:tcPr>
            <w:tcW w:type="dxa" w:w="2318"/>
          </w:tcPr>
          <w:p>
            <w:r>
              <w:t>种子客户和售前阶段</w:t>
            </w:r>
          </w:p>
        </w:tc>
        <w:tc>
          <w:tcPr>
            <w:tcW w:type="dxa" w:w="2318"/>
          </w:tcPr>
          <w:p>
            <w:r>
              <w:t>降低客户试错成本，快速建立信任</w:t>
            </w:r>
          </w:p>
        </w:tc>
      </w:tr>
      <w:tr>
        <w:tc>
          <w:tcPr>
            <w:tcW w:type="dxa" w:w="2318"/>
          </w:tcPr>
          <w:p>
            <w:r>
              <w:t>平台年度授权</w:t>
            </w:r>
          </w:p>
        </w:tc>
        <w:tc>
          <w:tcPr>
            <w:tcW w:type="dxa" w:w="2318"/>
          </w:tcPr>
          <w:p>
            <w:r>
              <w:t>调度平台、运营看板、报表导出、场景管理</w:t>
            </w:r>
          </w:p>
        </w:tc>
        <w:tc>
          <w:tcPr>
            <w:tcW w:type="dxa" w:w="2318"/>
          </w:tcPr>
          <w:p>
            <w:r>
              <w:t>试点落地和复制阶段</w:t>
            </w:r>
          </w:p>
        </w:tc>
        <w:tc>
          <w:tcPr>
            <w:tcW w:type="dxa" w:w="2318"/>
          </w:tcPr>
          <w:p>
            <w:r>
              <w:t>形成稳定年度收入</w:t>
            </w:r>
          </w:p>
        </w:tc>
      </w:tr>
      <w:tr>
        <w:tc>
          <w:tcPr>
            <w:tcW w:type="dxa" w:w="2318"/>
          </w:tcPr>
          <w:p>
            <w:r>
              <w:t>项目交付服务</w:t>
            </w:r>
          </w:p>
        </w:tc>
        <w:tc>
          <w:tcPr>
            <w:tcW w:type="dxa" w:w="2318"/>
          </w:tcPr>
          <w:p>
            <w:r>
              <w:t>数据接入、硬件联调、培训验收、运维支持</w:t>
            </w:r>
          </w:p>
        </w:tc>
        <w:tc>
          <w:tcPr>
            <w:tcW w:type="dxa" w:w="2318"/>
          </w:tcPr>
          <w:p>
            <w:r>
              <w:t>软硬件联合交付阶段</w:t>
            </w:r>
          </w:p>
        </w:tc>
        <w:tc>
          <w:tcPr>
            <w:tcW w:type="dxa" w:w="2318"/>
          </w:tcPr>
          <w:p>
            <w:r>
              <w:t>提高单项目客单价</w:t>
            </w:r>
          </w:p>
        </w:tc>
      </w:tr>
      <w:tr>
        <w:tc>
          <w:tcPr>
            <w:tcW w:type="dxa" w:w="2318"/>
          </w:tcPr>
          <w:p>
            <w:r>
              <w:t>按单 SaaS 服务</w:t>
            </w:r>
          </w:p>
        </w:tc>
        <w:tc>
          <w:tcPr>
            <w:tcW w:type="dxa" w:w="2318"/>
          </w:tcPr>
          <w:p>
            <w:r>
              <w:t>按订单调用调度能力并计费</w:t>
            </w:r>
          </w:p>
        </w:tc>
        <w:tc>
          <w:tcPr>
            <w:tcW w:type="dxa" w:w="2318"/>
          </w:tcPr>
          <w:p>
            <w:r>
              <w:t>规模化运营阶段</w:t>
            </w:r>
          </w:p>
        </w:tc>
        <w:tc>
          <w:tcPr>
            <w:tcW w:type="dxa" w:w="2318"/>
          </w:tcPr>
          <w:p>
            <w:r>
              <w:t>收入随订单增长自动放大</w:t>
            </w:r>
          </w:p>
        </w:tc>
      </w:tr>
      <w:tr>
        <w:tc>
          <w:tcPr>
            <w:tcW w:type="dxa" w:w="2318"/>
          </w:tcPr>
          <w:p>
            <w:r>
              <w:t>数据与规划服务</w:t>
            </w:r>
          </w:p>
        </w:tc>
        <w:tc>
          <w:tcPr>
            <w:tcW w:type="dxa" w:w="2318"/>
          </w:tcPr>
          <w:p>
            <w:r>
              <w:t>低空物流规划、绿色运营报告、示范项目材料</w:t>
            </w:r>
          </w:p>
        </w:tc>
        <w:tc>
          <w:tcPr>
            <w:tcW w:type="dxa" w:w="2318"/>
          </w:tcPr>
          <w:p>
            <w:r>
              <w:t>客户复购和政府项目阶段</w:t>
            </w:r>
          </w:p>
        </w:tc>
        <w:tc>
          <w:tcPr>
            <w:tcW w:type="dxa" w:w="2318"/>
          </w:tcPr>
          <w:p>
            <w:r>
              <w:t>沉淀行业数据资产</w:t>
            </w:r>
          </w:p>
        </w:tc>
      </w:tr>
    </w:tbl>
    <w:p>
      <w:pPr>
        <w:pStyle w:val="Heading2"/>
      </w:pPr>
      <w:r>
        <w:t>4.3 单位经济模型</w:t>
      </w:r>
    </w:p>
    <w:p>
      <w:pPr/>
      <w:r>
        <w:t>以校园高频小件配送为例，假设一个中等规模校园日均产生 3000 单可调度订单，包括快递小件、餐饮、教学物资和校内短驳需求。若平台按 0.12 元/单收取调度服务费，单校园月度 SaaS 收入约为 1.08 万元，年度收入约为 12.96 万元。若叠加 8 万元年度平台授权费和一次性 3 万元仿真评估服务费，单校园首年收入可达到 20 万元以上。</w:t>
      </w:r>
    </w:p>
    <w:p>
      <w:pPr/>
      <w:r>
        <w:t>从客户侧看，平台收费必须低于其节约价值。若传统人工与车辆混合配送的单票综合成本约为 3.00 元，平台通过路线优化、等待减少、设备利用率提升和能耗降低带来每单 0.25 至 0.60 元的优化空间，则日均 3000 单场景每年可释放约 27 万至 65 万元的经营改善价值。客户用其中一部分购买平台服务，在财务上具备合理性。</w:t>
      </w:r>
    </w:p>
    <w:p>
      <w:pPr/>
      <w:r>
        <w:t>从项目侧看，软件产品的边际成本相对较低。前期主要成本集中在研发、数据整理、客户调研和试点交付；当场景模板、算法模块和交付流程标准化后，新客户复制的成本会明显下降。项目不需要自购大量无人机和无人车，而是通过合作厂商完成硬件供给，团队重点掌握调度系统、仿真评估和运营数据，这有利于保持轻资产、低负债和高毛利的经营结构。</w:t>
      </w:r>
    </w:p>
    <w:p>
      <w:pPr>
        <w:pStyle w:val="Heading2"/>
      </w:pPr>
      <w:r>
        <w:t>4.4 合作模式</w:t>
      </w:r>
    </w:p>
    <w:p>
      <w:pPr/>
      <w:r>
        <w:t>本项目采用开放合作而非封闭自营的方式推进。低空物流涉及硬件、飞控、地面车辆、场地、监管、保险和运营等多方资源，大学生团队不宜在早期承担全部链条。更现实也更有成长性的方式，是把平台定位为“调度大脑”和“决策工具”，与已有硬件厂商、园区运营方和高校资源形成互补。</w:t>
      </w:r>
    </w:p>
    <w:p>
      <w:pPr>
        <w:pStyle w:val="ListBullet"/>
      </w:pPr>
      <w:r>
        <w:t>校园/园区直签：由客户购买平台授权、仿真评估和运维服务，团队负责场景建模、方案测算和系统交付。</w:t>
      </w:r>
    </w:p>
    <w:p>
      <w:pPr>
        <w:pStyle w:val="ListBullet"/>
      </w:pPr>
      <w:r>
        <w:t>硬件厂商联合交付：厂商提供 UAV、AGV 和设备维护能力，平台提供路径规划、调度策略、能耗分析和运营看板。</w:t>
      </w:r>
    </w:p>
    <w:p>
      <w:pPr>
        <w:pStyle w:val="ListBullet"/>
      </w:pPr>
      <w:r>
        <w:t>政府示范项目合作：围绕低空经济、绿色园区、智慧物流和高校创新创业示范，联合申报试点项目。</w:t>
      </w:r>
    </w:p>
    <w:p>
      <w:pPr>
        <w:pStyle w:val="ListBullet"/>
      </w:pPr>
      <w:r>
        <w:t>数据服务合作：在合规前提下沉淀订单、路线、能耗和碳排数据，为后续行业报告和标准化方案提供基础。</w:t>
      </w:r>
    </w:p>
    <w:p>
      <w:pPr/>
      <w:r>
        <w:t>这种合作模式的优点在于分工清晰。客户获得可以落地的完整方案，硬件厂商获得更有说服力的售前工具和调度能力，项目团队获得真实场景与商业化入口。随着合作案例增加，平台可以逐步从单项目交付走向区域化渠道合作。</w:t>
      </w:r>
    </w:p>
    <w:p>
      <w:pPr>
        <w:pStyle w:val="Heading2"/>
      </w:pPr>
      <w:r>
        <w:t>4.5 商业闭环与护城河</w:t>
      </w:r>
    </w:p>
    <w:p>
      <w:pPr/>
      <w:r>
        <w:t>项目商业闭环为：低成本仿真评估获取种子客户，输出校园或园区样板，收取平台授权费和项目交付费，积累真实订单与设备运行数据，推出按单 SaaS 服务，再通过硬件厂商和示范项目进行区域复制。这个闭环不是一次性交易，而是从售前评估到持续运营的长期关系。</w:t>
      </w:r>
    </w:p>
    <w:p>
      <w:pPr/>
      <w:r>
        <w:t>项目护城河主要来自三方面。第一是场景数据。低空物流不是通用地图导航，校园、园区、景区的路网、禁飞区、起降点、时间窗和订单规律都具有本地化特征，数据越多，方案越准。第二是算法与业务结合能力。单纯展示算法指标不够，平台必须把 ALNS、候选中继点、动态回退和能耗模型转化为客户能理解的成本、效率和风险指标。第三是交付经验。每完成一个试点，团队都会沉淀一套场景模板、验收指标和客户话术，后续复制成本会持续下降。</w:t>
      </w:r>
    </w:p>
    <w:p>
      <w:r/>
      <w:r>
        <w:br w:type="page"/>
      </w:r>
    </w:p>
    <w:p>
      <w:pPr>
        <w:pStyle w:val="Heading2"/>
      </w:pPr>
      <w:r>
        <w:t>4.6 客户购买旅程</w:t>
      </w:r>
    </w:p>
    <w:p>
      <w:pPr/>
      <w:r>
        <w:t>从客户首次接触项目到形成付费合作，通常会经历认知、评估、试点、采购和复购五个阶段。认知阶段，客户首先被低空经济、绿色物流和智慧园区等关键词吸引，但此时兴趣并不等于预算。团队需要用清晰的场景故事说明项目解决什么问题，例如校园快递高峰拥堵、园区楼宇之间短驳低效、景区补给路线长且人力成本高。</w:t>
      </w:r>
    </w:p>
    <w:p>
      <w:pPr/>
      <w:r>
        <w:t>评估阶段，客户最关心的是投入是否值得。平台需要提供一份简洁但有说服力的测算报告，说明现有配送方式的单票成本、人工压力、设备闲置和能耗水平，再用空地协同方案给出可比较的替代方案。这个阶段的交付物不是单纯演示系统，而是能够帮助客户内部汇报和申请预算的材料。</w:t>
      </w:r>
    </w:p>
    <w:p>
      <w:pPr/>
      <w:r>
        <w:t>试点阶段，客户会关注安全、责任、人员配合和验收口径。团队应把试点范围控制在可管理边界内，例如固定路线、固定时间窗、固定订单类型和固定设备参数。试点目标不追求一次性覆盖所有需求，而是验证平台能否稳定输出路线方案、调度结果和运营报表。</w:t>
      </w:r>
    </w:p>
    <w:p>
      <w:pPr/>
      <w:r>
        <w:t>采购阶段，客户需要明确购买内容和服务边界。项目应把产品拆分为平台授权、仿真评估、场景建模、接口对接、培训运维和年度报告等模块，方便客户按预算选择。复购阶段，则依赖持续数据价值。如果平台每月都能输出效率、成本、能耗和碳排变化，客户就有理由续费。</w:t>
      </w:r>
    </w:p>
    <w:p>
      <w:pPr>
        <w:pStyle w:val="Heading2"/>
      </w:pPr>
      <w:r>
        <w:t>4.7 定价策略</w:t>
      </w:r>
    </w:p>
    <w:p>
      <w:pPr/>
      <w:r>
        <w:t>定价策略采用分层模式，避免所有客户都用同一个价格。种子客户阶段可以采用低价或共创价格，以换取真实数据、案例授权和合作证明；标准客户阶段按平台授权费、评估服务费和交付服务费组合报价；规模客户阶段引入按单 SaaS 计费，使平台收入与客户订单量绑定。</w:t>
      </w:r>
    </w:p>
    <w:p>
      <w:pPr/>
      <w:r>
        <w:t>对于校园客户，建议首年以 8 万至 20 万元为主要报价区间，包含场景建模、平台授权、数据看板和年度复盘。对于园区和景区客户，若涉及多点位、多设备和硬件联调，项目交付费用可上浮至 20 万至 50 万元。对于硬件厂商合作，可采用项目分成、年度技术授权或联合解决方案打包报价。</w:t>
      </w:r>
    </w:p>
    <w:p>
      <w:pPr/>
      <w:r>
        <w:t>价格制定的关键不是越高越好，而是让客户觉得收益可见、风险可控、预算可批。团队在报价时应同时提供“基础版、标准版、示范版”三档方案。基础版用于低门槛评估，标准版用于真实试点，示范版用于政府项目、校园样板和园区品牌展示。</w:t>
      </w:r>
    </w:p>
    <w:p>
      <w:pPr>
        <w:pStyle w:val="Heading2"/>
      </w:pPr>
      <w:r>
        <w:t>4.8 复购与客户留存</w:t>
      </w:r>
    </w:p>
    <w:p>
      <w:pPr/>
      <w:r>
        <w:t>平台型项目的长期价值来自复购。客户首次购买可能是因为比赛、政策或试点热度，但第二年是否续费，取决于平台是否进入客户日常运营。为此，项目需要把系统从一次性测算工具升级为持续运营工具，定期为客户生成月度运营报告、设备利用率报告、订单热力分布报告和绿色减碳报告。</w:t>
      </w:r>
    </w:p>
    <w:p>
      <w:pPr/>
      <w:r>
        <w:t>客户留存还依赖组织关系。校园客户通常涉及后勤、保卫、信息化、创新创业学院等多个部门；园区客户涉及运营、物业、招商和企业服务部门；景区客户涉及游客服务、安保和应急管理部门。项目团队需要明确每类客户的决策人、使用人和受益人，分别准备不同沟通材料。</w:t>
      </w:r>
    </w:p>
    <w:p>
      <w:pPr/>
      <w:r>
        <w:t>当平台成为客户评估低空配送、申请示范项目和汇报绿色运营成果的常用工具时，续费自然更稳。项目后续还可以提供年度优化包，根据客户新增楼宇、新增路线、新增设备和订单变化重新生成方案，形成稳定复购。</w:t>
      </w:r>
    </w:p>
    <w:p>
      <w:pPr>
        <w:pStyle w:val="Heading2"/>
      </w:pPr>
      <w:r>
        <w:t>4.9 数据资产与平台延展</w:t>
      </w:r>
    </w:p>
    <w:p>
      <w:pPr/>
      <w:r>
        <w:t>项目在交付过程中会沉淀三类数据资产：一是空间数据，包括路网、起降点、禁行区、候选中继点和服务半径；二是运营数据，包括订单时间、配送频次、等待时长、完成率和准时率；三是绿色数据，包括单任务能耗、单位距离能耗、碳减排估算和设备利用率。</w:t>
      </w:r>
    </w:p>
    <w:p>
      <w:pPr/>
      <w:r>
        <w:t>这些数据不是简单存档，而是后续产品升级的基础。随着数据规模增加，平台可以更准确地预测订单峰值、推荐中继点、优化设备数量并识别风险路线。对客户而言，数据资产可以支持低空经济示范申报、绿色校园建设、智慧园区运营和 ESG 展示。</w:t>
      </w:r>
    </w:p>
    <w:p>
      <w:pPr/>
      <w:r>
        <w:t>在合规前提下，项目还可以形成行业基准库，例如不同规模校园的订单密度、园区短驳的典型成本、景区补给的路线特征和不同设备组合的能耗表现。行业基准库能够提升平台议价能力，也能让团队从单客户交付走向行业解决方案。</w:t>
      </w:r>
    </w:p>
    <w:p>
      <w:pPr>
        <w:pStyle w:val="Heading2"/>
      </w:pPr>
      <w:r>
        <w:t>4.10 典型客户场景收益拆解</w:t>
      </w:r>
    </w:p>
    <w:p>
      <w:pPr/>
      <w:r>
        <w:t>为了让商业模式更接近真实经营，本项目将客户收益拆解为效率收益、成本收益、管理收益和品牌收益四类。效率收益来自路线缩短、等待减少和设备协同，表现为同样订单量下需要更少人工调度和更少无效往返。成本收益来自单票运营成本下降、设备利用率提升和能源消耗降低。管理收益来自运营数据可视化，客户能够知道哪些路线拥堵、哪些时间段订单集中、哪些设备长期闲置。品牌收益则来自绿色校园、智慧园区、低空经济示范和创新服务能力展示。</w:t>
      </w:r>
    </w:p>
    <w:p>
      <w:pPr/>
      <w:r>
        <w:t>以校园客户为例，后勤部门不仅关心配送成本，也关心学生体验、校园安全和学校品牌。若平台能把高峰订单分流到更合理的时段和路线，就能减少驿站排队、宿舍区拥堵和人工催单压力。若平台能输出碳减排报告，学校还可以把项目纳入绿色校园、智慧校园和创新创业教育成果展示。</w:t>
      </w:r>
    </w:p>
    <w:p>
      <w:pPr/>
      <w:r>
        <w:t>以园区客户为例，运营方通常需要提高企业服务能力和园区形象。空地协同配送不一定替代全部人工，但可以覆盖文件、小件、餐饮、样品和应急物资等高频短驳需求。平台价值在于先算清楚哪些路线值得做，哪些路线暂时不适合做，避免客户盲目采购设备。</w:t>
      </w:r>
    </w:p>
    <w:p>
      <w:pPr/>
      <w:r>
        <w:t>以硬件厂商为例，厂商最需要的是让客户相信设备买回去能持续使用，而不是只完成一次演示。平台可以帮助厂商把设备方案转化为数据化运营方案，提高售前说服力，也能在交付后持续提供调度和运营报告，从而提升客户留存。</w:t>
      </w:r>
    </w:p>
    <w:p>
      <w:pPr>
        <w:pStyle w:val="Heading2"/>
      </w:pPr>
      <w:r>
        <w:t>4.11 商业模式可扩展性</w:t>
      </w:r>
    </w:p>
    <w:p>
      <w:pPr/>
      <w:r>
        <w:t>商业模式的可扩展性来自标准化与本地化的平衡。低空物流场景具有明显本地差异，不同校园、园区和景区的路网、建筑、订单和管理要求都不相同；但底层建模方法、调度逻辑、评估指标和交付流程可以标准化。项目要做的不是为每个客户重新开发一套系统，而是把差异放在配置层，把共性沉淀为平台能力。</w:t>
      </w:r>
    </w:p>
    <w:p>
      <w:pPr/>
      <w:r>
        <w:t>未来每进入一个新场景，团队只需要完成场景数据采集、参数配置、方案测算和客户培训，而不需要从零开始编写算法。这样，项目才能从单个试点走向多客户复制。标准化程度越高，新增客户的边际成本越低，平台毛利率也越稳定。</w:t>
      </w:r>
    </w:p>
    <w:p>
      <w:pPr/>
      <w:r>
        <w:t>从区域扩张角度看，项目可以先形成湖南本地样板，再向华中地区其他高校和产业园复制。高校和园区客户之间存在明显示范效应，一个成功案例往往能带来同类客户关注。只要团队持续沉淀案例库、报告模板和演示材料，市场拓展效率就会逐步提高。</w:t>
      </w:r>
    </w:p>
    <w:p>
      <w:pPr>
        <w:pStyle w:val="Heading1"/>
      </w:pPr>
      <w:r>
        <w:t>第 5 章 营销与落地</w:t>
      </w:r>
    </w:p>
    <w:p>
      <w:pPr/>
      <w:r>
        <w:t>营销与落地的核心不是“把概念讲热”，而是让客户相信项目能够在可控场景中产生确定价值。低空经济本身热度高，但客户真正关心的是安全、成本、审批、运维和投入回收。因此，本项目的市场推进路径应当从熟悉、低风险、可展示的场景开始，先做出一个可信样板，再用样板带动周边复制。</w:t>
      </w:r>
    </w:p>
    <w:p>
      <w:pPr>
        <w:pStyle w:val="Heading2"/>
      </w:pPr>
      <w:r>
        <w:t>5.1 种子用户策略</w:t>
      </w:r>
    </w:p>
    <w:p>
      <w:pPr/>
      <w:r>
        <w:t>第一批种子用户建议选择湖南科技大学校内场景、周边大学科技园、湘潭本地产业园和景区补给场景。选择这些场景有三个原因：一是团队熟悉环境，能够快速完成路网、终点、订单和设备参数采集；二是沟通链条较短，便于反复迭代方案；三是试点具有展示价值，能够形成“从校园出发，服务地方低空经济”的参赛叙事。</w:t>
      </w:r>
    </w:p>
    <w:p>
      <w:pPr/>
      <w:r>
        <w:t>种子用户阶段不宜追求大规模收入，而应重点追求三类成果：第一，形成可展示的真实场景模型，包括路线、订单、候选中继点和能耗对比；第二，获得客户访谈记录、合作意向或试点证明，增强商业计划书可信度；第三，沉淀标准化交付流程，为后续进入园区和景区提供模板。</w:t>
      </w:r>
    </w:p>
    <w:p>
      <w:pPr/>
      <w:r>
        <w:t>在沟通策略上，团队可以用“先免费诊断、后付费评估、再系统部署”的方式降低客户心理门槛。首次沟通不急于销售完整平台，而是帮助客户算清现有配送痛点、潜在订单规模和可节约空间。当客户看到数据化结果后，再引导其进入平台授权或示范项目合作。</w:t>
      </w:r>
    </w:p>
    <w:p>
      <w:pPr>
        <w:pStyle w:val="Heading2"/>
      </w:pPr>
      <w:r>
        <w:t>5.2 标杆案例打造</w:t>
      </w:r>
    </w:p>
    <w:p>
      <w:pPr/>
      <w:r>
        <w:t>项目第一阶段应打造一个完整校园样板。建议以“快递驿站-宿舍区-教学区-食堂-校医院”等高频点位为核心，构建校园低空绿色配送数字沙盘。平台需要展示订单导入、路线生成、中继点选择、UAV/AGV 协同、异常回退、能耗计算和碳排测算的完整流程。这个样板不仅服务比赛路演，也可以作为后续客户演示和校企合作谈判的基础。</w:t>
      </w:r>
    </w:p>
    <w:p>
      <w:pPr/>
      <w:r>
        <w:t>校园样板的关键不是一定要立刻进行大规模真实飞行，而是要把商业逻辑跑通：客户提出配送需求，平台输入场景数据，系统输出可比较的多套方案，客户据此判断设备数量、路线策略和预期收益。若能进一步与合规硬件厂商合作完成小范围半封闭测试，则项目说服力会显著提高。</w:t>
      </w:r>
    </w:p>
    <w:p>
      <w:pPr/>
      <w:r>
        <w:t>第二阶段可复制到 2 至 3 个园区或景区。园区场景强调企业楼宇之间的文件、小件和餐饮配送；景区场景强调补给、应急物资和游客服务。不同场景的订单规律不同，但平台底层模型一致，因此能够体现产品的可复制性。</w:t>
      </w:r>
    </w:p>
    <w:p>
      <w:pPr>
        <w:pStyle w:val="Heading2"/>
      </w:pPr>
      <w:r>
        <w:t>5.3 渠道策略</w:t>
      </w:r>
    </w:p>
    <w:p>
      <w:pPr/>
      <w:r>
        <w:t>渠道建设应围绕“高校资源、地方低空经济资源、硬件生态资源、创新创业平台资源”四条线推进。高校资源用于获取校园样板和学术背书；地方资源用于对接低空经济示范、绿色园区和智慧城市项目；硬件生态用于补齐 UAV/AGV 实体设备能力；创新创业平台用于获得赛事曝光、政策支持、导师辅导和潜在投资人关注。</w:t>
      </w:r>
    </w:p>
    <w:p>
      <w:pPr/>
      <w:r>
        <w:t>在早期，团队最重要的渠道不是广告投放，而是高质量示范和可信材料。项目应形成固定的客户沟通包，包括一页式项目介绍、场景评估问卷、仿真演示视频、试点测算报告模板和商业合作方案。每接触一个客户，都要尽量把需求转化为可量化数据，并沉淀到平台案例库中。</w:t>
      </w:r>
    </w:p>
    <w:p>
      <w:pPr/>
      <w:r>
        <w:t>当项目拥有 1 个校园样板和 2 个以上外部意向场景后，可进一步发展渠道合作伙伴。硬件厂商可以把平台作为方案售前工具；园区服务商可以把平台纳入智慧园区解决方案；地方创新创业平台可以协助项目进入更多示范场景。</w:t>
      </w:r>
    </w:p>
    <w:p>
      <w:pPr>
        <w:pStyle w:val="Heading2"/>
      </w:pPr>
      <w:r>
        <w:t>5.4 落地实施路径</w:t>
      </w:r>
    </w:p>
    <w:p>
      <w:pPr/>
      <w:r>
        <w:t>项目落地分为需求调研、场景建模、仿真评估、方案确认、试点部署和运营复盘六个步骤。需求调研阶段收集客户订单规模、配送范围、时间窗、现有成本和安全限制；场景建模阶段把路网、终点、候选起降点、设备参数录入系统；仿真评估阶段比较基线直送、纯地面配送和空地协同方案；方案确认阶段与客户讨论设备数量、路线策略和验收指标；试点部署阶段完成系统配置、硬件联调和人员培训；运营复盘阶段输出效率、能耗、成本和碳排报告。</w:t>
      </w:r>
    </w:p>
    <w:p>
      <w:pPr/>
      <w:r>
        <w:t>这一路径的优势是可控。即使客户暂时不具备真实飞行条件，也可以先完成数字化评估和方案设计；当政策、场地和硬件条件成熟时，再进入小范围试点。这样既不会夸大项目当前能力，也能体现项目具备清晰的商业推进步骤。</w:t>
      </w:r>
    </w:p>
    <w:p>
      <w:pPr>
        <w:pStyle w:val="Heading2"/>
      </w:pPr>
      <w:r>
        <w:t>5.5 品牌表达</w:t>
      </w:r>
    </w:p>
    <w:p>
      <w:pPr/>
      <w:r>
        <w:t>项目品牌关键词为“低空经济、绿色物流、空地协同、智能调度”。对外表达应减少技术堆砌，更多强调客户价值。评审和客户最容易理解的表达是：让配送更快，让设备更省，让碳排可算，让低空试点敢落地。</w:t>
      </w:r>
    </w:p>
    <w:p>
      <w:pPr/>
      <w:r>
        <w:t>在路演和商业计划书中，项目不应把自己描述成单纯的无人机配送公司，而应描述为“低空绿色物流的决策与调度平台”。这个定位更符合团队能力，也更容易解释为什么大学生团队能够从软件切入并逐步成长。</w:t>
      </w:r>
    </w:p>
    <w:p>
      <w:r/>
      <w:r>
        <w:br w:type="page"/>
      </w:r>
    </w:p>
    <w:p>
      <w:pPr>
        <w:pStyle w:val="Heading2"/>
      </w:pPr>
      <w:r>
        <w:t>5.6 客户访谈与需求验证</w:t>
      </w:r>
    </w:p>
    <w:p>
      <w:pPr/>
      <w:r>
        <w:t>营销落地不能只依靠主观判断，必须用客户访谈验证需求。团队应围绕校园后勤、园区运营、景区管理、快递驿站、无人机企业和无人车企业开展结构化访谈。访谈重点不是问客户是否喜欢无人机配送，而是问其当前配送成本、订单高峰、路线瓶颈、投诉来源、预算周期和安全顾虑。</w:t>
      </w:r>
    </w:p>
    <w:p>
      <w:pPr/>
      <w:r>
        <w:t>访谈问题应尽量具体。例如：每天大约有多少小件需要短驳，配送高峰出现在什么时间，现有人员配置和车辆数量是多少，客户最不能接受的是延误、丢件、噪声还是安全责任，是否有建设绿色校园或智慧园区的考核需求。这些问题能帮助团队把商业计划从概念变成证据。</w:t>
      </w:r>
    </w:p>
    <w:p>
      <w:pPr/>
      <w:r>
        <w:t>每次访谈后，团队应形成一页需求摘要，包括客户类型、核心痛点、可试点路线、预算可能性、决策链条和下一步动作。随着访谈数量增加，项目可以逐步识别优先客户，而不是平均用力。</w:t>
      </w:r>
    </w:p>
    <w:p>
      <w:pPr>
        <w:pStyle w:val="Heading2"/>
      </w:pPr>
      <w:r>
        <w:t>5.7 销售材料体系</w:t>
      </w:r>
    </w:p>
    <w:p>
      <w:pPr/>
      <w:r>
        <w:t>为了提高转化效率，项目需要建立标准化销售材料体系。第一类是一页式项目介绍，用最短篇幅讲清项目定位、客户价值、典型场景和合作方式。第二类是场景评估问卷，用于收集订单、路网、设备、时间窗和限制条件。第三类是仿真测算报告模板，用图表和文字展示不同方案的成本、效率和能耗差异。</w:t>
      </w:r>
    </w:p>
    <w:p>
      <w:pPr/>
      <w:r>
        <w:t>第四类是演示视频，重点展示从订单导入到路线生成、从候选中继点到能耗报告的完整流程。第五类是合作方案书，根据客户类型分为校园版、园区版、景区版和厂商合作版。第六类是评审材料，包括商业计划书、PPT、答辩问答和附件证明。</w:t>
      </w:r>
    </w:p>
    <w:p>
      <w:pPr/>
      <w:r>
        <w:t>材料体系的作用是减少重复沟通成本。团队每接触一个新客户，不需要重新解释项目，而是根据客户类型组合材料，快速进入需求讨论。对于低年级团队而言，标准化材料还能降低成员更替带来的表达不一致。</w:t>
      </w:r>
    </w:p>
    <w:p>
      <w:pPr>
        <w:pStyle w:val="Heading2"/>
      </w:pPr>
      <w:r>
        <w:t>5.8 试点验收指标</w:t>
      </w:r>
    </w:p>
    <w:p>
      <w:pPr/>
      <w:r>
        <w:t>试点能否转化为付费和复制，取决于验收指标是否清晰。项目建议把验收指标分为运营效率、成本收益、绿色低碳、安全合规和用户体验五类。运营效率包括任务完成率、准时率、平均等待时间和设备利用率；成本收益包括单票成本变化、人力节省和设备投入回收期；绿色低碳包括单任务能耗、单位距离能耗和碳减排估算。</w:t>
      </w:r>
    </w:p>
    <w:p>
      <w:pPr/>
      <w:r>
        <w:t>安全合规指标包括飞行范围是否符合约定、是否设置备用降落点、是否发生异常事件、数据是否按客户要求管理。用户体验指标包括客户方操作人员是否能看懂看板、是否能导出报告、是否能根据报告调整运营。</w:t>
      </w:r>
    </w:p>
    <w:p>
      <w:pPr/>
      <w:r>
        <w:t>验收指标要在试点前确认，而不是试点结束后临时解释。这样既能保护客户预期，也能保护团队交付边界。对于互联网+参赛材料而言，清晰的验收指标还能增强项目真实性。</w:t>
      </w:r>
    </w:p>
    <w:p>
      <w:pPr>
        <w:pStyle w:val="Heading2"/>
      </w:pPr>
      <w:r>
        <w:t>5.9 区域复制打法</w:t>
      </w:r>
    </w:p>
    <w:p>
      <w:pPr/>
      <w:r>
        <w:t>项目从湖南科技大学出发，区域复制可以围绕湘潭、长沙、株洲等周边城市推进。这一区域高校、产业园和文旅场景较集中，适合形成低空绿色物流样板圈。团队可以先以高校样板为起点，再延伸到大学科技园、产业园区和景区补给场景。</w:t>
      </w:r>
    </w:p>
    <w:p>
      <w:pPr/>
      <w:r>
        <w:t>复制打法应遵循“一个样板、三类模板、多个渠道”。一个样板指校园样板，三类模板指校园版、园区版和景区版解决方案，多个渠道指学校资源、地方创新创业平台、硬件厂商和园区服务商。通过这种方式，项目既有起点，也有扩张路径。</w:t>
      </w:r>
    </w:p>
    <w:p>
      <w:pPr/>
      <w:r>
        <w:t>区域复制过程中，团队应避免过度承诺。每进入一个新场景，都要先做数字化评估，再决定是否进入真实试点。这样可以保持交付质量，也能避免因为单个项目失败影响整体信誉。</w:t>
      </w:r>
    </w:p>
    <w:p>
      <w:pPr>
        <w:pStyle w:val="Heading2"/>
      </w:pPr>
      <w:r>
        <w:t>5.10 推广节奏与年度行动计划</w:t>
      </w:r>
    </w:p>
    <w:p>
      <w:pPr/>
      <w:r>
        <w:t>2026 年下半年，项目推广重点是完成校内样板和赛事传播。团队应围绕校园快递、餐饮配送和后勤物资三个场景完成调研，形成一套可演示系统、一份场景评估报告和一段完整演示视频。同期通过学院、创新创业学院和校内媒体进行展示，为后续联系外部客户提供可信背书。</w:t>
      </w:r>
    </w:p>
    <w:p>
      <w:pPr/>
      <w:r>
        <w:t>2027 年，项目推广重点是进入外部试点。团队可以优先联系湘潭及周边大学科技园、产业园和景区，以仿真评估服务作为切入口。每完成一个外部场景，都要形成客户访谈、场景模型、测算报告和合作反馈。这个阶段的目标不是追求客户数量最大化，而是拿到足够扎实的案例。</w:t>
      </w:r>
    </w:p>
    <w:p>
      <w:pPr/>
      <w:r>
        <w:t>2028 年以后，推广重点转向渠道合作和区域复制。团队可以与无人机厂商、无人车厂商、园区服务商和智慧物流企业建立联合方案。渠道合作不是把项目简单交给别人销售，而是共同形成可落地方案：厂商负责设备和实施资源，平台负责调度和数据能力，客户获得完整解决方案。</w:t>
      </w:r>
    </w:p>
    <w:p>
      <w:pPr>
        <w:pStyle w:val="Heading2"/>
      </w:pPr>
      <w:r>
        <w:t>5.11 路演传播策略</w:t>
      </w:r>
    </w:p>
    <w:p>
      <w:pPr/>
      <w:r>
        <w:t>互联网+比赛中的传播表达应当兼顾技术可信与商业易懂。路演开头不宜直接讲算法，而应从一个真实痛点切入，例如校园快递高峰拥堵、园区短驳效率低、低空试点不知道如何测算成本。随后再引出空地协同的解决思路，让评委先理解问题，再理解技术。</w:t>
      </w:r>
    </w:p>
    <w:p>
      <w:pPr/>
      <w:r>
        <w:t>路演材料应使用“痛点-方案-验证-商业-团队-规划”的顺序。痛点说明为什么需要项目，方案说明项目如何解决，验证说明系统不是概念，商业说明收入从哪里来，团队说明为什么我们能做，规划说明项目未来如何成长。每一页 PPT 都应有一个明确结论，避免堆满文字。</w:t>
      </w:r>
    </w:p>
    <w:p>
      <w:pPr/>
      <w:r>
        <w:t>演示视频是本项目的重要传播工具。视频应展示订单点位、候选中继点、UAV/AGV 协同路径、能耗对比和运营看板。评委看到视频后，能够快速判断项目不是纸面想法，而是有系统、有数据、有场景的作品。</w:t>
      </w:r>
    </w:p>
    <w:p>
      <w:pPr>
        <w:pStyle w:val="Heading2"/>
      </w:pPr>
      <w:r>
        <w:t>5.12 客户成功机制</w:t>
      </w:r>
    </w:p>
    <w:p>
      <w:pPr/>
      <w:r>
        <w:t>客户成功机制决定项目能否从一次试点变成长期合作。项目交付后，团队不能只把系统交给客户就结束，而要帮助客户理解数据、调整路线和形成内部汇报材料。对于校园客户，可以按月输出“绿色配送运营简报”；对于园区客户，可以按季度输出“智慧物流效率报告”；对于示范项目，可以输出“低空经济试点阶段总结”。</w:t>
      </w:r>
    </w:p>
    <w:p>
      <w:pPr/>
      <w:r>
        <w:t>客户成功工作还包括培训。客户方使用者不一定懂算法，因此系统界面和报告语言要尽量业务化。比如不要只写“ALNS 迭代结果”，而要写“本月推荐 3 个高价值中继点，预计减少等待时间 18%”。技术指标越能被业务人员理解，客户越容易续费。</w:t>
      </w:r>
    </w:p>
    <w:p>
      <w:pPr>
        <w:pStyle w:val="Heading1"/>
      </w:pPr>
      <w:r>
        <w:t>第 6 章 财务分析</w:t>
      </w:r>
    </w:p>
    <w:p>
      <w:pPr/>
      <w:r>
        <w:t>本章财务预测遵循审慎原则，不把项目包装成短期暴利业务，而是体现从样板验证到区域复制的成长路径。预测口径以平台授权、仿真评估、项目交付和按单 SaaS 服务为主要收入来源，不把尚未发生的股权融资、政府补贴或大规模硬件销售作为核心利润来源。</w:t>
      </w:r>
    </w:p>
    <w:p>
      <w:pPr>
        <w:pStyle w:val="Heading2"/>
      </w:pPr>
      <w:r>
        <w:t>6.1 三年营收预测</w:t>
      </w:r>
    </w:p>
    <w:p>
      <w:pPr/>
      <w:r>
        <w:t>第一年重点完成样板验证和初始现金流。收入主要来自校内试点、仿真评估服务、少量平台授权和创新创业项目支持。该阶段客户数量不多，但意义在于验证产品可用性、形成案例和打磨交付流程。</w:t>
      </w:r>
    </w:p>
    <w:p>
      <w:pPr/>
      <w:r>
        <w:t>第二年进入小规模复制阶段。项目在校园、园区和景区形成 5 个左右可交付场景，平台授权和项目交付收入开始成为主体。若能与 1 至 2 家硬件厂商形成联合方案，项目客单价和交付可信度将明显提升。</w:t>
      </w:r>
    </w:p>
    <w:p>
      <w:pPr/>
      <w:r>
        <w:t>第三年进入区域扩张阶段。平台面向 15 个左右客户场景提供授权和持续服务，按单 SaaS 收入占比提高，数据服务和规划报告成为补充收入。此时项目不再依赖单次比赛或单个学校资源，而是具备区域化经营雏形。</w:t>
      </w:r>
    </w:p>
    <w:tbl>
      <w:tblPr>
        <w:tblStyle w:val="TableGrid"/>
        <w:tblW w:type="auto" w:w="0"/>
        <w:tblLook w:firstColumn="1" w:firstRow="1" w:lastColumn="0" w:lastRow="0" w:noHBand="0" w:noVBand="1" w:val="04A0"/>
      </w:tblPr>
      <w:tblGrid>
        <w:gridCol w:w="1855"/>
        <w:gridCol w:w="1855"/>
        <w:gridCol w:w="1855"/>
        <w:gridCol w:w="1855"/>
        <w:gridCol w:w="1855"/>
      </w:tblGrid>
      <w:tr>
        <w:tc>
          <w:tcPr>
            <w:tcW w:type="dxa" w:w="1855"/>
          </w:tcPr>
          <w:p>
            <w:r>
              <w:t>年份</w:t>
            </w:r>
          </w:p>
        </w:tc>
        <w:tc>
          <w:tcPr>
            <w:tcW w:type="dxa" w:w="1855"/>
          </w:tcPr>
          <w:p>
            <w:r>
              <w:t>经营重点</w:t>
            </w:r>
          </w:p>
        </w:tc>
        <w:tc>
          <w:tcPr>
            <w:tcW w:type="dxa" w:w="1855"/>
          </w:tcPr>
          <w:p>
            <w:r>
              <w:t>客户/项目假设</w:t>
            </w:r>
          </w:p>
        </w:tc>
        <w:tc>
          <w:tcPr>
            <w:tcW w:type="dxa" w:w="1855"/>
          </w:tcPr>
          <w:p>
            <w:r>
              <w:t>预计收入</w:t>
            </w:r>
          </w:p>
        </w:tc>
        <w:tc>
          <w:tcPr>
            <w:tcW w:type="dxa" w:w="1855"/>
          </w:tcPr>
          <w:p>
            <w:r>
              <w:t>经营判断</w:t>
            </w:r>
          </w:p>
        </w:tc>
      </w:tr>
      <w:tr>
        <w:tc>
          <w:tcPr>
            <w:tcW w:type="dxa" w:w="1855"/>
          </w:tcPr>
          <w:p>
            <w:r>
              <w:t>第 1 年</w:t>
            </w:r>
          </w:p>
        </w:tc>
        <w:tc>
          <w:tcPr>
            <w:tcW w:type="dxa" w:w="1855"/>
          </w:tcPr>
          <w:p>
            <w:r>
              <w:t>校园样板与产品验证</w:t>
            </w:r>
          </w:p>
        </w:tc>
        <w:tc>
          <w:tcPr>
            <w:tcW w:type="dxa" w:w="1855"/>
          </w:tcPr>
          <w:p>
            <w:r>
              <w:t>2 个试点场景，3 次仿真评估</w:t>
            </w:r>
          </w:p>
        </w:tc>
        <w:tc>
          <w:tcPr>
            <w:tcW w:type="dxa" w:w="1855"/>
          </w:tcPr>
          <w:p>
            <w:r>
              <w:t>50 万元</w:t>
            </w:r>
          </w:p>
        </w:tc>
        <w:tc>
          <w:tcPr>
            <w:tcW w:type="dxa" w:w="1855"/>
          </w:tcPr>
          <w:p>
            <w:r>
              <w:t>以验证和案例为主，保持轻资产</w:t>
            </w:r>
          </w:p>
        </w:tc>
      </w:tr>
      <w:tr>
        <w:tc>
          <w:tcPr>
            <w:tcW w:type="dxa" w:w="1855"/>
          </w:tcPr>
          <w:p>
            <w:r>
              <w:t>第 2 年</w:t>
            </w:r>
          </w:p>
        </w:tc>
        <w:tc>
          <w:tcPr>
            <w:tcW w:type="dxa" w:w="1855"/>
          </w:tcPr>
          <w:p>
            <w:r>
              <w:t>园区复制与联合交付</w:t>
            </w:r>
          </w:p>
        </w:tc>
        <w:tc>
          <w:tcPr>
            <w:tcW w:type="dxa" w:w="1855"/>
          </w:tcPr>
          <w:p>
            <w:r>
              <w:t>5 个授权场景，2 个软硬件联合项目</w:t>
            </w:r>
          </w:p>
        </w:tc>
        <w:tc>
          <w:tcPr>
            <w:tcW w:type="dxa" w:w="1855"/>
          </w:tcPr>
          <w:p>
            <w:r>
              <w:t>200 万元</w:t>
            </w:r>
          </w:p>
        </w:tc>
        <w:tc>
          <w:tcPr>
            <w:tcW w:type="dxa" w:w="1855"/>
          </w:tcPr>
          <w:p>
            <w:r>
              <w:t>形成标准化交付能力</w:t>
            </w:r>
          </w:p>
        </w:tc>
      </w:tr>
      <w:tr>
        <w:tc>
          <w:tcPr>
            <w:tcW w:type="dxa" w:w="1855"/>
          </w:tcPr>
          <w:p>
            <w:r>
              <w:t>第 3 年</w:t>
            </w:r>
          </w:p>
        </w:tc>
        <w:tc>
          <w:tcPr>
            <w:tcW w:type="dxa" w:w="1855"/>
          </w:tcPr>
          <w:p>
            <w:r>
              <w:t>区域扩张与 SaaS 放量</w:t>
            </w:r>
          </w:p>
        </w:tc>
        <w:tc>
          <w:tcPr>
            <w:tcW w:type="dxa" w:w="1855"/>
          </w:tcPr>
          <w:p>
            <w:r>
              <w:t>15 个授权场景，多个按单服务客户</w:t>
            </w:r>
          </w:p>
        </w:tc>
        <w:tc>
          <w:tcPr>
            <w:tcW w:type="dxa" w:w="1855"/>
          </w:tcPr>
          <w:p>
            <w:r>
              <w:t>600 万元</w:t>
            </w:r>
          </w:p>
        </w:tc>
        <w:tc>
          <w:tcPr>
            <w:tcW w:type="dxa" w:w="1855"/>
          </w:tcPr>
          <w:p>
            <w:r>
              <w:t>收入结构更稳定，毛利率提升</w:t>
            </w:r>
          </w:p>
        </w:tc>
      </w:tr>
    </w:tbl>
    <w:p>
      <w:pPr>
        <w:pStyle w:val="Heading2"/>
      </w:pPr>
      <w:r>
        <w:t>6.2 成本费用预测</w:t>
      </w:r>
    </w:p>
    <w:p>
      <w:pPr/>
      <w:r>
        <w:t>项目成本主要包括研发费用、市场费用、交付与运维费用、管理费用和合规测试费用。研发费用用于 ALNS 主算法、候选中继点生成、动态回退机制、可视化看板、数据接口和云端部署；市场费用用于客户拜访、路演材料、示范展示和渠道合作；交付与运维费用用于场景建模、客户培训、系统配置、设备联调和售后支持。</w:t>
      </w:r>
    </w:p>
    <w:p>
      <w:pPr/>
      <w:r>
        <w:t>由于项目采取轻资产模式，硬件采购不作为团队主要成本。真实部署时，硬件设备由客户采购或合作厂商提供，项目团队重点收取软件、调度、数据和交付服务费用。这一安排可以降低现金流压力，也能避免大学生团队过早承担库存、维修和设备折旧风险。</w:t>
      </w:r>
    </w:p>
    <w:p>
      <w:pPr/>
      <w:r>
        <w:t>随着产品成熟，成本结构会从“研发投入占比高”逐步转向“销售交付和运营支持占比提高”。这并不意味着研发变得不重要，而是说明项目从实验室原型走向真实商业时，需要把客户成功、交付标准和渠道管理纳入核心能力。</w:t>
      </w:r>
    </w:p>
    <w:p>
      <w:pPr>
        <w:pStyle w:val="Heading2"/>
      </w:pPr>
      <w:r>
        <w:t>6.3 盈利能力与现金流判断</w:t>
      </w:r>
    </w:p>
    <w:p>
      <w:pPr/>
      <w:r>
        <w:t>按保守预测，项目第一年可实现小幅盈利或接近盈亏平衡。第一年利润不是评价项目的唯一重点，更重要的是能否形成可复用样板、客户证明和产品闭环。第二年随着授权客户增加，收入规模提升，研发投入被更多客户分摊，净利润有望达到 30 万元左右。第三年若按单 SaaS 服务逐步放量，净利润有望达到 120 万元左右。</w:t>
      </w:r>
    </w:p>
    <w:p>
      <w:pPr/>
      <w:r>
        <w:t>项目现金流策略应坚持三点：第一，不提前大量采购硬件，避免资金被固定资产占用；第二，试点项目尽量采用预付款、阶段验收款和年度授权费组合，减少垫资压力；第三，研发投入与客户需求绑定，优先开发能够支持交付和收费的功能。</w:t>
      </w:r>
    </w:p>
    <w:p>
      <w:pPr/>
      <w:r>
        <w:t>在财务表达上，项目不承诺不切实际的爆发式收入，而强调收入假设与客户数量、订单规模和收费方式之间的对应关系。这样的预测更符合互联网+评审对真实性、成长性和商业闭环的要求。</w:t>
      </w:r>
    </w:p>
    <w:p>
      <w:pPr>
        <w:pStyle w:val="Heading2"/>
      </w:pPr>
      <w:r>
        <w:t>6.4 资金需求与使用计划</w:t>
      </w:r>
    </w:p>
    <w:p>
      <w:pPr/>
      <w:r>
        <w:t>未来一年项目计划筹集或争取约 80 万元发展资金，来源包括学校创新创业项目、竞赛奖金、政府补贴、校企合作经费和必要的天使轮融资。资金主要用于算法研发、数据测试、样板建设、市场拓展和合规咨询。</w:t>
      </w:r>
    </w:p>
    <w:p>
      <w:pPr/>
      <w:r>
        <w:t>其中，算法研发投入用于提升调度效率和大规模场景适应能力；数据与测试投入用于采集更多真实订单、路网和设备参数；样板建设投入用于完成校园数字沙盘、演示系统和小范围联调；市场拓展投入用于客户拜访、材料制作和示范活动；合规咨询投入用于低空飞行、安全责任和数据合规问题。</w:t>
      </w:r>
    </w:p>
    <w:p>
      <w:pPr/>
      <w:r>
        <w:t>若后续进行天使轮融资，融资依据应当是清晰的试点数据、客户合作意向、平台技术成熟度和可复制交付流程，而不是单纯依靠概念热度。团队将优先选择能够提供产业资源、低空经济场景或硬件生态支持的资金方。</w:t>
      </w:r>
    </w:p>
    <w:p>
      <w:r/>
      <w:r>
        <w:br w:type="page"/>
      </w:r>
    </w:p>
    <w:p>
      <w:pPr>
        <w:pStyle w:val="Heading2"/>
      </w:pPr>
      <w:r>
        <w:t>6.5 财务假设说明</w:t>
      </w:r>
    </w:p>
    <w:p>
      <w:pPr/>
      <w:r>
        <w:t>本计划书中的财务预测基于保守场景，而非理想化扩张。客户数量假设、收费单价和成本结构均以校园和园区早期试点为基础。第一年收入低，是因为项目需要完成产品验证和案例积累；第二年收入增长，是因为场景模板开始复制；第三年收入进一步提升，是因为授权客户和按单服务同时增加。</w:t>
      </w:r>
    </w:p>
    <w:p>
      <w:pPr/>
      <w:r>
        <w:t>平台授权费按每场景每年 5 万至 20 万元估算，取决于功能范围、场景复杂度和服务深度。仿真评估服务按每次 1 万至 5 万元估算，适用于客户前期论证。项目交付服务按 5 万至 30 万元估算，适用于需要数据接入、硬件联调和培训验收的客户。按单 SaaS 服务按 0.08 至 0.20 元/单估算，适用于订单量稳定的运营客户。</w:t>
      </w:r>
    </w:p>
    <w:p>
      <w:pPr/>
      <w:r>
        <w:t>成本方面，研发人员在早期以团队成员投入为主，现金成本相对较低，但计划书仍将研发费用计入预算，体现真实经营口径。市场费用和交付费用会随着客户数量上升而增加，但由于平台复用程度提高，单客户交付成本将逐步下降。</w:t>
      </w:r>
    </w:p>
    <w:p>
      <w:pPr>
        <w:pStyle w:val="Heading2"/>
      </w:pPr>
      <w:r>
        <w:t>6.6 盈亏平衡分析</w:t>
      </w:r>
    </w:p>
    <w:p>
      <w:pPr/>
      <w:r>
        <w:t>项目盈亏平衡点主要取决于年度固定成本和单客户贡献毛利。假设项目年度固定成本包括研发、云资源、基础管理和市场材料等约 80 万元，单个标准客户首年贡献毛利约 8 万至 15 万元，则项目需要约 6 至 10 个标准客户即可接近盈亏平衡。若其中包含 1 至 2 个示范项目或联合交付项目，盈亏平衡时间可进一步提前。</w:t>
      </w:r>
    </w:p>
    <w:p>
      <w:pPr/>
      <w:r>
        <w:t>从经营策略看，团队不应把早期收入完全寄托在按单 SaaS 上。按单服务需要订单系统接入和真实运营规模，短期推进难度较高。更适合早期的收入是仿真评估、平台授权和项目交付，因为它们与客户试点需求直接相关，销售周期相对可控。</w:t>
      </w:r>
    </w:p>
    <w:p>
      <w:pPr/>
      <w:r>
        <w:t>当客户数量达到一定规模后，按单 SaaS 才会成为更稳定的增长来源。届时平台已经积累足够场景数据，客户也已经把系统纳入日常运营，按单计费更容易被接受。</w:t>
      </w:r>
    </w:p>
    <w:p>
      <w:pPr>
        <w:pStyle w:val="Heading2"/>
      </w:pPr>
      <w:r>
        <w:t>6.7 敏感性分析</w:t>
      </w:r>
    </w:p>
    <w:p>
      <w:pPr/>
      <w:r>
        <w:t>影响项目财务结果的关键变量包括客户数量、客单价、交付周期、研发投入和按单服务渗透率。若客户数量低于预期，项目短期收入会明显下降；若客单价偏低，则需要更多客户才能覆盖固定成本；若交付周期过长，会占用团队资源并影响现金流。</w:t>
      </w:r>
    </w:p>
    <w:p>
      <w:pPr/>
      <w:r>
        <w:t>为降低敏感性风险，项目需要把产品做成模块化结构。基础功能尽量标准化，客户定制需求尽量通过配置解决，而不是每次重新开发。对超过标准范围的客户需求，应单独报价并明确交付周期，避免免费定制拖累利润。</w:t>
      </w:r>
    </w:p>
    <w:p>
      <w:pPr/>
      <w:r>
        <w:t>在积极情形下，若项目获得政府示范项目、校企合作资金或硬件厂商渠道，收入增长会快于保守预测。但计划书仍以保守情形作为主线，体现项目对财务风险的理性判断。</w:t>
      </w:r>
    </w:p>
    <w:p>
      <w:pPr>
        <w:pStyle w:val="Heading2"/>
      </w:pPr>
      <w:r>
        <w:t>6.8 资金使用节奏</w:t>
      </w:r>
    </w:p>
    <w:p>
      <w:pPr/>
      <w:r>
        <w:t>资金使用应与项目里程碑绑定。样板验证阶段，资金优先用于算法开发、场景数据、演示系统和路演材料；试点复制阶段，资金优先用于客户调研、部署支持、接口开发和运维体系；区域扩张阶段，资金优先用于渠道合作、团队扩充、云服务和合规支持。</w:t>
      </w:r>
    </w:p>
    <w:p>
      <w:pPr/>
      <w:r>
        <w:t>团队应避免一次性大额支出，尤其避免为了展示效果购买超出试点需要的硬件。硬件资源可以通过合作、租赁、厂商赞助和学校实验条件解决。资金真正应该投入的是能长期复用的能力，例如算法模块、场景模板、数据工具、客户材料和交付流程。</w:t>
      </w:r>
    </w:p>
    <w:p>
      <w:pPr/>
      <w:r>
        <w:t>每笔较大支出都应对应明确成果，例如新增一个可复制场景、完成一个客户试点、获得一份合作证明或提升一项核心指标。这样能够保证资金使用服务于商业化，而不是变成竞赛包装成本。</w:t>
      </w:r>
    </w:p>
    <w:p>
      <w:pPr>
        <w:pStyle w:val="Heading2"/>
      </w:pPr>
      <w:r>
        <w:t>6.9 年度预算管理</w:t>
      </w:r>
    </w:p>
    <w:p>
      <w:pPr/>
      <w:r>
        <w:t>项目进入真实经营后，需要建立年度预算管理机制。预算不只是列出支出，更是约束团队战略选择的工具。第一年预算应服务于产品验证和样板打造，避免把钱花在大规模营销和不必要硬件上；第二年预算应服务于客户复制和交付能力建设；第三年预算应服务于平台化、渠道化和团队扩充。</w:t>
      </w:r>
    </w:p>
    <w:p>
      <w:pPr/>
      <w:r>
        <w:t>研发预算要优先保障核心算法、系统稳定性和数据工具。市场预算要优先保障能带来客户线索的活动，例如客户拜访、行业交流、路演展示和示范材料制作。管理预算要保持克制，大学生团队前期不宜形成过重固定成本。</w:t>
      </w:r>
    </w:p>
    <w:p>
      <w:pPr/>
      <w:r>
        <w:t>预算执行过程中，应建立月度复盘。每月检查收入进展、客户线索、研发里程碑和现金余额。如果某项支出没有带来客户、产品或交付能力提升，就要及时调整。</w:t>
      </w:r>
    </w:p>
    <w:p>
      <w:pPr>
        <w:pStyle w:val="Heading2"/>
      </w:pPr>
      <w:r>
        <w:t>6.10 投资回报说明</w:t>
      </w:r>
    </w:p>
    <w:p>
      <w:pPr/>
      <w:r>
        <w:t>对潜在投资人或支持单位而言，本项目的投资回报不只体现在短期利润，也体现在技术成果、示范价值和产业入口。短期看，项目可以通过仿真评估、平台授权和项目交付形成收入；中期看，项目可以沉淀低空绿色物流场景数据和客户案例；长期看，项目有机会成为低空配送试点前的基础决策工具。</w:t>
      </w:r>
    </w:p>
    <w:p>
      <w:pPr/>
      <w:r>
        <w:t>投资回报的关键前提是项目保持轻资产。若团队过早自购大量设备，资金回收周期会拉长，运营风险会增加。相反，如果团队掌握调度平台和数据服务，硬件由客户或合作伙伴承担，项目就能以较低资本投入获得较高成长弹性。</w:t>
      </w:r>
    </w:p>
    <w:p>
      <w:pPr/>
      <w:r>
        <w:t>对于学校和地方创新创业平台而言，项目还具有教育和示范回报。它能够体现计算机专业学生把算法应用到国家战略新兴产业中的能力，也能成为学校服务地方低空经济和绿色物流建设的案例。</w:t>
      </w:r>
    </w:p>
    <w:p>
      <w:pPr>
        <w:pStyle w:val="Heading1"/>
      </w:pPr>
      <w:r>
        <w:t>第 7 章 风险控制</w:t>
      </w:r>
    </w:p>
    <w:p>
      <w:pPr/>
      <w:r>
        <w:t>低空绿色物流属于新兴融合领域，天然存在技术、政策、安全、市场、资金和团队管理等风险。本项目的风险控制思路是：不回避风险，但通过场景选择、合作边界、分阶段验证和数据化管理降低风险。项目早期坚持从校园、园区、景区等相对可控场景切入，不直接承诺开放城市复杂空域运营；坚持以仿真评估和调度平台为主，不把硬件采购和飞行资质全部压在团队自身。</w:t>
      </w:r>
    </w:p>
    <w:p>
      <w:pPr>
        <w:pStyle w:val="Heading2"/>
      </w:pPr>
      <w:r>
        <w:t>7.1 技术风险及应对</w:t>
      </w:r>
    </w:p>
    <w:p>
      <w:pPr/>
      <w:r>
        <w:t>技术风险主要体现在三个方面：一是 ALNS 等优化算法在大规模订单场景下可能出现计算时间增加；二是 UAV/AGV 协同涉及时间窗、续航、等待、回收和异常回退，模型复杂度高；三是仿真结果与真实运行之间可能存在差异。</w:t>
      </w:r>
    </w:p>
    <w:p>
      <w:pPr/>
      <w:r>
        <w:t>应对措施包括：采用启发式初始解、分区优化和局部重优化减少计算压力；将动态回退机制纳入产品路线，处理天气、设备故障、订单延迟等异常情况；在真实试点前进行多轮仿真、半实物测试和小范围运行，用实际数据不断修正模型参数。</w:t>
      </w:r>
    </w:p>
    <w:p>
      <w:pPr/>
      <w:r>
        <w:t>项目还将建立技术验收指标，包括任务完成率、准时率、平均等待时间、单任务能耗、单位距离能耗和设备利用率。每一次算法迭代都必须能在这些指标上给出解释，而不是只追求论文式指标。</w:t>
      </w:r>
    </w:p>
    <w:p>
      <w:pPr>
        <w:pStyle w:val="Heading2"/>
      </w:pPr>
      <w:r>
        <w:t>7.2 政策与安全风险及应对</w:t>
      </w:r>
    </w:p>
    <w:p>
      <w:pPr/>
      <w:r>
        <w:t>低空飞行涉及空域管理、飞行审批、设备资质、人员操作、安全责任和保险机制。政策变化可能影响真实飞行试点进度，安全事故也会对项目造成严重影响。因此，本项目在早期不把大范围真实飞行作为唯一落地方式，而是先以仿真评估、半封闭区域测试和合规硬件合作为主。</w:t>
      </w:r>
    </w:p>
    <w:p>
      <w:pPr/>
      <w:r>
        <w:t>真实运行时，项目将与具备资质的无人机企业、园区管理方和相关监管部门合作，明确飞行范围、起降点、禁飞区、应急预案和责任边界。平台本身也要把安全约束写入调度逻辑，例如避开人群密集区域、设置备用降落点、限制飞行高度和任务时间窗。</w:t>
      </w:r>
    </w:p>
    <w:p>
      <w:pPr/>
      <w:r>
        <w:t>安全不是路演中的附属内容，而是商业化的前提。客户只有相信系统可控、责任清晰、方案合规，才会愿意推动试点。</w:t>
      </w:r>
    </w:p>
    <w:p>
      <w:pPr>
        <w:pStyle w:val="Heading2"/>
      </w:pPr>
      <w:r>
        <w:t>7.3 市场风险及应对</w:t>
      </w:r>
    </w:p>
    <w:p>
      <w:pPr/>
      <w:r>
        <w:t>市场风险主要来自客户接受周期长、预算审批慢、低空物流需求被高估以及竞品进入。许多客户对低空经济感兴趣，但真正付费时会反复比较成本、效果和安全责任。</w:t>
      </w:r>
    </w:p>
    <w:p>
      <w:pPr/>
      <w:r>
        <w:t>项目的应对方式是降低客户首次购买门槛，先用仿真评估和规划报告切入，而不是直接销售完整系统。通过小额服务让客户看到具体数据，再逐步推进平台授权和试点部署。同时，项目将聚焦校园、园区和景区等边界清晰的场景，避免一开始进入竞争激烈且监管复杂的城市开放配送市场。</w:t>
      </w:r>
    </w:p>
    <w:p>
      <w:pPr/>
      <w:r>
        <w:t>面对竞品，项目的差异化不在于单一无人机或无人车硬件，而在于空地协同调度、绿色指标量化和轻资产交付。只要持续沉淀场景数据和客户案例，就能逐步形成差异化壁垒。</w:t>
      </w:r>
    </w:p>
    <w:p>
      <w:pPr>
        <w:pStyle w:val="Heading2"/>
      </w:pPr>
      <w:r>
        <w:t>7.4 资金与团队风险及应对</w:t>
      </w:r>
    </w:p>
    <w:p>
      <w:pPr/>
      <w:r>
        <w:t>大学生创业团队常见风险包括研发时间不足、成员流动、商业经验不足和资金有限。本项目团队年级较低，这是成长优势，也意味着需要建立更明确的分工、文档和迭代机制，避免项目依赖个别成员。</w:t>
      </w:r>
    </w:p>
    <w:p>
      <w:pPr/>
      <w:r>
        <w:t>团队将采用任务看板、版本管理、周度复盘和交付清单制度，把算法、产品、文档、路演、市场和财务分工固定下来。关键技术资料、客户访谈记录、实验结果和商业材料统一归档，保证成员变动时项目能够延续。</w:t>
      </w:r>
    </w:p>
    <w:p>
      <w:pPr/>
      <w:r>
        <w:t>资金方面，项目坚持以低成本软件研发和场景评估为主，不进行超出能力范围的硬件投入。若需要硬件测试，优先采用校企合作、租赁、赞助或厂商联合测试方式解决。</w:t>
      </w:r>
    </w:p>
    <w:p>
      <w:pPr>
        <w:pStyle w:val="Heading2"/>
      </w:pPr>
      <w:r>
        <w:t>7.5 综合风险判断</w:t>
      </w:r>
    </w:p>
    <w:p>
      <w:pPr/>
      <w:r>
        <w:t>总体来看，本项目风险可控。它不是重资产硬件创业，而是先以软件和仿真评估切入；不是直接做开放城市飞行，而是先从校园、园区、景区等可控场景试点；不是空喊低空经济，而是用单票成本、能耗、准时率和碳排数据证明价值。只要项目坚持分阶段推进、合规合作和数据化验证，风险就可以被识别、被量化、被管理。</w:t>
      </w:r>
    </w:p>
    <w:p>
      <w:r/>
      <w:r>
        <w:br w:type="page"/>
      </w:r>
    </w:p>
    <w:p>
      <w:pPr>
        <w:pStyle w:val="Heading2"/>
      </w:pPr>
      <w:r>
        <w:t>7.6 数据合规与隐私风险</w:t>
      </w:r>
    </w:p>
    <w:p>
      <w:pPr/>
      <w:r>
        <w:t>平台处理的订单数据、位置数据和运营数据虽然不一定包含高度敏感个人信息，但仍然需要重视数据合规。校园和园区场景中，订单时间、配送地点和用户行为可能反映个人活动规律，若管理不当，会带来隐私风险和客户信任问题。</w:t>
      </w:r>
    </w:p>
    <w:p>
      <w:pPr/>
      <w:r>
        <w:t>项目应坚持最小必要原则，只采集完成调度和评估所需的数据。对外展示时使用脱敏数据和汇总指标，不展示具体个人订单。客户数据应按项目分区存储，未经授权不得跨客户使用。若需要形成行业基准库，也应在合同中明确数据使用范围，并采用匿名化处理。</w:t>
      </w:r>
    </w:p>
    <w:p>
      <w:pPr/>
      <w:r>
        <w:t>数据合规能力本身也可以成为项目卖点。很多客户并不缺概念方案，缺的是能够放心使用、边界清晰、报告规范的系统。团队越早建立数据管理制度，越有利于后续进入真实客户场景。</w:t>
      </w:r>
    </w:p>
    <w:p>
      <w:pPr>
        <w:pStyle w:val="Heading2"/>
      </w:pPr>
      <w:r>
        <w:t>7.7 交付风险与质量控制</w:t>
      </w:r>
    </w:p>
    <w:p>
      <w:pPr/>
      <w:r>
        <w:t>交付风险主要来自客户需求变化、场景数据不完整、硬件接口不统一和试点周期被拉长。若缺乏标准流程，一个项目就可能占用团队大量时间，影响后续复制。</w:t>
      </w:r>
    </w:p>
    <w:p>
      <w:pPr/>
      <w:r>
        <w:t>项目应建立交付清单制度。每个试点启动前，必须确认客户联系人、场景边界、数据清单、设备参数、时间计划、验收指标和风险责任。交付过程中，使用周报记录进展、问题和下一步动作。交付结束后，形成复盘报告，总结可复用模板和需要改进的环节。</w:t>
      </w:r>
    </w:p>
    <w:p>
      <w:pPr/>
      <w:r>
        <w:t>质量控制方面，平台每次输出方案都应保留参数版本和结果记录，确保客户追问时能够解释。对于关键演示和客户汇报，团队应提前进行多轮彩排，避免系统操作失误影响信任。</w:t>
      </w:r>
    </w:p>
    <w:p>
      <w:pPr>
        <w:pStyle w:val="Heading2"/>
      </w:pPr>
      <w:r>
        <w:t>7.8 竞争风险与防御策略</w:t>
      </w:r>
    </w:p>
    <w:p>
      <w:pPr/>
      <w:r>
        <w:t>未来低空物流领域可能出现来自大型物流企业、无人机厂商、无人车企业和智慧园区平台的竞争。大型企业资金和资源更强，硬件厂商掌握设备入口，园区平台掌握客户关系。</w:t>
      </w:r>
    </w:p>
    <w:p>
      <w:pPr/>
      <w:r>
        <w:t>本项目的防御策略是选择细分场景、保持轻量灵活、深耕空地协同和绿色指标。大型企业往往优先关注城市级或大规模物流网络，而本项目可以从校园、园区、景区等中小场景切入，提供更细致的定制化评估和快速响应。硬件厂商擅长设备，但不一定擅长跨设备协同调度和客户经营测算。</w:t>
      </w:r>
    </w:p>
    <w:p>
      <w:pPr/>
      <w:r>
        <w:t>项目还应通过案例、数据和交付流程积累壁垒。只要团队能持续拿出真实场景、真实指标和真实客户反馈，就能在细分市场中形成可信度。</w:t>
      </w:r>
    </w:p>
    <w:p>
      <w:pPr>
        <w:pStyle w:val="Heading2"/>
      </w:pPr>
      <w:r>
        <w:t>7.9 应急预案设计</w:t>
      </w:r>
    </w:p>
    <w:p>
      <w:pPr/>
      <w:r>
        <w:t>低空物流试点必须提前设计应急预案。常见异常包括设备电量不足、通信中断、天气变化、路线临时封闭、订单取消、起降点被占用和客户临时变更需求。平台应当在调度逻辑中预留备用方案，而不是等异常发生后人工临时处理。</w:t>
      </w:r>
    </w:p>
    <w:p>
      <w:pPr/>
      <w:r>
        <w:t>对于设备电量不足，系统应提前设置最低返航电量和备用回收点；对于通信中断，应设置任务暂停、原地等待或返回安全点的策略；对于天气变化，应允许系统自动切换为地面配送或延迟任务；对于路线封闭，应重新计算可行路线并向客户提示影响。</w:t>
      </w:r>
    </w:p>
    <w:p>
      <w:pPr/>
      <w:r>
        <w:t>应急预案不仅保护安全，也保护商业信誉。客户最担心的不是系统永远不出问题，而是出了问题以后是否有明确处置方式。项目如果能把异常处理写进产品和交付流程，就会比单纯展示正常路径更可信。</w:t>
      </w:r>
    </w:p>
    <w:p>
      <w:pPr>
        <w:pStyle w:val="Heading2"/>
      </w:pPr>
      <w:r>
        <w:t>7.10 风险监测指标</w:t>
      </w:r>
    </w:p>
    <w:p>
      <w:pPr/>
      <w:r>
        <w:t>风险控制需要可监测指标。技术风险可通过计算时间、失败任务数、异常回退次数和系统响应时间监测；安全风险可通过禁飞区触发次数、备用点使用次数、异常告警数量和人工接管次数监测；市场风险可通过客户转化率、试点周期、续费意向和客户满意度监测；资金风险可通过现金余额、应收款周期和预算执行率监测。</w:t>
      </w:r>
    </w:p>
    <w:p>
      <w:pPr/>
      <w:r>
        <w:t>团队应建立风险台账，把每个风险记录为风险描述、发生概率、影响程度、责任人、应对措施和复盘结果。这样风险控制不再是计划书里的表态，而是项目管理中的日常动作。</w:t>
      </w:r>
    </w:p>
    <w:p>
      <w:pPr/>
      <w:r>
        <w:t>在互联网+评审中，成熟的风险监测机制能够体现项目不是只会讲前景，也知道如何面对不确定性。这对低空经济类项目尤其重要。</w:t>
      </w:r>
    </w:p>
    <w:p>
      <w:pPr>
        <w:pStyle w:val="Heading1"/>
      </w:pPr>
      <w:r>
        <w:t>第 8 章 项目团队</w:t>
      </w:r>
    </w:p>
    <w:p>
      <w:pPr/>
      <w:r>
        <w:t>团队是本项目从技术原型走向商业化落地的关键。相比成熟企业团队，本团队最大的特点是年轻、学习速度快、执行意愿强，并且具有较长的成长周期。项目目前由湖南科技大学计算机科学与工程学院本科生组成，在舒红梅老师指导下开展技术研发、商业计划书撰写、实验验证和路演准备。</w:t>
      </w:r>
    </w:p>
    <w:p>
      <w:pPr>
        <w:pStyle w:val="Heading2"/>
      </w:pPr>
      <w:r>
        <w:t>8.1 团队简介</w:t>
      </w:r>
    </w:p>
    <w:p>
      <w:pPr/>
      <w:r>
        <w:t>本团队由 1 名大二学生和 5 名大一学生组成。团队年级低并不意味着项目不成熟，反而说明项目具有持续迭代空间。成员从低年级阶段就开始围绕低空经济、绿色物流和智能调度开展项目训练，能够在未来几年持续参加创新创业竞赛、申请软件著作权、推进校内试点和对接企业合作。</w:t>
      </w:r>
    </w:p>
    <w:p>
      <w:pPr/>
      <w:r>
        <w:t>在导师指导下，团队已经完成从代码原型、策略对比、实验结果到商业计划书的多轮迭代，体现出较强执行力。项目不是临时拼凑的概念，而是已经具备仿真系统、实验数据、技术路线和商业化表达的持续型项目。</w:t>
      </w:r>
    </w:p>
    <w:p>
      <w:pPr/>
      <w:r>
        <w:t>团队的专业背景与项目高度匹配。计算机专业训练能够支撑算法、系统开发、数据分析和可视化实现；学校创新创业平台能够提供竞赛辅导、资源链接和场景验证机会；导师经验能够帮助团队把技术语言转化为评审和客户听得懂的商业语言。</w:t>
      </w:r>
    </w:p>
    <w:p>
      <w:pPr>
        <w:pStyle w:val="Heading2"/>
      </w:pPr>
      <w:r>
        <w:t>8.2 团队分工</w:t>
      </w:r>
    </w:p>
    <w:p>
      <w:pPr/>
      <w:r>
        <w:t>团队分工按照“项目统筹、算法研发、系统开发、数据测试、商业策划、路演运营”六类角色推进。项目统筹负责整体方向、进度管理、资源协调和答辩表达；算法研发负责 ALNS、候选中继点、路径优化和动态回退；系统开发负责平台界面、数据输入、结果展示和报告导出；数据测试负责场景参数、实验设计、结果复核和指标解释；商业策划负责市场分析、财务测算、客户访谈和商业计划书；路演运营负责演示视频、PPT、品牌表达和对外沟通。</w:t>
      </w:r>
    </w:p>
    <w:p>
      <w:pPr/>
      <w:r>
        <w:t>这种分工能够保证项目既有技术深度，也有商业表达。互联网+比赛并不只看技术实现，也看项目是否能够讲清客户、市场、收入和落地。团队将继续强化跨角色协作，让每个成员既理解自己的任务，也理解项目整体逻辑。</w:t>
      </w:r>
    </w:p>
    <w:p>
      <w:pPr>
        <w:pStyle w:val="Heading2"/>
      </w:pPr>
      <w:r>
        <w:t>8.3 团队优势</w:t>
      </w:r>
    </w:p>
    <w:p>
      <w:pPr/>
      <w:r>
        <w:t>第一，专业匹配度高。项目核心是智能调度、路径规划、仿真评估和数据可视化，正好对应计算机专业能力。第二，执行速度快。团队已经完成多个版本材料和实验结果，能够根据反馈快速调整。第三，导师支撑明确。舒红梅老师在技术路线、竞赛表达和项目规范方面提供指导，帮助团队避免只会写代码、不懂商业化表达的问题。第四，成长周期长。团队成员以大一、大二为主，未来有足够时间持续参赛、打磨产品和推进落地。</w:t>
      </w:r>
    </w:p>
    <w:p>
      <w:pPr/>
      <w:r>
        <w:t>此外，团队具有较强的学习型组织特征。低空经济、无人配送和绿色物流都是快速变化的领域，项目不可能一次性完成所有能力。真正重要的是团队能否持续学习政策、客户、技术和市场变化，并把学习结果转化为产品迭代。当前团队已经表现出这种能力。</w:t>
      </w:r>
    </w:p>
    <w:p>
      <w:pPr>
        <w:pStyle w:val="Heading2"/>
      </w:pPr>
      <w:r>
        <w:t>8.4 团队建设计划</w:t>
      </w:r>
    </w:p>
    <w:p>
      <w:pPr/>
      <w:r>
        <w:t>未来团队将重点补强三类能力。第一是工程化能力，包括代码规范、测试体系、版本管理、接口设计和部署运维；第二是商业化能力，包括客户访谈、合同意识、财务测算、渠道合作和项目交付；第三是合规与行业认知，包括低空飞行政策、安全责任、数据合规和绿色低碳评价。</w:t>
      </w:r>
    </w:p>
    <w:p>
      <w:pPr/>
      <w:r>
        <w:t>团队计划在校内继续吸纳具有前端开发、后端开发、运筹优化、无人系统、市场策划和视频制作能力的同学，形成更完整的项目梯队。同时，通过导师、学院、创新创业平台和企业顾问建立外部支持网络，使项目不局限于课堂作业或比赛文本，而是逐步接近真实创业项目的组织形态。</w:t>
      </w:r>
    </w:p>
    <w:p>
      <w:r/>
      <w:r>
        <w:br w:type="page"/>
      </w:r>
    </w:p>
    <w:p>
      <w:pPr>
        <w:pStyle w:val="Heading2"/>
      </w:pPr>
      <w:r>
        <w:t>8.5 导师与外部资源支持</w:t>
      </w:r>
    </w:p>
    <w:p>
      <w:pPr/>
      <w:r>
        <w:t>导师支持是大学生创新创业项目的重要保障。舒红梅老师在项目选题、技术路线、竞赛表达和文档规范方面提供指导，帮助团队把原本偏技术的系统转化为能够参加互联网+比赛的商业项目。导师的作用不仅是修改材料，更重要的是帮助团队建立研究问题、工程实现和商业价值之间的连接。</w:t>
      </w:r>
    </w:p>
    <w:p>
      <w:pPr/>
      <w:r>
        <w:t>除导师外，团队还可以依托学院实验室、创新创业学院、学校后勤部门和地方产业资源逐步建立外部支持网络。学院可以提供技术讨论和人才补充，创新创业平台可以提供竞赛辅导和政策资源，后勤或园区客户可以提供真实场景，企业合作方可以提供硬件和行业经验。</w:t>
      </w:r>
    </w:p>
    <w:p>
      <w:pPr/>
      <w:r>
        <w:t>外部资源并不会替代团队自身能力，但能够显著降低试错成本。团队需要主动把资源转化为项目成果，例如把一次导师指导转化为技术路线调整，把一次客户访谈转化为需求文档，把一次企业交流转化为合作方案。</w:t>
      </w:r>
    </w:p>
    <w:p>
      <w:pPr>
        <w:pStyle w:val="Heading2"/>
      </w:pPr>
      <w:r>
        <w:t>8.6 团队学习与迭代机制</w:t>
      </w:r>
    </w:p>
    <w:p>
      <w:pPr/>
      <w:r>
        <w:t>项目处在低空经济和智能物流交叉领域，团队必须保持持续学习。每两周可围绕一个主题进行内部学习，例如低空政策、路径优化算法、无人机安全规范、智慧园区案例、商业计划书写作和路演表达。学习内容要与项目任务绑定，避免停留在泛泛阅读。</w:t>
      </w:r>
    </w:p>
    <w:p>
      <w:pPr/>
      <w:r>
        <w:t>迭代机制方面，团队应把项目拆分为版本。V1.0 解决能演示的问题，V2.0 解决能试点的问题，V3.0 解决能复制的问题。每个版本都要明确新增功能、验证指标和交付材料。版本结束后进行复盘，保留有效做法，删除无效功能。</w:t>
      </w:r>
    </w:p>
    <w:p>
      <w:pPr/>
      <w:r>
        <w:t>这种机制可以让低年级团队快速成长。即使成员经验不足，只要有清晰任务、稳定节奏和复盘习惯，项目能力就会持续积累。</w:t>
      </w:r>
    </w:p>
    <w:p>
      <w:pPr>
        <w:pStyle w:val="Heading2"/>
      </w:pPr>
      <w:r>
        <w:t>8.7 人才补充计划</w:t>
      </w:r>
    </w:p>
    <w:p>
      <w:pPr/>
      <w:r>
        <w:t>随着项目推进，团队需要从单一计算机背景扩展到多学科协作。技术侧需要补充前端开发、后端架构、运筹优化、地图数据和系统测试人才；商业侧需要补充市场调研、财务测算、品牌设计、视频剪辑和路演表达人才；行业侧需要逐步接触无人系统、物流管理、交通规划和低碳评估相关知识。</w:t>
      </w:r>
    </w:p>
    <w:p>
      <w:pPr/>
      <w:r>
        <w:t>人才补充不一定全部通过固定成员完成，也可以通过课程项目、社团合作、企业导师和校友资源实现。关键是形成明确岗位和交付标准，让新加入者知道自己负责什么、产出什么、如何被评价。</w:t>
      </w:r>
    </w:p>
    <w:p>
      <w:pPr/>
      <w:r>
        <w:t>项目团队还应建立核心资料库，保存代码说明、实验结果、客户材料、答辩问答、财务模型和政策资料。这样即使人员变化，项目知识也不会流失。</w:t>
      </w:r>
    </w:p>
    <w:p>
      <w:pPr>
        <w:pStyle w:val="Heading2"/>
      </w:pPr>
      <w:r>
        <w:t>8.8 组织治理机制</w:t>
      </w:r>
    </w:p>
    <w:p>
      <w:pPr/>
      <w:r>
        <w:t>随着项目从比赛作品走向创业项目，团队需要逐步建立组织治理机制。早期可以采用项目负责人制，由负责人统筹方向、进度和对外沟通；各模块负责人分别管理算法、系统、数据、商业和路演。每周召开一次短会，汇报完成事项、存在问题和下周计划。</w:t>
      </w:r>
    </w:p>
    <w:p>
      <w:pPr/>
      <w:r>
        <w:t>重要决策需要形成记录，例如是否进入某个客户场景、是否承诺某项功能、是否接受某种合作条件。记录不一定复杂，但必须让团队知道为什么做出选择。这样可以减少沟通误差，也有利于后续复盘。</w:t>
      </w:r>
    </w:p>
    <w:p>
      <w:pPr/>
      <w:r>
        <w:t>当项目产生收入或外部合作后，团队还需要明确知识产权、成果归属、收益分配和责任边界。大学生团队最容易忽视这些问题，但它们会直接影响项目长期稳定。</w:t>
      </w:r>
    </w:p>
    <w:p>
      <w:pPr>
        <w:pStyle w:val="Heading2"/>
      </w:pPr>
      <w:r>
        <w:t>8.9 知识产权与成果积累</w:t>
      </w:r>
    </w:p>
    <w:p>
      <w:pPr/>
      <w:r>
        <w:t>项目后续可围绕软件著作权、算法模块、系统界面、数据报告模板和品牌名称进行成果积累。短期内，团队可以优先申请软件著作权，保护调度系统、仿真平台和可视化工具。中期可围绕候选中继点生成、空地协同调度和能耗测算形成技术文档，为论文、专利或竞赛成果做准备。</w:t>
      </w:r>
    </w:p>
    <w:p>
      <w:pPr/>
      <w:r>
        <w:t>知识产权不是为了包装，而是为了证明项目具有持续研发能力。每一个版本都应保留设计说明、测试结果和更新记录。这样在答辩、客户沟通和后续融资时，团队都能拿出可信材料。</w:t>
      </w:r>
    </w:p>
    <w:p>
      <w:pPr/>
      <w:r>
        <w:t>成果积累还包括客户证明、访谈记录、试点报告、演示视频和路演奖项。这些材料共同构成项目的信用资产。</w:t>
      </w:r>
    </w:p>
    <w:p>
      <w:pPr>
        <w:pStyle w:val="Heading1"/>
      </w:pPr>
      <w:r>
        <w:t>第 9 章 发展规划</w:t>
      </w:r>
    </w:p>
    <w:p>
      <w:pPr/>
      <w:r>
        <w:t>项目发展规划围绕“先验证、再复制、后平台化”的路径展开。短期目标是完成算法和样板，中期目标是形成标准化交付和区域复制，长期目标是成为低空绿色物流领域的智能调度基础软件。</w:t>
      </w:r>
    </w:p>
    <w:p>
      <w:pPr>
        <w:pStyle w:val="Heading2"/>
      </w:pPr>
      <w:r>
        <w:t>9.1 短期计划（2026—2027）</w:t>
      </w:r>
    </w:p>
    <w:p>
      <w:pPr/>
      <w:r>
        <w:t>短期阶段以产品可用和样板可信为核心。团队将完成 ALNS 主算法、候选中继点生成与筛选、动态回退机制、能耗与碳排测算模块，并形成可演示的 Web 控制台或桌面端演示系统。围绕湖南科技大学校园场景，团队将整理路网、终点、订单和设备参数，建立第一个完整数字沙盘。</w:t>
      </w:r>
    </w:p>
    <w:p>
      <w:pPr/>
      <w:r>
        <w:t>在商业材料方面，团队将同步完善商业计划书、路演 PPT、演示视频、客户访谈记录和阶段性软著材料。短期目标不是追求大规模收入，而是形成一套评审、客户和合作伙伴都能看懂的完整项目包。</w:t>
      </w:r>
    </w:p>
    <w:p>
      <w:pPr>
        <w:pStyle w:val="Heading2"/>
      </w:pPr>
      <w:r>
        <w:t>9.2 中期计划（2027—2029）</w:t>
      </w:r>
    </w:p>
    <w:p>
      <w:pPr/>
      <w:r>
        <w:t>中期阶段以场景复制和商业验证为核心。项目计划拓展 5 至 10 个校园、园区或景区试点，形成标准化部署流程和 SaaS 收费模型。团队将重点打磨场景配置模板、交付清单、验收指标和客户成功流程，使新客户部署不再依赖从零开始的定制开发。</w:t>
      </w:r>
    </w:p>
    <w:p>
      <w:pPr/>
      <w:r>
        <w:t>在合作方面，项目计划与 UAV/AGV 厂商建立联合交付关系，完成至少 2 个软硬件联合示范项目。通过真实案例证明平台不仅能在仿真环境中运行，也能支撑实际设备和真实客户需求。</w:t>
      </w:r>
    </w:p>
    <w:p>
      <w:pPr>
        <w:pStyle w:val="Heading2"/>
      </w:pPr>
      <w:r>
        <w:t>9.3 长期计划（2029 以后）</w:t>
      </w:r>
    </w:p>
    <w:p>
      <w:pPr/>
      <w:r>
        <w:t>长期阶段以平台化和生态化为核心。项目希望从校园和园区配送延伸到应急物资、景区补给、医疗小件、工业园区巡检、港区短驳等更多低空物流场景，形成可持续、可复制、可量化减碳的低空物流基础软件。</w:t>
      </w:r>
    </w:p>
    <w:p>
      <w:pPr/>
      <w:r>
        <w:t>在技术上，平台将从单场景优化发展为多场景、多设备、多订单类型的智能调度系统；在商业上，平台将从项目交付收入逐步转向授权、按单服务和数据服务并重；在生态上，平台将连接硬件厂商、园区客户、政府示范项目和第三方服务商。</w:t>
      </w:r>
    </w:p>
    <w:p>
      <w:pPr>
        <w:pStyle w:val="Heading2"/>
      </w:pPr>
      <w:r>
        <w:t>9.4 阶段里程碑</w:t>
      </w:r>
    </w:p>
    <w:tbl>
      <w:tblPr>
        <w:tblStyle w:val="TableGrid"/>
        <w:tblW w:type="auto" w:w="0"/>
        <w:tblLook w:firstColumn="1" w:firstRow="1" w:lastColumn="0" w:lastRow="0" w:noHBand="0" w:noVBand="1" w:val="04A0"/>
      </w:tblPr>
      <w:tblGrid>
        <w:gridCol w:w="2318"/>
        <w:gridCol w:w="2318"/>
        <w:gridCol w:w="2318"/>
        <w:gridCol w:w="2318"/>
      </w:tblGrid>
      <w:tr>
        <w:tc>
          <w:tcPr>
            <w:tcW w:type="dxa" w:w="2318"/>
          </w:tcPr>
          <w:p>
            <w:r>
              <w:t>阶段</w:t>
            </w:r>
          </w:p>
        </w:tc>
        <w:tc>
          <w:tcPr>
            <w:tcW w:type="dxa" w:w="2318"/>
          </w:tcPr>
          <w:p>
            <w:r>
              <w:t>时间</w:t>
            </w:r>
          </w:p>
        </w:tc>
        <w:tc>
          <w:tcPr>
            <w:tcW w:type="dxa" w:w="2318"/>
          </w:tcPr>
          <w:p>
            <w:r>
              <w:t>关键任务</w:t>
            </w:r>
          </w:p>
        </w:tc>
        <w:tc>
          <w:tcPr>
            <w:tcW w:type="dxa" w:w="2318"/>
          </w:tcPr>
          <w:p>
            <w:r>
              <w:t>核心交付物</w:t>
            </w:r>
          </w:p>
        </w:tc>
      </w:tr>
      <w:tr>
        <w:tc>
          <w:tcPr>
            <w:tcW w:type="dxa" w:w="2318"/>
          </w:tcPr>
          <w:p>
            <w:r>
              <w:t>样板验证</w:t>
            </w:r>
          </w:p>
        </w:tc>
        <w:tc>
          <w:tcPr>
            <w:tcW w:type="dxa" w:w="2318"/>
          </w:tcPr>
          <w:p>
            <w:r>
              <w:t>2026-2027</w:t>
            </w:r>
          </w:p>
        </w:tc>
        <w:tc>
          <w:tcPr>
            <w:tcW w:type="dxa" w:w="2318"/>
          </w:tcPr>
          <w:p>
            <w:r>
              <w:t>完成算法、演示系统和校园数字沙盘</w:t>
            </w:r>
          </w:p>
        </w:tc>
        <w:tc>
          <w:tcPr>
            <w:tcW w:type="dxa" w:w="2318"/>
          </w:tcPr>
          <w:p>
            <w:r>
              <w:t>可运行系统、路演材料、校内样板</w:t>
            </w:r>
          </w:p>
        </w:tc>
      </w:tr>
      <w:tr>
        <w:tc>
          <w:tcPr>
            <w:tcW w:type="dxa" w:w="2318"/>
          </w:tcPr>
          <w:p>
            <w:r>
              <w:t>区域复制</w:t>
            </w:r>
          </w:p>
        </w:tc>
        <w:tc>
          <w:tcPr>
            <w:tcW w:type="dxa" w:w="2318"/>
          </w:tcPr>
          <w:p>
            <w:r>
              <w:t>2027-2029</w:t>
            </w:r>
          </w:p>
        </w:tc>
        <w:tc>
          <w:tcPr>
            <w:tcW w:type="dxa" w:w="2318"/>
          </w:tcPr>
          <w:p>
            <w:r>
              <w:t>拓展园区/景区试点，建立交付流程</w:t>
            </w:r>
          </w:p>
        </w:tc>
        <w:tc>
          <w:tcPr>
            <w:tcW w:type="dxa" w:w="2318"/>
          </w:tcPr>
          <w:p>
            <w:r>
              <w:t>5-10 个试点、标准化方案、合作意向</w:t>
            </w:r>
          </w:p>
        </w:tc>
      </w:tr>
      <w:tr>
        <w:tc>
          <w:tcPr>
            <w:tcW w:type="dxa" w:w="2318"/>
          </w:tcPr>
          <w:p>
            <w:r>
              <w:t>平台扩张</w:t>
            </w:r>
          </w:p>
        </w:tc>
        <w:tc>
          <w:tcPr>
            <w:tcW w:type="dxa" w:w="2318"/>
          </w:tcPr>
          <w:p>
            <w:r>
              <w:t>2029 以后</w:t>
            </w:r>
          </w:p>
        </w:tc>
        <w:tc>
          <w:tcPr>
            <w:tcW w:type="dxa" w:w="2318"/>
          </w:tcPr>
          <w:p>
            <w:r>
              <w:t>形成多场景 SaaS 平台和生态合作</w:t>
            </w:r>
          </w:p>
        </w:tc>
        <w:tc>
          <w:tcPr>
            <w:tcW w:type="dxa" w:w="2318"/>
          </w:tcPr>
          <w:p>
            <w:r>
              <w:t>低空绿色物流调度平台、行业数据服务</w:t>
            </w:r>
          </w:p>
        </w:tc>
      </w:tr>
    </w:tbl>
    <w:p>
      <w:pPr>
        <w:pStyle w:val="Heading2"/>
      </w:pPr>
      <w:r>
        <w:t>9.5 项目愿景</w:t>
      </w:r>
    </w:p>
    <w:p>
      <w:pPr/>
      <w:r>
        <w:t>未来三年，我们希望让“空地绿配智控平台”成为低空配送试点前必用的决策工具；未来五年，我们希望它成为连接无人机、无人车、园区和订单系统的低空物流操作系统。项目最终追求的不是让技术停留在比赛展示中，而是让绿色物流真正进入校园、园区和城市边缘场景，让低空经济从政策热词变成可计算、可验证、可复制的现实生产力。</w:t>
      </w:r>
    </w:p>
    <w:p>
      <w:pPr>
        <w:pStyle w:val="Heading2"/>
      </w:pPr>
      <w:r>
        <w:t>9.6 产品路线图</w:t>
      </w:r>
    </w:p>
    <w:p>
      <w:pPr/>
      <w:r>
        <w:t>产品路线将从沙盘演示版、试点决策版、运营管理版逐步升级。沙盘演示版重点解决可视化和评审展示，能够导入场景、生成路线、比较策略和展示能耗。试点决策版重点解决客户真实评估，能够输出中继点建议、设备数量建议、成本测算和验收指标。运营管理版重点解决持续使用，能够接入订单系统、实时更新任务状态、生成月度报告并支持异常回退。</w:t>
      </w:r>
    </w:p>
    <w:p>
      <w:pPr/>
      <w:r>
        <w:t>每个版本都要服务明确客户。沙盘演示版服务比赛和初次沟通，试点决策版服务校园/园区客户，运营管理版服务长期付费客户。这样的路线能够避免产品陷入功能堆砌，也能让研发资源始终围绕商业目标。</w:t>
      </w:r>
    </w:p>
    <w:p>
      <w:pPr/>
      <w:r>
        <w:t>未来平台还可以开放接口，与无人机飞控系统、无人车调度系统、园区地图系统、快递驿站系统和碳排核算工具连接。接口开放后，平台的定位将从单一软件升级为低空物流调度中台。</w:t>
      </w:r>
    </w:p>
    <w:p>
      <w:pPr>
        <w:pStyle w:val="Heading2"/>
      </w:pPr>
      <w:r>
        <w:t>9.7 技术路线图</w:t>
      </w:r>
    </w:p>
    <w:p>
      <w:pPr/>
      <w:r>
        <w:t>技术路线分为算法增强、系统工程、数据智能和安全合规四条线。算法增强包括 ALNS 参数调优、多目标优化、候选中继点自动生成和动态回退策略；系统工程包括前后端分离、场景配置管理、任务队列、报表导出和权限管理；数据智能包括订单预测、热力分析、设备利用率诊断和能耗模型校准；安全合规包括飞行边界、禁飞区、日志追踪和异常预警。</w:t>
      </w:r>
    </w:p>
    <w:p>
      <w:pPr/>
      <w:r>
        <w:t>技术路线的重点不是追求概念先进，而是确保每一项技术都能对应客户价值。候选中继点对应设备停在哪里更划算，动态回退对应异常发生时如何不中断服务，能耗模型对应绿色价值如何量化，数据看板对应客户如何复盘运营。</w:t>
      </w:r>
    </w:p>
    <w:p>
      <w:pPr/>
      <w:r>
        <w:t>团队将用实验指标和客户反馈共同评价技术迭代。如果某项功能在算法上很漂亮，但客户难以理解或难以使用，就需要重新设计表达方式。</w:t>
      </w:r>
    </w:p>
    <w:p>
      <w:pPr>
        <w:pStyle w:val="Heading2"/>
      </w:pPr>
      <w:r>
        <w:t>9.8 商业路线图</w:t>
      </w:r>
    </w:p>
    <w:p>
      <w:pPr/>
      <w:r>
        <w:t>商业路线从单点样板开始，逐步走向区域合作。第一阶段以学校场景为基础，拿到可展示案例和合作证明；第二阶段进入周边园区和景区，验证跨场景复制能力；第三阶段与硬件厂商和地方低空经济平台合作，形成联合解决方案；第四阶段通过 SaaS 和数据服务扩大收入。</w:t>
      </w:r>
    </w:p>
    <w:p>
      <w:pPr/>
      <w:r>
        <w:t>每个阶段都要有不同的关键指标。样板阶段看系统可用性和客户认可，复制阶段看交付周期和客户数量，合作阶段看渠道转化和联合项目数量，平台阶段看续费率、订单量和毛利率。</w:t>
      </w:r>
    </w:p>
    <w:p>
      <w:pPr/>
      <w:r>
        <w:t>商业路线图强调稳步推进。低空经济虽然是风口，但项目不能被风口推着盲目扩张。只有当产品、客户、交付和合规都形成闭环，扩张才有意义。</w:t>
      </w:r>
    </w:p>
    <w:p>
      <w:pPr>
        <w:pStyle w:val="Heading2"/>
      </w:pPr>
      <w:r>
        <w:t>9.9 社会价值与参赛价值</w:t>
      </w:r>
    </w:p>
    <w:p>
      <w:pPr/>
      <w:r>
        <w:t>本项目的社会价值体现在绿色低碳、智慧校园、低空经济落地和大学生创新实践四个方面。绿色低碳方面，平台通过路线优化和空地协同降低无效行驶、等待和能耗，使配送环节的碳排能够被计算和优化。智慧校园方面，项目为高校后勤提供新的数字化工具，提升服务效率和管理水平。</w:t>
      </w:r>
    </w:p>
    <w:p>
      <w:pPr/>
      <w:r>
        <w:t>低空经济落地方面，项目不是停留在宏观政策解读，而是提供一个具体场景、具体系统和具体测算方法。大学生创新实践方面，项目让学生把算法、软件、商业计划、客户访谈和路演表达结合起来，体现互联网+比赛强调的专业教育与创新创业融合。</w:t>
      </w:r>
    </w:p>
    <w:p>
      <w:pPr/>
      <w:r>
        <w:t>从参赛角度看，项目具有技术基础、商业逻辑、社会价值和成长空间。它既能体现计算机专业特色，也能回应国家低空经济和绿色物流方向，适合作为高教主赛道商业类项目持续打磨。</w:t>
      </w:r>
    </w:p>
    <w:p>
      <w:pPr>
        <w:pStyle w:val="Heading2"/>
      </w:pPr>
      <w:r>
        <w:t>9.10 结语</w:t>
      </w:r>
    </w:p>
    <w:p>
      <w:pPr/>
      <w:r>
        <w:t>空地绿配智控平台的出发点很朴素：当低空经济成为趋势时，真正需要解决的不是让无人机飞一次，而是让无人机、无人车、订单、道路、成本和安全形成一套可持续运转的系统。项目选择从校园和园区这类可控场景做起，是因为这里有真实需求，也有大学生团队能够触达和验证的土壤。</w:t>
      </w:r>
    </w:p>
    <w:p>
      <w:pPr/>
      <w:r>
        <w:t>未来，团队将继续用技术解决真实问题，用数据证明商业价值，用试点积累客户信任。我们相信，低空绿色物流的机会不只属于大型企业，也属于敢于从小场景做起、一步一步把系统做扎实的年轻团队。</w:t>
      </w:r>
    </w:p>
    <w:p>
      <w:pPr>
        <w:pStyle w:val="Heading2"/>
      </w:pPr>
      <w:r>
        <w:t>9.11 对互联网+评审指标的回应</w:t>
      </w:r>
    </w:p>
    <w:p>
      <w:pPr/>
      <w:r>
        <w:t>本项目对互联网+评审指标的回应主要体现在教育维度、创新维度、商业维度、团队维度和社会价值维度。教育维度上，项目把计算机专业知识用于真实产业问题，体现专业教育与创新创业实践融合。创新维度上，项目提出 UAV/AGV 空地协同调度，并把路径优化、候选中继点和绿色能耗测算结合起来。</w:t>
      </w:r>
    </w:p>
    <w:p>
      <w:pPr/>
      <w:r>
        <w:t>商业维度上，项目没有停留在技术展示，而是设计了仿真评估、平台授权、项目交付、按单 SaaS 和数据服务等收入结构。团队维度上，项目由低年级学生持续推进，具备成长周期和迭代能力。社会价值维度上，项目服务低空经济、绿色物流、智慧校园和地方产业创新。</w:t>
      </w:r>
    </w:p>
    <w:p>
      <w:pPr/>
      <w:r>
        <w:t>因此，本项目既有科技创新属性，也有商业落地路径；既符合国家低空经济发展方向，也符合大学生创新创业教育目标。</w:t>
      </w:r>
    </w:p>
    <w:p>
      <w:pPr>
        <w:pStyle w:val="Heading2"/>
      </w:pPr>
      <w:r>
        <w:t>9.12 未来五年关键成果预期</w:t>
      </w:r>
    </w:p>
    <w:p>
      <w:pPr/>
      <w:r>
        <w:t>未来一年，项目预期完成可演示系统、校园数字沙盘、商业计划书、路演 PPT、演示视频和软著申请材料。未来两年，项目预期完成至少 3 个外部场景评估和 1 个半封闭试点，获得客户合作意向或试点证明。未来三年，项目预期形成 5 至 10 个校园、园区或景区案例，建立标准化交付流程。</w:t>
      </w:r>
    </w:p>
    <w:p>
      <w:pPr/>
      <w:r>
        <w:t>未来五年，项目希望形成稳定平台产品和区域合作网络，服务更多低空绿色物流场景。届时，项目不仅是一次比赛作品，而是一个有技术积累、有客户案例、有商业收入、有社会价值的持续创业项目。</w:t>
      </w:r>
    </w:p>
    <w:p>
      <w:pPr/>
      <w:r>
        <w:t>项目最终衡量标准不是计划书写得多漂亮，而是能否持续解决真实问题。团队将以真实客户、真实数据和真实场景为导向，把每一次比赛反馈、客户交流和技术迭代都转化为下一阶段成长动力。</w:t>
      </w:r>
    </w:p>
    <w:p>
      <w:pPr>
        <w:pStyle w:val="Heading1"/>
        <w:jc w:val="center"/>
      </w:pPr>
      <w:r>
        <w:rPr>
          <w:rFonts w:ascii="黑体" w:hAnsi="黑体" w:eastAsia="黑体"/>
          <w:b w:val="0"/>
          <w:sz w:val="32"/>
        </w:rPr>
        <w:t>附录 A 政策依据与评审对标</w:t>
      </w:r>
    </w:p>
    <w:p>
      <w:pPr>
        <w:pStyle w:val="Heading2"/>
        <w:jc w:val="left"/>
      </w:pPr>
      <w:r>
        <w:rPr>
          <w:rFonts w:ascii="黑体" w:hAnsi="黑体" w:eastAsia="黑体"/>
          <w:b w:val="0"/>
          <w:sz w:val="28"/>
        </w:rPr>
        <w:t>A.1 低空经济政策窗口</w:t>
      </w:r>
    </w:p>
    <w:p>
      <w:pPr>
        <w:spacing w:line="300" w:lineRule="auto" w:after="0"/>
        <w:ind w:firstLine="480"/>
        <w:jc w:val="left"/>
      </w:pPr>
      <w:r>
        <w:rPr>
          <w:rFonts w:ascii="宋体" w:hAnsi="宋体" w:eastAsia="宋体"/>
          <w:b w:val="0"/>
          <w:sz w:val="24"/>
        </w:rPr>
        <w:t>2026 年，低空经济已经从产业概念进入场景落地阶段。国家层面持续强调低空经济、通用航空、无人配送、绿色交通和智慧物流的发展价值，各地也在推进低空起降设施、无人机物流线路、低空飞行服务保障平台和应用场景开放。本项目选择校园、园区、景区作为切入点，正是因为这三类场景具备管理主体明确、路线相对可控、订单密度稳定、试点风险较低等优势。</w:t>
      </w:r>
    </w:p>
    <w:p>
      <w:pPr>
        <w:spacing w:line="300" w:lineRule="auto" w:after="0"/>
        <w:ind w:firstLine="480"/>
        <w:jc w:val="left"/>
      </w:pPr>
      <w:r>
        <w:rPr>
          <w:rFonts w:ascii="宋体" w:hAnsi="宋体" w:eastAsia="宋体"/>
          <w:b w:val="0"/>
          <w:sz w:val="24"/>
        </w:rPr>
        <w:t>对参赛项目而言，政策窗口不是简单写几句口号，而是要转化为落地路径。空地绿配智控平台不直接挑战复杂开放空域，而是先在半封闭场景完成仿真评估、调度验证和运营测算，再逐步进入真实低空物流试点。这一策略符合低空经济安全健康发展的基本逻辑，也符合大学生项目从原型验证走向商业化试点的成长路径。</w:t>
      </w:r>
    </w:p>
    <w:p>
      <w:pPr>
        <w:spacing w:line="300" w:lineRule="auto" w:after="0"/>
        <w:ind w:firstLine="480"/>
        <w:jc w:val="left"/>
      </w:pPr>
      <w:r>
        <w:rPr>
          <w:rFonts w:ascii="宋体" w:hAnsi="宋体" w:eastAsia="宋体"/>
          <w:b w:val="0"/>
          <w:sz w:val="24"/>
        </w:rPr>
        <w:t>项目在政策表达上突出三个关键词：一是响应国家低空经济战略，二是服务绿色物流和低碳园区建设，三是以数字化调度平台提升无人配送运营效率。相比单纯硬件项目，本项目的优势在于轻资产、可复制、可先算账后部署，更适合大学生创新创业团队起步。</w:t>
      </w:r>
    </w:p>
    <w:p>
      <w:pPr>
        <w:pStyle w:val="Heading2"/>
        <w:jc w:val="left"/>
      </w:pPr>
      <w:r>
        <w:rPr>
          <w:rFonts w:ascii="黑体" w:hAnsi="黑体" w:eastAsia="黑体"/>
          <w:b w:val="0"/>
          <w:sz w:val="28"/>
        </w:rPr>
        <w:t>A.2 高教主赛道评审对标</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评审关注点</w:t>
            </w:r>
          </w:p>
        </w:tc>
        <w:tc>
          <w:tcPr>
            <w:tcW w:type="dxa" w:w="3091"/>
          </w:tcPr>
          <w:p>
            <w:pPr>
              <w:jc w:val="center"/>
            </w:pPr>
            <w:r/>
            <w:r>
              <w:rPr>
                <w:rFonts w:ascii="宋体" w:hAnsi="宋体" w:eastAsia="宋体"/>
                <w:b/>
                <w:sz w:val="21"/>
              </w:rPr>
              <w:t>本项目对应内容</w:t>
            </w:r>
          </w:p>
        </w:tc>
        <w:tc>
          <w:tcPr>
            <w:tcW w:type="dxa" w:w="3091"/>
          </w:tcPr>
          <w:p>
            <w:pPr>
              <w:jc w:val="center"/>
            </w:pPr>
            <w:r/>
            <w:r>
              <w:rPr>
                <w:rFonts w:ascii="宋体" w:hAnsi="宋体" w:eastAsia="宋体"/>
                <w:b/>
                <w:sz w:val="21"/>
              </w:rPr>
              <w:t>呈现方式</w:t>
            </w:r>
          </w:p>
        </w:tc>
      </w:tr>
      <w:tr>
        <w:tc>
          <w:tcPr>
            <w:tcW w:type="dxa" w:w="3091"/>
          </w:tcPr>
          <w:p>
            <w:r/>
            <w:r>
              <w:rPr>
                <w:rFonts w:ascii="宋体" w:hAnsi="宋体" w:eastAsia="宋体"/>
                <w:b w:val="0"/>
                <w:sz w:val="20"/>
              </w:rPr>
              <w:t>专业知识应用</w:t>
            </w:r>
          </w:p>
        </w:tc>
        <w:tc>
          <w:tcPr>
            <w:tcW w:type="dxa" w:w="3091"/>
          </w:tcPr>
          <w:p>
            <w:r/>
            <w:r>
              <w:rPr>
                <w:rFonts w:ascii="宋体" w:hAnsi="宋体" w:eastAsia="宋体"/>
                <w:b w:val="0"/>
                <w:sz w:val="20"/>
              </w:rPr>
              <w:t>ALNS、路径规划、能耗模型、UAV/AGV 协同调度</w:t>
            </w:r>
          </w:p>
        </w:tc>
        <w:tc>
          <w:tcPr>
            <w:tcW w:type="dxa" w:w="3091"/>
          </w:tcPr>
          <w:p>
            <w:r/>
            <w:r>
              <w:rPr>
                <w:rFonts w:ascii="宋体" w:hAnsi="宋体" w:eastAsia="宋体"/>
                <w:b w:val="0"/>
                <w:sz w:val="20"/>
              </w:rPr>
              <w:t>产品与技术章节、阶段性实验数据</w:t>
            </w:r>
          </w:p>
        </w:tc>
      </w:tr>
      <w:tr>
        <w:tc>
          <w:tcPr>
            <w:tcW w:type="dxa" w:w="3091"/>
          </w:tcPr>
          <w:p>
            <w:r/>
            <w:r>
              <w:rPr>
                <w:rFonts w:ascii="宋体" w:hAnsi="宋体" w:eastAsia="宋体"/>
                <w:b w:val="0"/>
                <w:sz w:val="20"/>
              </w:rPr>
              <w:t>商业知识应用</w:t>
            </w:r>
          </w:p>
        </w:tc>
        <w:tc>
          <w:tcPr>
            <w:tcW w:type="dxa" w:w="3091"/>
          </w:tcPr>
          <w:p>
            <w:r/>
            <w:r>
              <w:rPr>
                <w:rFonts w:ascii="宋体" w:hAnsi="宋体" w:eastAsia="宋体"/>
                <w:b w:val="0"/>
                <w:sz w:val="20"/>
              </w:rPr>
              <w:t>按单 SaaS、平台授权、项目交付、碳报告服务</w:t>
            </w:r>
          </w:p>
        </w:tc>
        <w:tc>
          <w:tcPr>
            <w:tcW w:type="dxa" w:w="3091"/>
          </w:tcPr>
          <w:p>
            <w:r/>
            <w:r>
              <w:rPr>
                <w:rFonts w:ascii="宋体" w:hAnsi="宋体" w:eastAsia="宋体"/>
                <w:b w:val="0"/>
                <w:sz w:val="20"/>
              </w:rPr>
              <w:t>商业模式和财务预测章节</w:t>
            </w:r>
          </w:p>
        </w:tc>
      </w:tr>
      <w:tr>
        <w:tc>
          <w:tcPr>
            <w:tcW w:type="dxa" w:w="3091"/>
          </w:tcPr>
          <w:p>
            <w:r/>
            <w:r>
              <w:rPr>
                <w:rFonts w:ascii="宋体" w:hAnsi="宋体" w:eastAsia="宋体"/>
                <w:b w:val="0"/>
                <w:sz w:val="20"/>
              </w:rPr>
              <w:t>行业知识理解</w:t>
            </w:r>
          </w:p>
        </w:tc>
        <w:tc>
          <w:tcPr>
            <w:tcW w:type="dxa" w:w="3091"/>
          </w:tcPr>
          <w:p>
            <w:r/>
            <w:r>
              <w:rPr>
                <w:rFonts w:ascii="宋体" w:hAnsi="宋体" w:eastAsia="宋体"/>
                <w:b w:val="0"/>
                <w:sz w:val="20"/>
              </w:rPr>
              <w:t>低空经济、校园园区配送、绿色物流、无人配送试点</w:t>
            </w:r>
          </w:p>
        </w:tc>
        <w:tc>
          <w:tcPr>
            <w:tcW w:type="dxa" w:w="3091"/>
          </w:tcPr>
          <w:p>
            <w:r/>
            <w:r>
              <w:rPr>
                <w:rFonts w:ascii="宋体" w:hAnsi="宋体" w:eastAsia="宋体"/>
                <w:b w:val="0"/>
                <w:sz w:val="20"/>
              </w:rPr>
              <w:t>市场分析和政策依据章节</w:t>
            </w:r>
          </w:p>
        </w:tc>
      </w:tr>
      <w:tr>
        <w:tc>
          <w:tcPr>
            <w:tcW w:type="dxa" w:w="3091"/>
          </w:tcPr>
          <w:p>
            <w:r/>
            <w:r>
              <w:rPr>
                <w:rFonts w:ascii="宋体" w:hAnsi="宋体" w:eastAsia="宋体"/>
                <w:b w:val="0"/>
                <w:sz w:val="20"/>
              </w:rPr>
              <w:t>计划组织能力</w:t>
            </w:r>
          </w:p>
        </w:tc>
        <w:tc>
          <w:tcPr>
            <w:tcW w:type="dxa" w:w="3091"/>
          </w:tcPr>
          <w:p>
            <w:r/>
            <w:r>
              <w:rPr>
                <w:rFonts w:ascii="宋体" w:hAnsi="宋体" w:eastAsia="宋体"/>
                <w:b w:val="0"/>
                <w:sz w:val="20"/>
              </w:rPr>
              <w:t>短中长期规划、资金使用、风险控制、团队分工</w:t>
            </w:r>
          </w:p>
        </w:tc>
        <w:tc>
          <w:tcPr>
            <w:tcW w:type="dxa" w:w="3091"/>
          </w:tcPr>
          <w:p>
            <w:r/>
            <w:r>
              <w:rPr>
                <w:rFonts w:ascii="宋体" w:hAnsi="宋体" w:eastAsia="宋体"/>
                <w:b w:val="0"/>
                <w:sz w:val="20"/>
              </w:rPr>
              <w:t>发展规划、财务分析、团队章节</w:t>
            </w:r>
          </w:p>
        </w:tc>
      </w:tr>
      <w:tr>
        <w:tc>
          <w:tcPr>
            <w:tcW w:type="dxa" w:w="3091"/>
          </w:tcPr>
          <w:p>
            <w:r/>
            <w:r>
              <w:rPr>
                <w:rFonts w:ascii="宋体" w:hAnsi="宋体" w:eastAsia="宋体"/>
                <w:b w:val="0"/>
                <w:sz w:val="20"/>
              </w:rPr>
              <w:t>成长性</w:t>
            </w:r>
          </w:p>
        </w:tc>
        <w:tc>
          <w:tcPr>
            <w:tcW w:type="dxa" w:w="3091"/>
          </w:tcPr>
          <w:p>
            <w:r/>
            <w:r>
              <w:rPr>
                <w:rFonts w:ascii="宋体" w:hAnsi="宋体" w:eastAsia="宋体"/>
                <w:b w:val="0"/>
                <w:sz w:val="20"/>
              </w:rPr>
              <w:t>从校园样板到园区复制，再到低空物流操作系统</w:t>
            </w:r>
          </w:p>
        </w:tc>
        <w:tc>
          <w:tcPr>
            <w:tcW w:type="dxa" w:w="3091"/>
          </w:tcPr>
          <w:p>
            <w:r/>
            <w:r>
              <w:rPr>
                <w:rFonts w:ascii="宋体" w:hAnsi="宋体" w:eastAsia="宋体"/>
                <w:b w:val="0"/>
                <w:sz w:val="20"/>
              </w:rPr>
              <w:t>路线图和三年营收预测</w:t>
            </w:r>
          </w:p>
        </w:tc>
      </w:tr>
    </w:tbl>
    <w:p>
      <w:pPr>
        <w:spacing w:line="300" w:lineRule="auto" w:after="0"/>
        <w:jc w:val="left"/>
      </w:pPr>
      <w:r>
        <w:rPr>
          <w:rFonts w:ascii="宋体" w:hAnsi="宋体" w:eastAsia="宋体"/>
          <w:b w:val="0"/>
          <w:sz w:val="24"/>
        </w:rPr>
      </w:r>
    </w:p>
    <w:p>
      <w:pPr>
        <w:spacing w:line="300" w:lineRule="auto" w:after="0"/>
        <w:ind w:firstLine="480"/>
        <w:jc w:val="left"/>
      </w:pPr>
      <w:r>
        <w:rPr>
          <w:rFonts w:ascii="宋体" w:hAnsi="宋体" w:eastAsia="宋体"/>
          <w:b w:val="0"/>
          <w:sz w:val="24"/>
        </w:rPr>
        <w:t>从评委视角看，一个好的商业计划书不只是讲技术先进，更要证明项目“为什么现在做、为什么我们能做、客户为什么会付钱、未来怎么扩大”。本项目围绕 2026 年低空经济试点窗口，用校园/园区/景区的最后一公里配送作为切入口，具备较清晰的商业闭环。</w:t>
      </w:r>
    </w:p>
    <w:p>
      <w:r>
        <w:br w:type="page"/>
      </w:r>
    </w:p>
    <w:p>
      <w:pPr>
        <w:pStyle w:val="Heading1"/>
        <w:jc w:val="center"/>
      </w:pPr>
      <w:r>
        <w:rPr>
          <w:rFonts w:ascii="黑体" w:hAnsi="黑体" w:eastAsia="黑体"/>
          <w:b w:val="0"/>
          <w:sz w:val="32"/>
        </w:rPr>
        <w:t>附录 B 典型场景方案</w:t>
      </w:r>
    </w:p>
    <w:p>
      <w:pPr>
        <w:pStyle w:val="Heading2"/>
        <w:jc w:val="left"/>
      </w:pPr>
      <w:r>
        <w:rPr>
          <w:rFonts w:ascii="黑体" w:hAnsi="黑体" w:eastAsia="黑体"/>
          <w:b w:val="0"/>
          <w:sz w:val="28"/>
        </w:rPr>
        <w:t>B.1 校园快递与餐饮配送场景</w:t>
      </w:r>
    </w:p>
    <w:p>
      <w:pPr>
        <w:spacing w:line="300" w:lineRule="auto" w:after="0"/>
        <w:ind w:firstLine="480"/>
        <w:jc w:val="left"/>
      </w:pPr>
      <w:r>
        <w:rPr>
          <w:rFonts w:ascii="宋体" w:hAnsi="宋体" w:eastAsia="宋体"/>
          <w:b w:val="0"/>
          <w:sz w:val="24"/>
        </w:rPr>
        <w:t>校园是本项目最适合的首个样板场景。高校通常拥有快递驿站、食堂、宿舍区、教学楼、实验楼、校医院等多个高频节点，订单时段集中，路线边界清晰，管理主体统一，适合开展仿真验证和低风险试点。</w:t>
      </w:r>
    </w:p>
    <w:p>
      <w:pPr>
        <w:spacing w:line="300" w:lineRule="auto" w:after="0"/>
        <w:ind w:firstLine="480"/>
        <w:jc w:val="left"/>
      </w:pPr>
      <w:r>
        <w:rPr>
          <w:rFonts w:ascii="宋体" w:hAnsi="宋体" w:eastAsia="宋体"/>
          <w:b w:val="0"/>
          <w:sz w:val="24"/>
        </w:rPr>
        <w:t>典型流程为：快递驿站或食堂作为单总站，AGV 搭载 UAV 沿校园主干路行驶，到达候选中继点后释放 UAV，UAV 完成宿舍区、教学楼附近的短距离末端配送。配送完成后，UAV 返回 AGV 或就近回收点，AGV 继续支援下一批订单。</w:t>
      </w:r>
    </w:p>
    <w:p>
      <w:pPr>
        <w:spacing w:line="300" w:lineRule="auto" w:after="0"/>
        <w:ind w:firstLine="480"/>
        <w:jc w:val="left"/>
      </w:pPr>
      <w:r>
        <w:rPr>
          <w:rFonts w:ascii="宋体" w:hAnsi="宋体" w:eastAsia="宋体"/>
          <w:b w:val="0"/>
          <w:sz w:val="24"/>
        </w:rPr>
        <w:t>该场景的商业价值在于减少校园内人工往返、降低高峰时段配送拥堵、提升绿色校园展示度。对学校而言，平台不仅是配送工具，也是低空经济、智慧校园和绿色校园建设的示范项目。</w:t>
      </w:r>
    </w:p>
    <w:tbl>
      <w:tblPr>
        <w:tblStyle w:val="TableGrid"/>
        <w:tblW w:type="auto" w:w="0"/>
        <w:tblLook w:firstColumn="1" w:firstRow="1" w:lastColumn="0" w:lastRow="0" w:noHBand="0" w:noVBand="1" w:val="04A0"/>
      </w:tblPr>
      <w:tblGrid>
        <w:gridCol w:w="2318"/>
        <w:gridCol w:w="2318"/>
        <w:gridCol w:w="2318"/>
        <w:gridCol w:w="2318"/>
      </w:tblGrid>
      <w:tr>
        <w:tc>
          <w:tcPr>
            <w:tcW w:type="dxa" w:w="2318"/>
          </w:tcPr>
          <w:p>
            <w:pPr>
              <w:jc w:val="center"/>
            </w:pPr>
            <w:r/>
            <w:r>
              <w:rPr>
                <w:rFonts w:ascii="宋体" w:hAnsi="宋体" w:eastAsia="宋体"/>
                <w:b/>
                <w:sz w:val="21"/>
              </w:rPr>
              <w:t>测算项</w:t>
            </w:r>
          </w:p>
        </w:tc>
        <w:tc>
          <w:tcPr>
            <w:tcW w:type="dxa" w:w="2318"/>
          </w:tcPr>
          <w:p>
            <w:pPr>
              <w:jc w:val="center"/>
            </w:pPr>
            <w:r/>
            <w:r>
              <w:rPr>
                <w:rFonts w:ascii="宋体" w:hAnsi="宋体" w:eastAsia="宋体"/>
                <w:b/>
                <w:sz w:val="21"/>
              </w:rPr>
              <w:t>保守假设</w:t>
            </w:r>
          </w:p>
        </w:tc>
        <w:tc>
          <w:tcPr>
            <w:tcW w:type="dxa" w:w="2318"/>
          </w:tcPr>
          <w:p>
            <w:pPr>
              <w:jc w:val="center"/>
            </w:pPr>
            <w:r/>
            <w:r>
              <w:rPr>
                <w:rFonts w:ascii="宋体" w:hAnsi="宋体" w:eastAsia="宋体"/>
                <w:b/>
                <w:sz w:val="21"/>
              </w:rPr>
              <w:t>积极假设</w:t>
            </w:r>
          </w:p>
        </w:tc>
        <w:tc>
          <w:tcPr>
            <w:tcW w:type="dxa" w:w="2318"/>
          </w:tcPr>
          <w:p>
            <w:pPr>
              <w:jc w:val="center"/>
            </w:pPr>
            <w:r/>
            <w:r>
              <w:rPr>
                <w:rFonts w:ascii="宋体" w:hAnsi="宋体" w:eastAsia="宋体"/>
                <w:b/>
                <w:sz w:val="21"/>
              </w:rPr>
              <w:t>说明</w:t>
            </w:r>
          </w:p>
        </w:tc>
      </w:tr>
      <w:tr>
        <w:tc>
          <w:tcPr>
            <w:tcW w:type="dxa" w:w="2318"/>
          </w:tcPr>
          <w:p>
            <w:r/>
            <w:r>
              <w:rPr>
                <w:rFonts w:ascii="宋体" w:hAnsi="宋体" w:eastAsia="宋体"/>
                <w:b w:val="0"/>
                <w:sz w:val="20"/>
              </w:rPr>
              <w:t>日均订单</w:t>
            </w:r>
          </w:p>
        </w:tc>
        <w:tc>
          <w:tcPr>
            <w:tcW w:type="dxa" w:w="2318"/>
          </w:tcPr>
          <w:p>
            <w:r/>
            <w:r>
              <w:rPr>
                <w:rFonts w:ascii="宋体" w:hAnsi="宋体" w:eastAsia="宋体"/>
                <w:b w:val="0"/>
                <w:sz w:val="20"/>
              </w:rPr>
              <w:t>1000 单</w:t>
            </w:r>
          </w:p>
        </w:tc>
        <w:tc>
          <w:tcPr>
            <w:tcW w:type="dxa" w:w="2318"/>
          </w:tcPr>
          <w:p>
            <w:r/>
            <w:r>
              <w:rPr>
                <w:rFonts w:ascii="宋体" w:hAnsi="宋体" w:eastAsia="宋体"/>
                <w:b w:val="0"/>
                <w:sz w:val="20"/>
              </w:rPr>
              <w:t>3000 单</w:t>
            </w:r>
          </w:p>
        </w:tc>
        <w:tc>
          <w:tcPr>
            <w:tcW w:type="dxa" w:w="2318"/>
          </w:tcPr>
          <w:p>
            <w:r/>
            <w:r>
              <w:rPr>
                <w:rFonts w:ascii="宋体" w:hAnsi="宋体" w:eastAsia="宋体"/>
                <w:b w:val="0"/>
                <w:sz w:val="20"/>
              </w:rPr>
              <w:t>快递小件、餐饮、校内物资</w:t>
            </w:r>
          </w:p>
        </w:tc>
      </w:tr>
      <w:tr>
        <w:tc>
          <w:tcPr>
            <w:tcW w:type="dxa" w:w="2318"/>
          </w:tcPr>
          <w:p>
            <w:r/>
            <w:r>
              <w:rPr>
                <w:rFonts w:ascii="宋体" w:hAnsi="宋体" w:eastAsia="宋体"/>
                <w:b w:val="0"/>
                <w:sz w:val="20"/>
              </w:rPr>
              <w:t>服务费</w:t>
            </w:r>
          </w:p>
        </w:tc>
        <w:tc>
          <w:tcPr>
            <w:tcW w:type="dxa" w:w="2318"/>
          </w:tcPr>
          <w:p>
            <w:r/>
            <w:r>
              <w:rPr>
                <w:rFonts w:ascii="宋体" w:hAnsi="宋体" w:eastAsia="宋体"/>
                <w:b w:val="0"/>
                <w:sz w:val="20"/>
              </w:rPr>
              <w:t>0.10 元/单</w:t>
            </w:r>
          </w:p>
        </w:tc>
        <w:tc>
          <w:tcPr>
            <w:tcW w:type="dxa" w:w="2318"/>
          </w:tcPr>
          <w:p>
            <w:r/>
            <w:r>
              <w:rPr>
                <w:rFonts w:ascii="宋体" w:hAnsi="宋体" w:eastAsia="宋体"/>
                <w:b w:val="0"/>
                <w:sz w:val="20"/>
              </w:rPr>
              <w:t>0.12 元/单</w:t>
            </w:r>
          </w:p>
        </w:tc>
        <w:tc>
          <w:tcPr>
            <w:tcW w:type="dxa" w:w="2318"/>
          </w:tcPr>
          <w:p>
            <w:r/>
            <w:r>
              <w:rPr>
                <w:rFonts w:ascii="宋体" w:hAnsi="宋体" w:eastAsia="宋体"/>
                <w:b w:val="0"/>
                <w:sz w:val="20"/>
              </w:rPr>
              <w:t>按单 SaaS 调度服务费</w:t>
            </w:r>
          </w:p>
        </w:tc>
      </w:tr>
      <w:tr>
        <w:tc>
          <w:tcPr>
            <w:tcW w:type="dxa" w:w="2318"/>
          </w:tcPr>
          <w:p>
            <w:r/>
            <w:r>
              <w:rPr>
                <w:rFonts w:ascii="宋体" w:hAnsi="宋体" w:eastAsia="宋体"/>
                <w:b w:val="0"/>
                <w:sz w:val="20"/>
              </w:rPr>
              <w:t>年度平台费</w:t>
            </w:r>
          </w:p>
        </w:tc>
        <w:tc>
          <w:tcPr>
            <w:tcW w:type="dxa" w:w="2318"/>
          </w:tcPr>
          <w:p>
            <w:r/>
            <w:r>
              <w:rPr>
                <w:rFonts w:ascii="宋体" w:hAnsi="宋体" w:eastAsia="宋体"/>
                <w:b w:val="0"/>
                <w:sz w:val="20"/>
              </w:rPr>
              <w:t>5 万元</w:t>
            </w:r>
          </w:p>
        </w:tc>
        <w:tc>
          <w:tcPr>
            <w:tcW w:type="dxa" w:w="2318"/>
          </w:tcPr>
          <w:p>
            <w:r/>
            <w:r>
              <w:rPr>
                <w:rFonts w:ascii="宋体" w:hAnsi="宋体" w:eastAsia="宋体"/>
                <w:b w:val="0"/>
                <w:sz w:val="20"/>
              </w:rPr>
              <w:t>8 万元</w:t>
            </w:r>
          </w:p>
        </w:tc>
        <w:tc>
          <w:tcPr>
            <w:tcW w:type="dxa" w:w="2318"/>
          </w:tcPr>
          <w:p>
            <w:r/>
            <w:r>
              <w:rPr>
                <w:rFonts w:ascii="宋体" w:hAnsi="宋体" w:eastAsia="宋体"/>
                <w:b w:val="0"/>
                <w:sz w:val="20"/>
              </w:rPr>
              <w:t>校园年度授权</w:t>
            </w:r>
          </w:p>
        </w:tc>
      </w:tr>
      <w:tr>
        <w:tc>
          <w:tcPr>
            <w:tcW w:type="dxa" w:w="2318"/>
          </w:tcPr>
          <w:p>
            <w:r/>
            <w:r>
              <w:rPr>
                <w:rFonts w:ascii="宋体" w:hAnsi="宋体" w:eastAsia="宋体"/>
                <w:b w:val="0"/>
                <w:sz w:val="20"/>
              </w:rPr>
              <w:t>首年收入</w:t>
            </w:r>
          </w:p>
        </w:tc>
        <w:tc>
          <w:tcPr>
            <w:tcW w:type="dxa" w:w="2318"/>
          </w:tcPr>
          <w:p>
            <w:r/>
            <w:r>
              <w:rPr>
                <w:rFonts w:ascii="宋体" w:hAnsi="宋体" w:eastAsia="宋体"/>
                <w:b w:val="0"/>
                <w:sz w:val="20"/>
              </w:rPr>
              <w:t>约 8.6 万元</w:t>
            </w:r>
          </w:p>
        </w:tc>
        <w:tc>
          <w:tcPr>
            <w:tcW w:type="dxa" w:w="2318"/>
          </w:tcPr>
          <w:p>
            <w:r/>
            <w:r>
              <w:rPr>
                <w:rFonts w:ascii="宋体" w:hAnsi="宋体" w:eastAsia="宋体"/>
                <w:b w:val="0"/>
                <w:sz w:val="20"/>
              </w:rPr>
              <w:t>约 21 万元</w:t>
            </w:r>
          </w:p>
        </w:tc>
        <w:tc>
          <w:tcPr>
            <w:tcW w:type="dxa" w:w="2318"/>
          </w:tcPr>
          <w:p>
            <w:r/>
            <w:r>
              <w:rPr>
                <w:rFonts w:ascii="宋体" w:hAnsi="宋体" w:eastAsia="宋体"/>
                <w:b w:val="0"/>
                <w:sz w:val="20"/>
              </w:rPr>
              <w:t>含平台费和按单服务</w:t>
            </w:r>
          </w:p>
        </w:tc>
      </w:tr>
    </w:tbl>
    <w:p>
      <w:pPr>
        <w:spacing w:line="300" w:lineRule="auto" w:after="0"/>
        <w:jc w:val="left"/>
      </w:pPr>
      <w:r>
        <w:rPr>
          <w:rFonts w:ascii="宋体" w:hAnsi="宋体" w:eastAsia="宋体"/>
          <w:b w:val="0"/>
          <w:sz w:val="24"/>
        </w:rPr>
      </w:r>
    </w:p>
    <w:p>
      <w:pPr>
        <w:pStyle w:val="Heading2"/>
        <w:jc w:val="left"/>
      </w:pPr>
      <w:r>
        <w:rPr>
          <w:rFonts w:ascii="黑体" w:hAnsi="黑体" w:eastAsia="黑体"/>
          <w:b w:val="0"/>
          <w:sz w:val="28"/>
        </w:rPr>
        <w:t>B.2 产业园即时配送场景</w:t>
      </w:r>
    </w:p>
    <w:p>
      <w:pPr>
        <w:spacing w:line="300" w:lineRule="auto" w:after="0"/>
        <w:ind w:firstLine="480"/>
        <w:jc w:val="left"/>
      </w:pPr>
      <w:r>
        <w:rPr>
          <w:rFonts w:ascii="宋体" w:hAnsi="宋体" w:eastAsia="宋体"/>
          <w:b w:val="0"/>
          <w:sz w:val="24"/>
        </w:rPr>
        <w:t>产业园区订单类型更偏向企业文件、小件样品、餐饮、办公物资和应急耗材。园区道路规则清晰、楼宇密集、管理主体明确，是空地协同配送向商业客户收费的重要场景。</w:t>
      </w:r>
    </w:p>
    <w:p>
      <w:pPr>
        <w:spacing w:line="300" w:lineRule="auto" w:after="0"/>
        <w:ind w:firstLine="480"/>
        <w:jc w:val="left"/>
      </w:pPr>
      <w:r>
        <w:rPr>
          <w:rFonts w:ascii="宋体" w:hAnsi="宋体" w:eastAsia="宋体"/>
          <w:b w:val="0"/>
          <w:sz w:val="24"/>
        </w:rPr>
        <w:t>与校园相比，园区客户更看重效率、形象和管理能力。平台可为园区运营方输出订单热力图、中继点布局图、设备数量建议和碳排报告，帮助园区打造智慧物流服务能力。</w:t>
      </w:r>
    </w:p>
    <w:p>
      <w:pPr>
        <w:spacing w:line="300" w:lineRule="auto" w:after="0"/>
        <w:ind w:firstLine="480"/>
        <w:jc w:val="left"/>
      </w:pPr>
      <w:r>
        <w:rPr>
          <w:rFonts w:ascii="宋体" w:hAnsi="宋体" w:eastAsia="宋体"/>
          <w:b w:val="0"/>
          <w:sz w:val="24"/>
        </w:rPr>
        <w:t>园区场景的收费能力更强，适合采用“平台授权 + 仿真咨询 + 项目交付”的组合模式。若与硬件厂商合作，可将 AGV 移动中继车和 UAV 末端配送机打包为一套园区低空物流解决方案。</w:t>
      </w:r>
    </w:p>
    <w:p>
      <w:pPr>
        <w:pStyle w:val="Heading2"/>
        <w:jc w:val="left"/>
      </w:pPr>
      <w:r>
        <w:rPr>
          <w:rFonts w:ascii="黑体" w:hAnsi="黑体" w:eastAsia="黑体"/>
          <w:b w:val="0"/>
          <w:sz w:val="28"/>
        </w:rPr>
        <w:t>B.3 景区补给与应急配送场景</w:t>
      </w:r>
    </w:p>
    <w:p>
      <w:pPr>
        <w:spacing w:line="300" w:lineRule="auto" w:after="0"/>
        <w:ind w:firstLine="480"/>
        <w:jc w:val="left"/>
      </w:pPr>
      <w:r>
        <w:rPr>
          <w:rFonts w:ascii="宋体" w:hAnsi="宋体" w:eastAsia="宋体"/>
          <w:b w:val="0"/>
          <w:sz w:val="24"/>
        </w:rPr>
        <w:t>景区具有道路复杂、游客分布不均、补给点分散、应急需求突发等特点。传统地面配送往往受人流和地形影响，效率低且影响游客体验。空地协同模式可以让 AGV 在服务区或后勤通道移动支撑，UAV 完成短距离空中补给。</w:t>
      </w:r>
    </w:p>
    <w:p>
      <w:pPr>
        <w:spacing w:line="300" w:lineRule="auto" w:after="0"/>
        <w:ind w:firstLine="480"/>
        <w:jc w:val="left"/>
      </w:pPr>
      <w:r>
        <w:rPr>
          <w:rFonts w:ascii="宋体" w:hAnsi="宋体" w:eastAsia="宋体"/>
          <w:b w:val="0"/>
          <w:sz w:val="24"/>
        </w:rPr>
        <w:t>景区场景的价值不只在配送效率，还在品牌展示。低空配送可以成为景区智慧化、绿色化、科技化运营的一部分，适合与低空文旅、应急救援和智慧景区建设结合。</w:t>
      </w:r>
    </w:p>
    <w:p>
      <w:r>
        <w:br w:type="page"/>
      </w:r>
    </w:p>
    <w:p>
      <w:pPr>
        <w:pStyle w:val="Heading1"/>
        <w:jc w:val="center"/>
      </w:pPr>
      <w:r>
        <w:rPr>
          <w:rFonts w:ascii="黑体" w:hAnsi="黑体" w:eastAsia="黑体"/>
          <w:b w:val="0"/>
          <w:sz w:val="32"/>
        </w:rPr>
        <w:t>附录 C 运营流程与交付清单</w:t>
      </w:r>
    </w:p>
    <w:p>
      <w:pPr>
        <w:pStyle w:val="Heading2"/>
        <w:jc w:val="left"/>
      </w:pPr>
      <w:r>
        <w:rPr>
          <w:rFonts w:ascii="黑体" w:hAnsi="黑体" w:eastAsia="黑体"/>
          <w:b w:val="0"/>
          <w:sz w:val="28"/>
        </w:rPr>
        <w:t>C.1 项目实施流程</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阶段</w:t>
            </w:r>
          </w:p>
        </w:tc>
        <w:tc>
          <w:tcPr>
            <w:tcW w:type="dxa" w:w="3091"/>
          </w:tcPr>
          <w:p>
            <w:pPr>
              <w:jc w:val="center"/>
            </w:pPr>
            <w:r/>
            <w:r>
              <w:rPr>
                <w:rFonts w:ascii="宋体" w:hAnsi="宋体" w:eastAsia="宋体"/>
                <w:b/>
                <w:sz w:val="21"/>
              </w:rPr>
              <w:t>工作内容</w:t>
            </w:r>
          </w:p>
        </w:tc>
        <w:tc>
          <w:tcPr>
            <w:tcW w:type="dxa" w:w="3091"/>
          </w:tcPr>
          <w:p>
            <w:pPr>
              <w:jc w:val="center"/>
            </w:pPr>
            <w:r/>
            <w:r>
              <w:rPr>
                <w:rFonts w:ascii="宋体" w:hAnsi="宋体" w:eastAsia="宋体"/>
                <w:b/>
                <w:sz w:val="21"/>
              </w:rPr>
              <w:t>交付物</w:t>
            </w:r>
          </w:p>
        </w:tc>
      </w:tr>
      <w:tr>
        <w:tc>
          <w:tcPr>
            <w:tcW w:type="dxa" w:w="3091"/>
          </w:tcPr>
          <w:p>
            <w:r/>
            <w:r>
              <w:rPr>
                <w:rFonts w:ascii="宋体" w:hAnsi="宋体" w:eastAsia="宋体"/>
                <w:b w:val="0"/>
                <w:sz w:val="20"/>
              </w:rPr>
              <w:t>需求调研</w:t>
            </w:r>
          </w:p>
        </w:tc>
        <w:tc>
          <w:tcPr>
            <w:tcW w:type="dxa" w:w="3091"/>
          </w:tcPr>
          <w:p>
            <w:r/>
            <w:r>
              <w:rPr>
                <w:rFonts w:ascii="宋体" w:hAnsi="宋体" w:eastAsia="宋体"/>
                <w:b w:val="0"/>
                <w:sz w:val="20"/>
              </w:rPr>
              <w:t>访谈客户、收集订单、确定总站和服务范围</w:t>
            </w:r>
          </w:p>
        </w:tc>
        <w:tc>
          <w:tcPr>
            <w:tcW w:type="dxa" w:w="3091"/>
          </w:tcPr>
          <w:p>
            <w:r/>
            <w:r>
              <w:rPr>
                <w:rFonts w:ascii="宋体" w:hAnsi="宋体" w:eastAsia="宋体"/>
                <w:b w:val="0"/>
                <w:sz w:val="20"/>
              </w:rPr>
              <w:t>需求调研表、数据清单</w:t>
            </w:r>
          </w:p>
        </w:tc>
      </w:tr>
      <w:tr>
        <w:tc>
          <w:tcPr>
            <w:tcW w:type="dxa" w:w="3091"/>
          </w:tcPr>
          <w:p>
            <w:r/>
            <w:r>
              <w:rPr>
                <w:rFonts w:ascii="宋体" w:hAnsi="宋体" w:eastAsia="宋体"/>
                <w:b w:val="0"/>
                <w:sz w:val="20"/>
              </w:rPr>
              <w:t>场景建模</w:t>
            </w:r>
          </w:p>
        </w:tc>
        <w:tc>
          <w:tcPr>
            <w:tcW w:type="dxa" w:w="3091"/>
          </w:tcPr>
          <w:p>
            <w:r/>
            <w:r>
              <w:rPr>
                <w:rFonts w:ascii="宋体" w:hAnsi="宋体" w:eastAsia="宋体"/>
                <w:b w:val="0"/>
                <w:sz w:val="20"/>
              </w:rPr>
              <w:t>录入路网、终点、候选停靠点、设备参数</w:t>
            </w:r>
          </w:p>
        </w:tc>
        <w:tc>
          <w:tcPr>
            <w:tcW w:type="dxa" w:w="3091"/>
          </w:tcPr>
          <w:p>
            <w:r/>
            <w:r>
              <w:rPr>
                <w:rFonts w:ascii="宋体" w:hAnsi="宋体" w:eastAsia="宋体"/>
                <w:b w:val="0"/>
                <w:sz w:val="20"/>
              </w:rPr>
              <w:t>场景配置文件、基础地图</w:t>
            </w:r>
          </w:p>
        </w:tc>
      </w:tr>
      <w:tr>
        <w:tc>
          <w:tcPr>
            <w:tcW w:type="dxa" w:w="3091"/>
          </w:tcPr>
          <w:p>
            <w:r/>
            <w:r>
              <w:rPr>
                <w:rFonts w:ascii="宋体" w:hAnsi="宋体" w:eastAsia="宋体"/>
                <w:b w:val="0"/>
                <w:sz w:val="20"/>
              </w:rPr>
              <w:t>仿真评估</w:t>
            </w:r>
          </w:p>
        </w:tc>
        <w:tc>
          <w:tcPr>
            <w:tcW w:type="dxa" w:w="3091"/>
          </w:tcPr>
          <w:p>
            <w:r/>
            <w:r>
              <w:rPr>
                <w:rFonts w:ascii="宋体" w:hAnsi="宋体" w:eastAsia="宋体"/>
                <w:b w:val="0"/>
                <w:sz w:val="20"/>
              </w:rPr>
              <w:t>运行直送、协同中继、统一调度策略对比</w:t>
            </w:r>
          </w:p>
        </w:tc>
        <w:tc>
          <w:tcPr>
            <w:tcW w:type="dxa" w:w="3091"/>
          </w:tcPr>
          <w:p>
            <w:r/>
            <w:r>
              <w:rPr>
                <w:rFonts w:ascii="宋体" w:hAnsi="宋体" w:eastAsia="宋体"/>
                <w:b w:val="0"/>
                <w:sz w:val="20"/>
              </w:rPr>
              <w:t>仿真报告、指标图表</w:t>
            </w:r>
          </w:p>
        </w:tc>
      </w:tr>
      <w:tr>
        <w:tc>
          <w:tcPr>
            <w:tcW w:type="dxa" w:w="3091"/>
          </w:tcPr>
          <w:p>
            <w:r/>
            <w:r>
              <w:rPr>
                <w:rFonts w:ascii="宋体" w:hAnsi="宋体" w:eastAsia="宋体"/>
                <w:b w:val="0"/>
                <w:sz w:val="20"/>
              </w:rPr>
              <w:t>方案设计</w:t>
            </w:r>
          </w:p>
        </w:tc>
        <w:tc>
          <w:tcPr>
            <w:tcW w:type="dxa" w:w="3091"/>
          </w:tcPr>
          <w:p>
            <w:r/>
            <w:r>
              <w:rPr>
                <w:rFonts w:ascii="宋体" w:hAnsi="宋体" w:eastAsia="宋体"/>
                <w:b w:val="0"/>
                <w:sz w:val="20"/>
              </w:rPr>
              <w:t>推荐设备数量、中继点布局、收费模式</w:t>
            </w:r>
          </w:p>
        </w:tc>
        <w:tc>
          <w:tcPr>
            <w:tcW w:type="dxa" w:w="3091"/>
          </w:tcPr>
          <w:p>
            <w:r/>
            <w:r>
              <w:rPr>
                <w:rFonts w:ascii="宋体" w:hAnsi="宋体" w:eastAsia="宋体"/>
                <w:b w:val="0"/>
                <w:sz w:val="20"/>
              </w:rPr>
              <w:t>部署方案、预算测算</w:t>
            </w:r>
          </w:p>
        </w:tc>
      </w:tr>
      <w:tr>
        <w:tc>
          <w:tcPr>
            <w:tcW w:type="dxa" w:w="3091"/>
          </w:tcPr>
          <w:p>
            <w:r/>
            <w:r>
              <w:rPr>
                <w:rFonts w:ascii="宋体" w:hAnsi="宋体" w:eastAsia="宋体"/>
                <w:b w:val="0"/>
                <w:sz w:val="20"/>
              </w:rPr>
              <w:t>试点运行</w:t>
            </w:r>
          </w:p>
        </w:tc>
        <w:tc>
          <w:tcPr>
            <w:tcW w:type="dxa" w:w="3091"/>
          </w:tcPr>
          <w:p>
            <w:r/>
            <w:r>
              <w:rPr>
                <w:rFonts w:ascii="宋体" w:hAnsi="宋体" w:eastAsia="宋体"/>
                <w:b w:val="0"/>
                <w:sz w:val="20"/>
              </w:rPr>
              <w:t>小范围运行，记录异常和用户反馈</w:t>
            </w:r>
          </w:p>
        </w:tc>
        <w:tc>
          <w:tcPr>
            <w:tcW w:type="dxa" w:w="3091"/>
          </w:tcPr>
          <w:p>
            <w:r/>
            <w:r>
              <w:rPr>
                <w:rFonts w:ascii="宋体" w:hAnsi="宋体" w:eastAsia="宋体"/>
                <w:b w:val="0"/>
                <w:sz w:val="20"/>
              </w:rPr>
              <w:t>试点记录、优化建议</w:t>
            </w:r>
          </w:p>
        </w:tc>
      </w:tr>
      <w:tr>
        <w:tc>
          <w:tcPr>
            <w:tcW w:type="dxa" w:w="3091"/>
          </w:tcPr>
          <w:p>
            <w:r/>
            <w:r>
              <w:rPr>
                <w:rFonts w:ascii="宋体" w:hAnsi="宋体" w:eastAsia="宋体"/>
                <w:b w:val="0"/>
                <w:sz w:val="20"/>
              </w:rPr>
              <w:t>正式交付</w:t>
            </w:r>
          </w:p>
        </w:tc>
        <w:tc>
          <w:tcPr>
            <w:tcW w:type="dxa" w:w="3091"/>
          </w:tcPr>
          <w:p>
            <w:r/>
            <w:r>
              <w:rPr>
                <w:rFonts w:ascii="宋体" w:hAnsi="宋体" w:eastAsia="宋体"/>
                <w:b w:val="0"/>
                <w:sz w:val="20"/>
              </w:rPr>
              <w:t>部署平台、培训人员、提供运维支持</w:t>
            </w:r>
          </w:p>
        </w:tc>
        <w:tc>
          <w:tcPr>
            <w:tcW w:type="dxa" w:w="3091"/>
          </w:tcPr>
          <w:p>
            <w:r/>
            <w:r>
              <w:rPr>
                <w:rFonts w:ascii="宋体" w:hAnsi="宋体" w:eastAsia="宋体"/>
                <w:b w:val="0"/>
                <w:sz w:val="20"/>
              </w:rPr>
              <w:t>系统账号、操作手册、运维方案</w:t>
            </w:r>
          </w:p>
        </w:tc>
      </w:tr>
    </w:tbl>
    <w:p>
      <w:pPr>
        <w:spacing w:line="300" w:lineRule="auto" w:after="0"/>
        <w:jc w:val="left"/>
      </w:pPr>
      <w:r>
        <w:rPr>
          <w:rFonts w:ascii="宋体" w:hAnsi="宋体" w:eastAsia="宋体"/>
          <w:b w:val="0"/>
          <w:sz w:val="24"/>
        </w:rPr>
      </w:r>
    </w:p>
    <w:p>
      <w:pPr>
        <w:pStyle w:val="Heading2"/>
        <w:jc w:val="left"/>
      </w:pPr>
      <w:r>
        <w:rPr>
          <w:rFonts w:ascii="黑体" w:hAnsi="黑体" w:eastAsia="黑体"/>
          <w:b w:val="0"/>
          <w:sz w:val="28"/>
        </w:rPr>
        <w:t>C.2 客户交付清单</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交付模块</w:t>
            </w:r>
          </w:p>
        </w:tc>
        <w:tc>
          <w:tcPr>
            <w:tcW w:type="dxa" w:w="3091"/>
          </w:tcPr>
          <w:p>
            <w:pPr>
              <w:jc w:val="center"/>
            </w:pPr>
            <w:r/>
            <w:r>
              <w:rPr>
                <w:rFonts w:ascii="宋体" w:hAnsi="宋体" w:eastAsia="宋体"/>
                <w:b/>
                <w:sz w:val="21"/>
              </w:rPr>
              <w:t>内容</w:t>
            </w:r>
          </w:p>
        </w:tc>
        <w:tc>
          <w:tcPr>
            <w:tcW w:type="dxa" w:w="3091"/>
          </w:tcPr>
          <w:p>
            <w:pPr>
              <w:jc w:val="center"/>
            </w:pPr>
            <w:r/>
            <w:r>
              <w:rPr>
                <w:rFonts w:ascii="宋体" w:hAnsi="宋体" w:eastAsia="宋体"/>
                <w:b/>
                <w:sz w:val="21"/>
              </w:rPr>
              <w:t>价值</w:t>
            </w:r>
          </w:p>
        </w:tc>
      </w:tr>
      <w:tr>
        <w:tc>
          <w:tcPr>
            <w:tcW w:type="dxa" w:w="3091"/>
          </w:tcPr>
          <w:p>
            <w:r/>
            <w:r>
              <w:rPr>
                <w:rFonts w:ascii="宋体" w:hAnsi="宋体" w:eastAsia="宋体"/>
                <w:b w:val="0"/>
                <w:sz w:val="20"/>
              </w:rPr>
              <w:t>场景数字化模型</w:t>
            </w:r>
          </w:p>
        </w:tc>
        <w:tc>
          <w:tcPr>
            <w:tcW w:type="dxa" w:w="3091"/>
          </w:tcPr>
          <w:p>
            <w:r/>
            <w:r>
              <w:rPr>
                <w:rFonts w:ascii="宋体" w:hAnsi="宋体" w:eastAsia="宋体"/>
                <w:b w:val="0"/>
                <w:sz w:val="20"/>
              </w:rPr>
              <w:t>总站、路网、终点、时间窗、设备参数</w:t>
            </w:r>
          </w:p>
        </w:tc>
        <w:tc>
          <w:tcPr>
            <w:tcW w:type="dxa" w:w="3091"/>
          </w:tcPr>
          <w:p>
            <w:r/>
            <w:r>
              <w:rPr>
                <w:rFonts w:ascii="宋体" w:hAnsi="宋体" w:eastAsia="宋体"/>
                <w:b w:val="0"/>
                <w:sz w:val="20"/>
              </w:rPr>
              <w:t>让配送场景可计算</w:t>
            </w:r>
          </w:p>
        </w:tc>
      </w:tr>
      <w:tr>
        <w:tc>
          <w:tcPr>
            <w:tcW w:type="dxa" w:w="3091"/>
          </w:tcPr>
          <w:p>
            <w:r/>
            <w:r>
              <w:rPr>
                <w:rFonts w:ascii="宋体" w:hAnsi="宋体" w:eastAsia="宋体"/>
                <w:b w:val="0"/>
                <w:sz w:val="20"/>
              </w:rPr>
              <w:t>候选中继点报告</w:t>
            </w:r>
          </w:p>
        </w:tc>
        <w:tc>
          <w:tcPr>
            <w:tcW w:type="dxa" w:w="3091"/>
          </w:tcPr>
          <w:p>
            <w:r/>
            <w:r>
              <w:rPr>
                <w:rFonts w:ascii="宋体" w:hAnsi="宋体" w:eastAsia="宋体"/>
                <w:b w:val="0"/>
                <w:sz w:val="20"/>
              </w:rPr>
              <w:t>推荐点位、覆盖范围、等待成本、风险等级</w:t>
            </w:r>
          </w:p>
        </w:tc>
        <w:tc>
          <w:tcPr>
            <w:tcW w:type="dxa" w:w="3091"/>
          </w:tcPr>
          <w:p>
            <w:r/>
            <w:r>
              <w:rPr>
                <w:rFonts w:ascii="宋体" w:hAnsi="宋体" w:eastAsia="宋体"/>
                <w:b w:val="0"/>
                <w:sz w:val="20"/>
              </w:rPr>
              <w:t>让起降和回收有依据</w:t>
            </w:r>
          </w:p>
        </w:tc>
      </w:tr>
      <w:tr>
        <w:tc>
          <w:tcPr>
            <w:tcW w:type="dxa" w:w="3091"/>
          </w:tcPr>
          <w:p>
            <w:r/>
            <w:r>
              <w:rPr>
                <w:rFonts w:ascii="宋体" w:hAnsi="宋体" w:eastAsia="宋体"/>
                <w:b w:val="0"/>
                <w:sz w:val="20"/>
              </w:rPr>
              <w:t>调度优化方案</w:t>
            </w:r>
          </w:p>
        </w:tc>
        <w:tc>
          <w:tcPr>
            <w:tcW w:type="dxa" w:w="3091"/>
          </w:tcPr>
          <w:p>
            <w:r/>
            <w:r>
              <w:rPr>
                <w:rFonts w:ascii="宋体" w:hAnsi="宋体" w:eastAsia="宋体"/>
                <w:b w:val="0"/>
                <w:sz w:val="20"/>
              </w:rPr>
              <w:t>订单分配、AGV 路径、UAV 路径、回退预案</w:t>
            </w:r>
          </w:p>
        </w:tc>
        <w:tc>
          <w:tcPr>
            <w:tcW w:type="dxa" w:w="3091"/>
          </w:tcPr>
          <w:p>
            <w:r/>
            <w:r>
              <w:rPr>
                <w:rFonts w:ascii="宋体" w:hAnsi="宋体" w:eastAsia="宋体"/>
                <w:b w:val="0"/>
                <w:sz w:val="20"/>
              </w:rPr>
              <w:t>让运营可执行</w:t>
            </w:r>
          </w:p>
        </w:tc>
      </w:tr>
      <w:tr>
        <w:tc>
          <w:tcPr>
            <w:tcW w:type="dxa" w:w="3091"/>
          </w:tcPr>
          <w:p>
            <w:r/>
            <w:r>
              <w:rPr>
                <w:rFonts w:ascii="宋体" w:hAnsi="宋体" w:eastAsia="宋体"/>
                <w:b w:val="0"/>
                <w:sz w:val="20"/>
              </w:rPr>
              <w:t>绿色运营报告</w:t>
            </w:r>
          </w:p>
        </w:tc>
        <w:tc>
          <w:tcPr>
            <w:tcW w:type="dxa" w:w="3091"/>
          </w:tcPr>
          <w:p>
            <w:r/>
            <w:r>
              <w:rPr>
                <w:rFonts w:ascii="宋体" w:hAnsi="宋体" w:eastAsia="宋体"/>
                <w:b w:val="0"/>
                <w:sz w:val="20"/>
              </w:rPr>
              <w:t>单票能耗、单位距离能耗、碳排测算</w:t>
            </w:r>
          </w:p>
        </w:tc>
        <w:tc>
          <w:tcPr>
            <w:tcW w:type="dxa" w:w="3091"/>
          </w:tcPr>
          <w:p>
            <w:r/>
            <w:r>
              <w:rPr>
                <w:rFonts w:ascii="宋体" w:hAnsi="宋体" w:eastAsia="宋体"/>
                <w:b w:val="0"/>
                <w:sz w:val="20"/>
              </w:rPr>
              <w:t>服务绿色园区和低碳展示</w:t>
            </w:r>
          </w:p>
        </w:tc>
      </w:tr>
      <w:tr>
        <w:tc>
          <w:tcPr>
            <w:tcW w:type="dxa" w:w="3091"/>
          </w:tcPr>
          <w:p>
            <w:r/>
            <w:r>
              <w:rPr>
                <w:rFonts w:ascii="宋体" w:hAnsi="宋体" w:eastAsia="宋体"/>
                <w:b w:val="0"/>
                <w:sz w:val="20"/>
              </w:rPr>
              <w:t>可视化看板</w:t>
            </w:r>
          </w:p>
        </w:tc>
        <w:tc>
          <w:tcPr>
            <w:tcW w:type="dxa" w:w="3091"/>
          </w:tcPr>
          <w:p>
            <w:r/>
            <w:r>
              <w:rPr>
                <w:rFonts w:ascii="宋体" w:hAnsi="宋体" w:eastAsia="宋体"/>
                <w:b w:val="0"/>
                <w:sz w:val="20"/>
              </w:rPr>
              <w:t>完成率、准时率、设备状态、异常订单</w:t>
            </w:r>
          </w:p>
        </w:tc>
        <w:tc>
          <w:tcPr>
            <w:tcW w:type="dxa" w:w="3091"/>
          </w:tcPr>
          <w:p>
            <w:r/>
            <w:r>
              <w:rPr>
                <w:rFonts w:ascii="宋体" w:hAnsi="宋体" w:eastAsia="宋体"/>
                <w:b w:val="0"/>
                <w:sz w:val="20"/>
              </w:rPr>
              <w:t>服务管理决策</w:t>
            </w:r>
          </w:p>
        </w:tc>
      </w:tr>
    </w:tbl>
    <w:p>
      <w:pPr>
        <w:spacing w:line="300" w:lineRule="auto" w:after="0"/>
        <w:jc w:val="left"/>
      </w:pPr>
      <w:r>
        <w:rPr>
          <w:rFonts w:ascii="宋体" w:hAnsi="宋体" w:eastAsia="宋体"/>
          <w:b w:val="0"/>
          <w:sz w:val="24"/>
        </w:rPr>
      </w:r>
    </w:p>
    <w:p>
      <w:pPr>
        <w:pStyle w:val="Heading2"/>
        <w:jc w:val="left"/>
      </w:pPr>
      <w:r>
        <w:rPr>
          <w:rFonts w:ascii="黑体" w:hAnsi="黑体" w:eastAsia="黑体"/>
          <w:b w:val="0"/>
          <w:sz w:val="28"/>
        </w:rPr>
        <w:t>C.3 项目验收指标</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指标</w:t>
            </w:r>
          </w:p>
        </w:tc>
        <w:tc>
          <w:tcPr>
            <w:tcW w:type="dxa" w:w="3091"/>
          </w:tcPr>
          <w:p>
            <w:pPr>
              <w:jc w:val="center"/>
            </w:pPr>
            <w:r/>
            <w:r>
              <w:rPr>
                <w:rFonts w:ascii="宋体" w:hAnsi="宋体" w:eastAsia="宋体"/>
                <w:b/>
                <w:sz w:val="21"/>
              </w:rPr>
              <w:t>目标值</w:t>
            </w:r>
          </w:p>
        </w:tc>
        <w:tc>
          <w:tcPr>
            <w:tcW w:type="dxa" w:w="3091"/>
          </w:tcPr>
          <w:p>
            <w:pPr>
              <w:jc w:val="center"/>
            </w:pPr>
            <w:r/>
            <w:r>
              <w:rPr>
                <w:rFonts w:ascii="宋体" w:hAnsi="宋体" w:eastAsia="宋体"/>
                <w:b/>
                <w:sz w:val="21"/>
              </w:rPr>
              <w:t>验收说明</w:t>
            </w:r>
          </w:p>
        </w:tc>
      </w:tr>
      <w:tr>
        <w:tc>
          <w:tcPr>
            <w:tcW w:type="dxa" w:w="3091"/>
          </w:tcPr>
          <w:p>
            <w:r/>
            <w:r>
              <w:rPr>
                <w:rFonts w:ascii="宋体" w:hAnsi="宋体" w:eastAsia="宋体"/>
                <w:b w:val="0"/>
                <w:sz w:val="20"/>
              </w:rPr>
              <w:t>任务完成率</w:t>
            </w:r>
          </w:p>
        </w:tc>
        <w:tc>
          <w:tcPr>
            <w:tcW w:type="dxa" w:w="3091"/>
          </w:tcPr>
          <w:p>
            <w:r/>
            <w:r>
              <w:rPr>
                <w:rFonts w:ascii="宋体" w:hAnsi="宋体" w:eastAsia="宋体"/>
                <w:b w:val="0"/>
                <w:sz w:val="20"/>
              </w:rPr>
              <w:t>≥ 95%</w:t>
            </w:r>
          </w:p>
        </w:tc>
        <w:tc>
          <w:tcPr>
            <w:tcW w:type="dxa" w:w="3091"/>
          </w:tcPr>
          <w:p>
            <w:r/>
            <w:r>
              <w:rPr>
                <w:rFonts w:ascii="宋体" w:hAnsi="宋体" w:eastAsia="宋体"/>
                <w:b w:val="0"/>
                <w:sz w:val="20"/>
              </w:rPr>
              <w:t>试点订单按时完成比例</w:t>
            </w:r>
          </w:p>
        </w:tc>
      </w:tr>
      <w:tr>
        <w:tc>
          <w:tcPr>
            <w:tcW w:type="dxa" w:w="3091"/>
          </w:tcPr>
          <w:p>
            <w:r/>
            <w:r>
              <w:rPr>
                <w:rFonts w:ascii="宋体" w:hAnsi="宋体" w:eastAsia="宋体"/>
                <w:b w:val="0"/>
                <w:sz w:val="20"/>
              </w:rPr>
              <w:t>准时率</w:t>
            </w:r>
          </w:p>
        </w:tc>
        <w:tc>
          <w:tcPr>
            <w:tcW w:type="dxa" w:w="3091"/>
          </w:tcPr>
          <w:p>
            <w:r/>
            <w:r>
              <w:rPr>
                <w:rFonts w:ascii="宋体" w:hAnsi="宋体" w:eastAsia="宋体"/>
                <w:b w:val="0"/>
                <w:sz w:val="20"/>
              </w:rPr>
              <w:t>≥ 90%</w:t>
            </w:r>
          </w:p>
        </w:tc>
        <w:tc>
          <w:tcPr>
            <w:tcW w:type="dxa" w:w="3091"/>
          </w:tcPr>
          <w:p>
            <w:r/>
            <w:r>
              <w:rPr>
                <w:rFonts w:ascii="宋体" w:hAnsi="宋体" w:eastAsia="宋体"/>
                <w:b w:val="0"/>
                <w:sz w:val="20"/>
              </w:rPr>
              <w:t>在时间窗内完成配送比例</w:t>
            </w:r>
          </w:p>
        </w:tc>
      </w:tr>
      <w:tr>
        <w:tc>
          <w:tcPr>
            <w:tcW w:type="dxa" w:w="3091"/>
          </w:tcPr>
          <w:p>
            <w:r/>
            <w:r>
              <w:rPr>
                <w:rFonts w:ascii="宋体" w:hAnsi="宋体" w:eastAsia="宋体"/>
                <w:b w:val="0"/>
                <w:sz w:val="20"/>
              </w:rPr>
              <w:t>单任务能耗下降</w:t>
            </w:r>
          </w:p>
        </w:tc>
        <w:tc>
          <w:tcPr>
            <w:tcW w:type="dxa" w:w="3091"/>
          </w:tcPr>
          <w:p>
            <w:r/>
            <w:r>
              <w:rPr>
                <w:rFonts w:ascii="宋体" w:hAnsi="宋体" w:eastAsia="宋体"/>
                <w:b w:val="0"/>
                <w:sz w:val="20"/>
              </w:rPr>
              <w:t>≥ 10%</w:t>
            </w:r>
          </w:p>
        </w:tc>
        <w:tc>
          <w:tcPr>
            <w:tcW w:type="dxa" w:w="3091"/>
          </w:tcPr>
          <w:p>
            <w:r/>
            <w:r>
              <w:rPr>
                <w:rFonts w:ascii="宋体" w:hAnsi="宋体" w:eastAsia="宋体"/>
                <w:b w:val="0"/>
                <w:sz w:val="20"/>
              </w:rPr>
              <w:t>相对基线直送策略</w:t>
            </w:r>
          </w:p>
        </w:tc>
      </w:tr>
      <w:tr>
        <w:tc>
          <w:tcPr>
            <w:tcW w:type="dxa" w:w="3091"/>
          </w:tcPr>
          <w:p>
            <w:r/>
            <w:r>
              <w:rPr>
                <w:rFonts w:ascii="宋体" w:hAnsi="宋体" w:eastAsia="宋体"/>
                <w:b w:val="0"/>
                <w:sz w:val="20"/>
              </w:rPr>
              <w:t>异常回退成功率</w:t>
            </w:r>
          </w:p>
        </w:tc>
        <w:tc>
          <w:tcPr>
            <w:tcW w:type="dxa" w:w="3091"/>
          </w:tcPr>
          <w:p>
            <w:r/>
            <w:r>
              <w:rPr>
                <w:rFonts w:ascii="宋体" w:hAnsi="宋体" w:eastAsia="宋体"/>
                <w:b w:val="0"/>
                <w:sz w:val="20"/>
              </w:rPr>
              <w:t>≥ 90%</w:t>
            </w:r>
          </w:p>
        </w:tc>
        <w:tc>
          <w:tcPr>
            <w:tcW w:type="dxa" w:w="3091"/>
          </w:tcPr>
          <w:p>
            <w:r/>
            <w:r>
              <w:rPr>
                <w:rFonts w:ascii="宋体" w:hAnsi="宋体" w:eastAsia="宋体"/>
                <w:b w:val="0"/>
                <w:sz w:val="20"/>
              </w:rPr>
              <w:t>电量不足、点位不可用等情况下重排成功</w:t>
            </w:r>
          </w:p>
        </w:tc>
      </w:tr>
      <w:tr>
        <w:tc>
          <w:tcPr>
            <w:tcW w:type="dxa" w:w="3091"/>
          </w:tcPr>
          <w:p>
            <w:r/>
            <w:r>
              <w:rPr>
                <w:rFonts w:ascii="宋体" w:hAnsi="宋体" w:eastAsia="宋体"/>
                <w:b w:val="0"/>
                <w:sz w:val="20"/>
              </w:rPr>
              <w:t>客户满意度</w:t>
            </w:r>
          </w:p>
        </w:tc>
        <w:tc>
          <w:tcPr>
            <w:tcW w:type="dxa" w:w="3091"/>
          </w:tcPr>
          <w:p>
            <w:r/>
            <w:r>
              <w:rPr>
                <w:rFonts w:ascii="宋体" w:hAnsi="宋体" w:eastAsia="宋体"/>
                <w:b w:val="0"/>
                <w:sz w:val="20"/>
              </w:rPr>
              <w:t>≥ 85%</w:t>
            </w:r>
          </w:p>
        </w:tc>
        <w:tc>
          <w:tcPr>
            <w:tcW w:type="dxa" w:w="3091"/>
          </w:tcPr>
          <w:p>
            <w:r/>
            <w:r>
              <w:rPr>
                <w:rFonts w:ascii="宋体" w:hAnsi="宋体" w:eastAsia="宋体"/>
                <w:b w:val="0"/>
                <w:sz w:val="20"/>
              </w:rPr>
              <w:t>运营方和试用用户反馈</w:t>
            </w:r>
          </w:p>
        </w:tc>
      </w:tr>
    </w:tbl>
    <w:p>
      <w:pPr>
        <w:spacing w:line="300" w:lineRule="auto" w:after="0"/>
        <w:jc w:val="left"/>
      </w:pPr>
      <w:r>
        <w:rPr>
          <w:rFonts w:ascii="宋体" w:hAnsi="宋体" w:eastAsia="宋体"/>
          <w:b w:val="0"/>
          <w:sz w:val="24"/>
        </w:rPr>
      </w:r>
    </w:p>
    <w:p>
      <w:r>
        <w:br w:type="page"/>
      </w:r>
    </w:p>
    <w:p>
      <w:pPr>
        <w:pStyle w:val="Heading1"/>
        <w:jc w:val="center"/>
      </w:pPr>
      <w:r>
        <w:rPr>
          <w:rFonts w:ascii="黑体" w:hAnsi="黑体" w:eastAsia="黑体"/>
          <w:b w:val="0"/>
          <w:sz w:val="32"/>
        </w:rPr>
        <w:t>附录 D 客户访谈假设与路演问答</w:t>
      </w:r>
    </w:p>
    <w:p>
      <w:pPr>
        <w:pStyle w:val="Heading2"/>
        <w:jc w:val="left"/>
      </w:pPr>
      <w:r>
        <w:rPr>
          <w:rFonts w:ascii="黑体" w:hAnsi="黑体" w:eastAsia="黑体"/>
          <w:b w:val="0"/>
          <w:sz w:val="28"/>
        </w:rPr>
        <w:t>D.1 客户访谈假设</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访谈对象</w:t>
            </w:r>
          </w:p>
        </w:tc>
        <w:tc>
          <w:tcPr>
            <w:tcW w:type="dxa" w:w="3091"/>
          </w:tcPr>
          <w:p>
            <w:pPr>
              <w:jc w:val="center"/>
            </w:pPr>
            <w:r/>
            <w:r>
              <w:rPr>
                <w:rFonts w:ascii="宋体" w:hAnsi="宋体" w:eastAsia="宋体"/>
                <w:b/>
                <w:sz w:val="21"/>
              </w:rPr>
              <w:t>可能关注点</w:t>
            </w:r>
          </w:p>
        </w:tc>
        <w:tc>
          <w:tcPr>
            <w:tcW w:type="dxa" w:w="3091"/>
          </w:tcPr>
          <w:p>
            <w:pPr>
              <w:jc w:val="center"/>
            </w:pPr>
            <w:r/>
            <w:r>
              <w:rPr>
                <w:rFonts w:ascii="宋体" w:hAnsi="宋体" w:eastAsia="宋体"/>
                <w:b/>
                <w:sz w:val="21"/>
              </w:rPr>
              <w:t>项目回应</w:t>
            </w:r>
          </w:p>
        </w:tc>
      </w:tr>
      <w:tr>
        <w:tc>
          <w:tcPr>
            <w:tcW w:type="dxa" w:w="3091"/>
          </w:tcPr>
          <w:p>
            <w:r/>
            <w:r>
              <w:rPr>
                <w:rFonts w:ascii="宋体" w:hAnsi="宋体" w:eastAsia="宋体"/>
                <w:b w:val="0"/>
                <w:sz w:val="20"/>
              </w:rPr>
              <w:t>校园后勤负责人</w:t>
            </w:r>
          </w:p>
        </w:tc>
        <w:tc>
          <w:tcPr>
            <w:tcW w:type="dxa" w:w="3091"/>
          </w:tcPr>
          <w:p>
            <w:r/>
            <w:r>
              <w:rPr>
                <w:rFonts w:ascii="宋体" w:hAnsi="宋体" w:eastAsia="宋体"/>
                <w:b w:val="0"/>
                <w:sz w:val="20"/>
              </w:rPr>
              <w:t>安全怎么保证？会不会扰民？</w:t>
            </w:r>
          </w:p>
        </w:tc>
        <w:tc>
          <w:tcPr>
            <w:tcW w:type="dxa" w:w="3091"/>
          </w:tcPr>
          <w:p>
            <w:r/>
            <w:r>
              <w:rPr>
                <w:rFonts w:ascii="宋体" w:hAnsi="宋体" w:eastAsia="宋体"/>
                <w:b w:val="0"/>
                <w:sz w:val="20"/>
              </w:rPr>
              <w:t>先做仿真和半封闭路线，真实运行与合规硬件厂商合作</w:t>
            </w:r>
          </w:p>
        </w:tc>
      </w:tr>
      <w:tr>
        <w:tc>
          <w:tcPr>
            <w:tcW w:type="dxa" w:w="3091"/>
          </w:tcPr>
          <w:p>
            <w:r/>
            <w:r>
              <w:rPr>
                <w:rFonts w:ascii="宋体" w:hAnsi="宋体" w:eastAsia="宋体"/>
                <w:b w:val="0"/>
                <w:sz w:val="20"/>
              </w:rPr>
              <w:t>园区运营方</w:t>
            </w:r>
          </w:p>
        </w:tc>
        <w:tc>
          <w:tcPr>
            <w:tcW w:type="dxa" w:w="3091"/>
          </w:tcPr>
          <w:p>
            <w:r/>
            <w:r>
              <w:rPr>
                <w:rFonts w:ascii="宋体" w:hAnsi="宋体" w:eastAsia="宋体"/>
                <w:b w:val="0"/>
                <w:sz w:val="20"/>
              </w:rPr>
              <w:t>投入设备后多久回本？</w:t>
            </w:r>
          </w:p>
        </w:tc>
        <w:tc>
          <w:tcPr>
            <w:tcW w:type="dxa" w:w="3091"/>
          </w:tcPr>
          <w:p>
            <w:r/>
            <w:r>
              <w:rPr>
                <w:rFonts w:ascii="宋体" w:hAnsi="宋体" w:eastAsia="宋体"/>
                <w:b w:val="0"/>
                <w:sz w:val="20"/>
              </w:rPr>
              <w:t>先用平台测算订单规模、设备数量和单票成本，再决定部署</w:t>
            </w:r>
          </w:p>
        </w:tc>
      </w:tr>
      <w:tr>
        <w:tc>
          <w:tcPr>
            <w:tcW w:type="dxa" w:w="3091"/>
          </w:tcPr>
          <w:p>
            <w:r/>
            <w:r>
              <w:rPr>
                <w:rFonts w:ascii="宋体" w:hAnsi="宋体" w:eastAsia="宋体"/>
                <w:b w:val="0"/>
                <w:sz w:val="20"/>
              </w:rPr>
              <w:t>硬件厂商</w:t>
            </w:r>
          </w:p>
        </w:tc>
        <w:tc>
          <w:tcPr>
            <w:tcW w:type="dxa" w:w="3091"/>
          </w:tcPr>
          <w:p>
            <w:r/>
            <w:r>
              <w:rPr>
                <w:rFonts w:ascii="宋体" w:hAnsi="宋体" w:eastAsia="宋体"/>
                <w:b w:val="0"/>
                <w:sz w:val="20"/>
              </w:rPr>
              <w:t>你们和我们有什么互补？</w:t>
            </w:r>
          </w:p>
        </w:tc>
        <w:tc>
          <w:tcPr>
            <w:tcW w:type="dxa" w:w="3091"/>
          </w:tcPr>
          <w:p>
            <w:r/>
            <w:r>
              <w:rPr>
                <w:rFonts w:ascii="宋体" w:hAnsi="宋体" w:eastAsia="宋体"/>
                <w:b w:val="0"/>
                <w:sz w:val="20"/>
              </w:rPr>
              <w:t>厂商提供 UAV/AGV，团队提供调度大脑和运营看板</w:t>
            </w:r>
          </w:p>
        </w:tc>
      </w:tr>
      <w:tr>
        <w:tc>
          <w:tcPr>
            <w:tcW w:type="dxa" w:w="3091"/>
          </w:tcPr>
          <w:p>
            <w:r/>
            <w:r>
              <w:rPr>
                <w:rFonts w:ascii="宋体" w:hAnsi="宋体" w:eastAsia="宋体"/>
                <w:b w:val="0"/>
                <w:sz w:val="20"/>
              </w:rPr>
              <w:t>投资人/评委</w:t>
            </w:r>
          </w:p>
        </w:tc>
        <w:tc>
          <w:tcPr>
            <w:tcW w:type="dxa" w:w="3091"/>
          </w:tcPr>
          <w:p>
            <w:r/>
            <w:r>
              <w:rPr>
                <w:rFonts w:ascii="宋体" w:hAnsi="宋体" w:eastAsia="宋体"/>
                <w:b w:val="0"/>
                <w:sz w:val="20"/>
              </w:rPr>
              <w:t>大学生团队能不能做成？</w:t>
            </w:r>
          </w:p>
        </w:tc>
        <w:tc>
          <w:tcPr>
            <w:tcW w:type="dxa" w:w="3091"/>
          </w:tcPr>
          <w:p>
            <w:r/>
            <w:r>
              <w:rPr>
                <w:rFonts w:ascii="宋体" w:hAnsi="宋体" w:eastAsia="宋体"/>
                <w:b w:val="0"/>
                <w:sz w:val="20"/>
              </w:rPr>
              <w:t>先轻资产软件切入，已有仿真系统和阶段数据，降低启动难度</w:t>
            </w:r>
          </w:p>
        </w:tc>
      </w:tr>
    </w:tbl>
    <w:p>
      <w:pPr>
        <w:spacing w:line="300" w:lineRule="auto" w:after="0"/>
        <w:jc w:val="left"/>
      </w:pPr>
      <w:r>
        <w:rPr>
          <w:rFonts w:ascii="宋体" w:hAnsi="宋体" w:eastAsia="宋体"/>
          <w:b w:val="0"/>
          <w:sz w:val="24"/>
        </w:rPr>
      </w:r>
    </w:p>
    <w:p>
      <w:pPr>
        <w:pStyle w:val="Heading2"/>
        <w:jc w:val="left"/>
      </w:pPr>
      <w:r>
        <w:rPr>
          <w:rFonts w:ascii="黑体" w:hAnsi="黑体" w:eastAsia="黑体"/>
          <w:b w:val="0"/>
          <w:sz w:val="28"/>
        </w:rPr>
        <w:t>D.2 路演高频问题</w:t>
      </w:r>
    </w:p>
    <w:p>
      <w:pPr>
        <w:pStyle w:val="Heading2"/>
        <w:jc w:val="left"/>
      </w:pPr>
      <w:r>
        <w:rPr>
          <w:rFonts w:ascii="黑体" w:hAnsi="黑体" w:eastAsia="黑体"/>
          <w:b w:val="0"/>
          <w:sz w:val="28"/>
        </w:rPr>
        <w:t>问题一：为什么不是纯无人机？</w:t>
      </w:r>
    </w:p>
    <w:p>
      <w:pPr>
        <w:spacing w:line="300" w:lineRule="auto" w:after="0"/>
        <w:ind w:firstLine="480"/>
        <w:jc w:val="left"/>
      </w:pPr>
      <w:r>
        <w:rPr>
          <w:rFonts w:ascii="宋体" w:hAnsi="宋体" w:eastAsia="宋体"/>
          <w:b w:val="0"/>
          <w:sz w:val="24"/>
        </w:rPr>
        <w:t>纯无人机速度快，但续航、载重、回收和监管约束强。AGV 移动中继可以缩短 UAV 飞行半径，降低返航压力，提高设备周转。</w:t>
      </w:r>
    </w:p>
    <w:p>
      <w:pPr>
        <w:pStyle w:val="Heading2"/>
        <w:jc w:val="left"/>
      </w:pPr>
      <w:r>
        <w:rPr>
          <w:rFonts w:ascii="黑体" w:hAnsi="黑体" w:eastAsia="黑体"/>
          <w:b w:val="0"/>
          <w:sz w:val="28"/>
        </w:rPr>
        <w:t>问题二：为什么不是纯无人车？</w:t>
      </w:r>
    </w:p>
    <w:p>
      <w:pPr>
        <w:spacing w:line="300" w:lineRule="auto" w:after="0"/>
        <w:ind w:firstLine="480"/>
        <w:jc w:val="left"/>
      </w:pPr>
      <w:r>
        <w:rPr>
          <w:rFonts w:ascii="宋体" w:hAnsi="宋体" w:eastAsia="宋体"/>
          <w:b w:val="0"/>
          <w:sz w:val="24"/>
        </w:rPr>
        <w:t>纯无人车安全可控，但受路网绕行影响，末端效率有限。UAV 承担空中末端，能提升触达效率和示范价值。</w:t>
      </w:r>
    </w:p>
    <w:p>
      <w:pPr>
        <w:pStyle w:val="Heading2"/>
        <w:jc w:val="left"/>
      </w:pPr>
      <w:r>
        <w:rPr>
          <w:rFonts w:ascii="黑体" w:hAnsi="黑体" w:eastAsia="黑体"/>
          <w:b w:val="0"/>
          <w:sz w:val="28"/>
        </w:rPr>
        <w:t>问题三：项目现在有没有真实客户？</w:t>
      </w:r>
    </w:p>
    <w:p>
      <w:pPr>
        <w:spacing w:line="300" w:lineRule="auto" w:after="0"/>
        <w:ind w:firstLine="480"/>
        <w:jc w:val="left"/>
      </w:pPr>
      <w:r>
        <w:rPr>
          <w:rFonts w:ascii="宋体" w:hAnsi="宋体" w:eastAsia="宋体"/>
          <w:b w:val="0"/>
          <w:sz w:val="24"/>
        </w:rPr>
        <w:t>当前处于创意组和原型阶段，尚未宣称已签约客户。商业计划采用种子用户测试路径，优先从校内和周边园区试点切入。</w:t>
      </w:r>
    </w:p>
    <w:p>
      <w:pPr>
        <w:pStyle w:val="Heading2"/>
        <w:jc w:val="left"/>
      </w:pPr>
      <w:r>
        <w:rPr>
          <w:rFonts w:ascii="黑体" w:hAnsi="黑体" w:eastAsia="黑体"/>
          <w:b w:val="0"/>
          <w:sz w:val="28"/>
        </w:rPr>
        <w:t>问题四：财务预测是否可靠？</w:t>
      </w:r>
    </w:p>
    <w:p>
      <w:pPr>
        <w:spacing w:line="300" w:lineRule="auto" w:after="0"/>
        <w:ind w:firstLine="480"/>
        <w:jc w:val="left"/>
      </w:pPr>
      <w:r>
        <w:rPr>
          <w:rFonts w:ascii="宋体" w:hAnsi="宋体" w:eastAsia="宋体"/>
          <w:b w:val="0"/>
          <w:sz w:val="24"/>
        </w:rPr>
        <w:t>三年预测基于保守场景假设，包括平台授权、仿真评估、项目交付和按单 SaaS 收入，后续会用试点数据修正。</w:t>
      </w:r>
    </w:p>
    <w:p>
      <w:pPr>
        <w:pStyle w:val="Heading2"/>
        <w:jc w:val="left"/>
      </w:pPr>
      <w:r>
        <w:rPr>
          <w:rFonts w:ascii="黑体" w:hAnsi="黑体" w:eastAsia="黑体"/>
          <w:b w:val="0"/>
          <w:sz w:val="28"/>
        </w:rPr>
        <w:t>问题五：团队年级低是不是风险？</w:t>
      </w:r>
    </w:p>
    <w:p>
      <w:pPr>
        <w:spacing w:line="300" w:lineRule="auto" w:after="0"/>
        <w:ind w:firstLine="480"/>
        <w:jc w:val="left"/>
      </w:pPr>
      <w:r>
        <w:rPr>
          <w:rFonts w:ascii="宋体" w:hAnsi="宋体" w:eastAsia="宋体"/>
          <w:b w:val="0"/>
          <w:sz w:val="24"/>
        </w:rPr>
        <w:t>年级低意味着经验不足，但也意味着学习周期长、执行时间长。团队已完成仿真原型和多轮商业材料迭代，在导师指导下具备持续推进能力。</w:t>
      </w:r>
    </w:p>
    <w:p>
      <w:r>
        <w:br w:type="page"/>
      </w:r>
    </w:p>
    <w:p>
      <w:pPr>
        <w:pStyle w:val="Heading1"/>
        <w:jc w:val="center"/>
      </w:pPr>
      <w:r>
        <w:rPr>
          <w:rFonts w:ascii="黑体" w:hAnsi="黑体" w:eastAsia="黑体"/>
          <w:b w:val="0"/>
          <w:sz w:val="32"/>
        </w:rPr>
        <w:t>附录 E 资料来源与后续补充清单</w:t>
      </w:r>
    </w:p>
    <w:p>
      <w:pPr>
        <w:pStyle w:val="Heading2"/>
        <w:jc w:val="left"/>
      </w:pPr>
      <w:r>
        <w:rPr>
          <w:rFonts w:ascii="黑体" w:hAnsi="黑体" w:eastAsia="黑体"/>
          <w:b w:val="0"/>
          <w:sz w:val="28"/>
        </w:rPr>
        <w:t>E.1 已参考资料方向</w:t>
      </w:r>
    </w:p>
    <w:p>
      <w:pPr>
        <w:pStyle w:val="ListBullet"/>
      </w:pPr>
      <w:r>
        <w:rPr>
          <w:rFonts w:ascii="宋体" w:hAnsi="宋体" w:eastAsia="宋体"/>
          <w:b w:val="0"/>
          <w:sz w:val="24"/>
        </w:rPr>
        <w:t>中国国际大学生创新大赛高教主赛道评审规则：强调专业知识、商业知识、行业知识和组织能力。</w:t>
      </w:r>
    </w:p>
    <w:p>
      <w:pPr>
        <w:pStyle w:val="ListBullet"/>
      </w:pPr>
      <w:r>
        <w:rPr>
          <w:rFonts w:ascii="宋体" w:hAnsi="宋体" w:eastAsia="宋体"/>
          <w:b w:val="0"/>
          <w:sz w:val="24"/>
        </w:rPr>
        <w:t>教育部关于中国国际大学生创新大赛的通知和各高校发布的评审规则。</w:t>
      </w:r>
    </w:p>
    <w:p>
      <w:pPr>
        <w:pStyle w:val="ListBullet"/>
      </w:pPr>
      <w:r>
        <w:rPr>
          <w:rFonts w:ascii="宋体" w:hAnsi="宋体" w:eastAsia="宋体"/>
          <w:b w:val="0"/>
          <w:sz w:val="24"/>
        </w:rPr>
        <w:t>民航局、地方政府和行业公开资料中关于低空经济、低空物流、无人配送试点和低空基础设施建设的政策信息。</w:t>
      </w:r>
    </w:p>
    <w:p>
      <w:pPr>
        <w:pStyle w:val="ListBullet"/>
      </w:pPr>
      <w:r>
        <w:rPr>
          <w:rFonts w:ascii="宋体" w:hAnsi="宋体" w:eastAsia="宋体"/>
          <w:b w:val="0"/>
          <w:sz w:val="24"/>
        </w:rPr>
        <w:t>本项目现有 README、技术路线、实验矩阵、策略对比结果和可视化图表。</w:t>
      </w:r>
    </w:p>
    <w:p>
      <w:pPr>
        <w:pStyle w:val="Heading2"/>
        <w:jc w:val="left"/>
      </w:pPr>
      <w:r>
        <w:rPr>
          <w:rFonts w:ascii="黑体" w:hAnsi="黑体" w:eastAsia="黑体"/>
          <w:b w:val="0"/>
          <w:sz w:val="28"/>
        </w:rPr>
        <w:t>E.2 后续建议补充资料</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资料</w:t>
            </w:r>
          </w:p>
        </w:tc>
        <w:tc>
          <w:tcPr>
            <w:tcW w:type="dxa" w:w="3091"/>
          </w:tcPr>
          <w:p>
            <w:pPr>
              <w:jc w:val="center"/>
            </w:pPr>
            <w:r/>
            <w:r>
              <w:rPr>
                <w:rFonts w:ascii="宋体" w:hAnsi="宋体" w:eastAsia="宋体"/>
                <w:b/>
                <w:sz w:val="21"/>
              </w:rPr>
              <w:t>用途</w:t>
            </w:r>
          </w:p>
        </w:tc>
        <w:tc>
          <w:tcPr>
            <w:tcW w:type="dxa" w:w="3091"/>
          </w:tcPr>
          <w:p>
            <w:pPr>
              <w:jc w:val="center"/>
            </w:pPr>
            <w:r/>
            <w:r>
              <w:rPr>
                <w:rFonts w:ascii="宋体" w:hAnsi="宋体" w:eastAsia="宋体"/>
                <w:b/>
                <w:sz w:val="21"/>
              </w:rPr>
              <w:t>优先级</w:t>
            </w:r>
          </w:p>
        </w:tc>
      </w:tr>
      <w:tr>
        <w:tc>
          <w:tcPr>
            <w:tcW w:type="dxa" w:w="3091"/>
          </w:tcPr>
          <w:p>
            <w:r/>
            <w:r>
              <w:rPr>
                <w:rFonts w:ascii="宋体" w:hAnsi="宋体" w:eastAsia="宋体"/>
                <w:b w:val="0"/>
                <w:sz w:val="20"/>
              </w:rPr>
              <w:t>团队成员姓名和分工</w:t>
            </w:r>
          </w:p>
        </w:tc>
        <w:tc>
          <w:tcPr>
            <w:tcW w:type="dxa" w:w="3091"/>
          </w:tcPr>
          <w:p>
            <w:r/>
            <w:r>
              <w:rPr>
                <w:rFonts w:ascii="宋体" w:hAnsi="宋体" w:eastAsia="宋体"/>
                <w:b w:val="0"/>
                <w:sz w:val="20"/>
              </w:rPr>
              <w:t>完善封面和团队章节</w:t>
            </w:r>
          </w:p>
        </w:tc>
        <w:tc>
          <w:tcPr>
            <w:tcW w:type="dxa" w:w="3091"/>
          </w:tcPr>
          <w:p>
            <w:r/>
            <w:r>
              <w:rPr>
                <w:rFonts w:ascii="宋体" w:hAnsi="宋体" w:eastAsia="宋体"/>
                <w:b w:val="0"/>
                <w:sz w:val="20"/>
              </w:rPr>
              <w:t>高</w:t>
            </w:r>
          </w:p>
        </w:tc>
      </w:tr>
      <w:tr>
        <w:tc>
          <w:tcPr>
            <w:tcW w:type="dxa" w:w="3091"/>
          </w:tcPr>
          <w:p>
            <w:r/>
            <w:r>
              <w:rPr>
                <w:rFonts w:ascii="宋体" w:hAnsi="宋体" w:eastAsia="宋体"/>
                <w:b w:val="0"/>
                <w:sz w:val="20"/>
              </w:rPr>
              <w:t>导师简介</w:t>
            </w:r>
          </w:p>
        </w:tc>
        <w:tc>
          <w:tcPr>
            <w:tcW w:type="dxa" w:w="3091"/>
          </w:tcPr>
          <w:p>
            <w:r/>
            <w:r>
              <w:rPr>
                <w:rFonts w:ascii="宋体" w:hAnsi="宋体" w:eastAsia="宋体"/>
                <w:b w:val="0"/>
                <w:sz w:val="20"/>
              </w:rPr>
              <w:t>增强项目可信度</w:t>
            </w:r>
          </w:p>
        </w:tc>
        <w:tc>
          <w:tcPr>
            <w:tcW w:type="dxa" w:w="3091"/>
          </w:tcPr>
          <w:p>
            <w:r/>
            <w:r>
              <w:rPr>
                <w:rFonts w:ascii="宋体" w:hAnsi="宋体" w:eastAsia="宋体"/>
                <w:b w:val="0"/>
                <w:sz w:val="20"/>
              </w:rPr>
              <w:t>中</w:t>
            </w:r>
          </w:p>
        </w:tc>
      </w:tr>
      <w:tr>
        <w:tc>
          <w:tcPr>
            <w:tcW w:type="dxa" w:w="3091"/>
          </w:tcPr>
          <w:p>
            <w:r/>
            <w:r>
              <w:rPr>
                <w:rFonts w:ascii="宋体" w:hAnsi="宋体" w:eastAsia="宋体"/>
                <w:b w:val="0"/>
                <w:sz w:val="20"/>
              </w:rPr>
              <w:t>校内场景地图或路线</w:t>
            </w:r>
          </w:p>
        </w:tc>
        <w:tc>
          <w:tcPr>
            <w:tcW w:type="dxa" w:w="3091"/>
          </w:tcPr>
          <w:p>
            <w:r/>
            <w:r>
              <w:rPr>
                <w:rFonts w:ascii="宋体" w:hAnsi="宋体" w:eastAsia="宋体"/>
                <w:b w:val="0"/>
                <w:sz w:val="20"/>
              </w:rPr>
              <w:t>制作真实试点图</w:t>
            </w:r>
          </w:p>
        </w:tc>
        <w:tc>
          <w:tcPr>
            <w:tcW w:type="dxa" w:w="3091"/>
          </w:tcPr>
          <w:p>
            <w:r/>
            <w:r>
              <w:rPr>
                <w:rFonts w:ascii="宋体" w:hAnsi="宋体" w:eastAsia="宋体"/>
                <w:b w:val="0"/>
                <w:sz w:val="20"/>
              </w:rPr>
              <w:t>高</w:t>
            </w:r>
          </w:p>
        </w:tc>
      </w:tr>
      <w:tr>
        <w:tc>
          <w:tcPr>
            <w:tcW w:type="dxa" w:w="3091"/>
          </w:tcPr>
          <w:p>
            <w:r/>
            <w:r>
              <w:rPr>
                <w:rFonts w:ascii="宋体" w:hAnsi="宋体" w:eastAsia="宋体"/>
                <w:b w:val="0"/>
                <w:sz w:val="20"/>
              </w:rPr>
              <w:t>潜在客户访谈记录</w:t>
            </w:r>
          </w:p>
        </w:tc>
        <w:tc>
          <w:tcPr>
            <w:tcW w:type="dxa" w:w="3091"/>
          </w:tcPr>
          <w:p>
            <w:r/>
            <w:r>
              <w:rPr>
                <w:rFonts w:ascii="宋体" w:hAnsi="宋体" w:eastAsia="宋体"/>
                <w:b w:val="0"/>
                <w:sz w:val="20"/>
              </w:rPr>
              <w:t>支撑商业真实性</w:t>
            </w:r>
          </w:p>
        </w:tc>
        <w:tc>
          <w:tcPr>
            <w:tcW w:type="dxa" w:w="3091"/>
          </w:tcPr>
          <w:p>
            <w:r/>
            <w:r>
              <w:rPr>
                <w:rFonts w:ascii="宋体" w:hAnsi="宋体" w:eastAsia="宋体"/>
                <w:b w:val="0"/>
                <w:sz w:val="20"/>
              </w:rPr>
              <w:t>高</w:t>
            </w:r>
          </w:p>
        </w:tc>
      </w:tr>
      <w:tr>
        <w:tc>
          <w:tcPr>
            <w:tcW w:type="dxa" w:w="3091"/>
          </w:tcPr>
          <w:p>
            <w:r/>
            <w:r>
              <w:rPr>
                <w:rFonts w:ascii="宋体" w:hAnsi="宋体" w:eastAsia="宋体"/>
                <w:b w:val="0"/>
                <w:sz w:val="20"/>
              </w:rPr>
              <w:t>软著/专利计划</w:t>
            </w:r>
          </w:p>
        </w:tc>
        <w:tc>
          <w:tcPr>
            <w:tcW w:type="dxa" w:w="3091"/>
          </w:tcPr>
          <w:p>
            <w:r/>
            <w:r>
              <w:rPr>
                <w:rFonts w:ascii="宋体" w:hAnsi="宋体" w:eastAsia="宋体"/>
                <w:b w:val="0"/>
                <w:sz w:val="20"/>
              </w:rPr>
              <w:t>增强技术壁垒</w:t>
            </w:r>
          </w:p>
        </w:tc>
        <w:tc>
          <w:tcPr>
            <w:tcW w:type="dxa" w:w="3091"/>
          </w:tcPr>
          <w:p>
            <w:r/>
            <w:r>
              <w:rPr>
                <w:rFonts w:ascii="宋体" w:hAnsi="宋体" w:eastAsia="宋体"/>
                <w:b w:val="0"/>
                <w:sz w:val="20"/>
              </w:rPr>
              <w:t>中</w:t>
            </w:r>
          </w:p>
        </w:tc>
      </w:tr>
      <w:tr>
        <w:tc>
          <w:tcPr>
            <w:tcW w:type="dxa" w:w="3091"/>
          </w:tcPr>
          <w:p>
            <w:r/>
            <w:r>
              <w:rPr>
                <w:rFonts w:ascii="宋体" w:hAnsi="宋体" w:eastAsia="宋体"/>
                <w:b w:val="0"/>
                <w:sz w:val="20"/>
              </w:rPr>
              <w:t>路演 PPT 和演示视频</w:t>
            </w:r>
          </w:p>
        </w:tc>
        <w:tc>
          <w:tcPr>
            <w:tcW w:type="dxa" w:w="3091"/>
          </w:tcPr>
          <w:p>
            <w:r/>
            <w:r>
              <w:rPr>
                <w:rFonts w:ascii="宋体" w:hAnsi="宋体" w:eastAsia="宋体"/>
                <w:b w:val="0"/>
                <w:sz w:val="20"/>
              </w:rPr>
              <w:t>提升比赛展示效果</w:t>
            </w:r>
          </w:p>
        </w:tc>
        <w:tc>
          <w:tcPr>
            <w:tcW w:type="dxa" w:w="3091"/>
          </w:tcPr>
          <w:p>
            <w:r/>
            <w:r>
              <w:rPr>
                <w:rFonts w:ascii="宋体" w:hAnsi="宋体" w:eastAsia="宋体"/>
                <w:b w:val="0"/>
                <w:sz w:val="20"/>
              </w:rPr>
              <w:t>高</w:t>
            </w:r>
          </w:p>
        </w:tc>
      </w:tr>
    </w:tbl>
    <w:p>
      <w:pPr>
        <w:spacing w:line="300" w:lineRule="auto" w:after="0"/>
        <w:jc w:val="left"/>
      </w:pPr>
      <w:r>
        <w:rPr>
          <w:rFonts w:ascii="宋体" w:hAnsi="宋体" w:eastAsia="宋体"/>
          <w:b w:val="0"/>
          <w:sz w:val="24"/>
        </w:rPr>
      </w:r>
    </w:p>
    <w:p>
      <w:pPr>
        <w:spacing w:line="300" w:lineRule="auto" w:after="0"/>
        <w:ind w:firstLine="480"/>
        <w:jc w:val="left"/>
      </w:pPr>
      <w:r>
        <w:rPr>
          <w:rFonts w:ascii="宋体" w:hAnsi="宋体" w:eastAsia="宋体"/>
          <w:b w:val="0"/>
          <w:sz w:val="24"/>
        </w:rPr>
        <w:t>至此，本商业计划书已形成“政策窗口—行业痛点—产品方案—商业模式—财务预测—团队能力—实施路径”的完整闭环。后续若能补充真实访谈、校内路线和演示视频，项目可信度将进一步提升。</w:t>
      </w:r>
    </w:p>
    <w:sectPr w:rsidR="00FC693F" w:rsidRPr="0006063C" w:rsidSect="00034616">
      <w:headerReference w:type="default" r:id="rId9"/>
      <w:pgSz w:w="12240" w:h="15840"/>
      <w:pgMar w:top="1094" w:right="1483" w:bottom="1008" w:left="1483" w:header="475"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000000"/>
        <w:sz w:val="21"/>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outlineLvl w:val="0"/>
    </w:pPr>
    <w:rPr>
      <w:rFonts w:asciiTheme="majorHAnsi" w:eastAsiaTheme="majorEastAsia" w:hAnsiTheme="majorHAnsi" w:cstheme="majorBidi" w:ascii="黑体" w:hAnsi="黑体" w:eastAsia="黑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ind w:firstLine="0"/>
      <w:outlineLvl w:val="1"/>
    </w:pPr>
    <w:rPr>
      <w:rFonts w:asciiTheme="majorHAnsi" w:eastAsiaTheme="majorEastAsia" w:hAnsiTheme="majorHAnsi" w:cstheme="majorBidi" w:ascii="黑体" w:hAnsi="黑体" w:eastAsia="黑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黑体" w:hAnsi="黑体" w:eastAsia="黑体"/>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