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80" w:before="0"/>
        <w:jc w:val="left"/>
      </w:pPr>
      <w:r>
        <w:rPr>
          <w:rFonts w:ascii="宋体" w:hAnsi="宋体" w:eastAsia="宋体"/>
          <w:b w:val="0"/>
          <w:color w:val="000000"/>
          <w:sz w:val="24"/>
        </w:rPr>
      </w:r>
    </w:p>
    <w:p>
      <w:pPr>
        <w:spacing w:line="300" w:lineRule="auto" w:after="80" w:before="0"/>
        <w:jc w:val="left"/>
      </w:pPr>
      <w:r>
        <w:rPr>
          <w:rFonts w:ascii="宋体" w:hAnsi="宋体" w:eastAsia="宋体"/>
          <w:b w:val="0"/>
          <w:color w:val="000000"/>
          <w:sz w:val="24"/>
        </w:rPr>
      </w:r>
    </w:p>
    <w:p>
      <w:pPr>
        <w:spacing w:line="300" w:lineRule="auto" w:after="560" w:before="0"/>
        <w:jc w:val="center"/>
      </w:pPr>
      <w:r>
        <w:rPr>
          <w:rFonts w:ascii="宋体" w:hAnsi="宋体" w:eastAsia="宋体"/>
          <w:b/>
          <w:color w:val="000000"/>
          <w:sz w:val="52"/>
        </w:rPr>
        <w:t>2026 年</w:t>
      </w:r>
    </w:p>
    <w:p>
      <w:pPr>
        <w:spacing w:line="300" w:lineRule="auto" w:after="560" w:before="0"/>
        <w:jc w:val="center"/>
      </w:pPr>
      <w:r>
        <w:rPr>
          <w:rFonts w:ascii="宋体" w:hAnsi="宋体" w:eastAsia="宋体"/>
          <w:b/>
          <w:color w:val="000000"/>
          <w:sz w:val="48"/>
        </w:rPr>
        <w:t>中国国际大学生创新大赛</w:t>
      </w:r>
    </w:p>
    <w:p>
      <w:pPr>
        <w:spacing w:line="300" w:lineRule="auto" w:after="2640" w:before="0"/>
        <w:jc w:val="center"/>
      </w:pPr>
      <w:r>
        <w:rPr>
          <w:rFonts w:ascii="宋体" w:hAnsi="宋体" w:eastAsia="宋体"/>
          <w:b/>
          <w:color w:val="000000"/>
          <w:sz w:val="48"/>
        </w:rPr>
        <w:t>商业计划书</w:t>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项目名称：</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“空地绿配智控平台”——基于 ALNS 的 UAV-AGV 协同</w:t>
            </w:r>
          </w:p>
        </w:tc>
      </w:tr>
    </w:tbl>
    <w:p>
      <w:pPr>
        <w:spacing w:line="300" w:lineRule="auto" w:after="8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低空绿色物流决策系统</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参赛赛道：</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高教主赛道（商业类）</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负责人：</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王港辉</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团队成员：</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计算机科学与工程学院本科生团队</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指导老师：</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舒红梅</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所属学校/单位：</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湖南科技大学</w:t>
            </w:r>
          </w:p>
        </w:tc>
      </w:tr>
    </w:tbl>
    <w:p>
      <w:pPr>
        <w:spacing w:line="300" w:lineRule="auto" w:after="400" w:before="0"/>
        <w:jc w:val="left"/>
      </w:pPr>
      <w:r>
        <w:rPr>
          <w:rFonts w:ascii="宋体" w:hAnsi="宋体" w:eastAsia="宋体"/>
          <w:b w:val="0"/>
          <w:color w:val="000000"/>
          <w:sz w:val="24"/>
        </w:rPr>
      </w:r>
    </w:p>
    <w:tbl>
      <w:tblPr>
        <w:tblW w:type="auto" w:w="0"/>
        <w:jc w:val="center"/>
        <w:tblLayout w:type="fixed"/>
        <w:tblLook w:firstColumn="1" w:firstRow="1" w:lastColumn="0" w:lastRow="0" w:noHBand="0" w:noVBand="1" w:val="04A0"/>
      </w:tblPr>
      <w:tblGrid>
        <w:gridCol w:w="2592"/>
        <w:gridCol w:w="7920"/>
      </w:tblGrid>
      <w:tr>
        <w:trPr>
          <w:trHeight w:val="662"/>
        </w:trPr>
        <w:tc>
          <w:tcPr>
            <w:tcW w:type="dxa" w:w="4637"/>
            <w:tcBorders>
              <w:top w:val="nil"/>
              <w:left w:val="nil"/>
              <w:bottom w:val="nil"/>
              <w:right w:val="nil"/>
              <w:insideH w:val="nil"/>
              <w:insideV w:val="nil"/>
            </w:tcBorders>
            <w:vAlign w:val="center"/>
          </w:tcPr>
          <w:p>
            <w:pPr>
              <w:spacing w:line="264" w:lineRule="auto" w:after="0"/>
              <w:jc w:val="left"/>
            </w:pPr>
            <w:r/>
            <w:r>
              <w:rPr>
                <w:rFonts w:ascii="宋体" w:hAnsi="宋体" w:eastAsia="宋体"/>
                <w:b w:val="0"/>
                <w:color w:val="000000"/>
                <w:sz w:val="30"/>
              </w:rPr>
              <w:t>提交日期：</w:t>
            </w:r>
          </w:p>
        </w:tc>
        <w:tc>
          <w:tcPr>
            <w:tcW w:type="dxa" w:w="4637"/>
            <w:tcBorders>
              <w:top w:val="nil"/>
              <w:left w:val="nil"/>
              <w:bottom w:val="single" w:sz="8" w:space="0" w:color="000000"/>
              <w:right w:val="nil"/>
              <w:insideH w:val="nil"/>
              <w:insideV w:val="nil"/>
            </w:tcBorders>
            <w:vAlign w:val="center"/>
          </w:tcPr>
          <w:p>
            <w:pPr>
              <w:spacing w:line="264" w:lineRule="auto" w:after="0"/>
              <w:jc w:val="center"/>
            </w:pPr>
            <w:r/>
            <w:r>
              <w:rPr>
                <w:rFonts w:ascii="宋体" w:hAnsi="宋体" w:eastAsia="宋体"/>
                <w:b w:val="0"/>
                <w:color w:val="000000"/>
                <w:sz w:val="30"/>
              </w:rPr>
              <w:t>2026 年 5 月</w:t>
            </w:r>
          </w:p>
        </w:tc>
      </w:tr>
    </w:tbl>
    <w:p>
      <w:pPr>
        <w:spacing w:line="300" w:lineRule="auto" w:after="0" w:before="0"/>
        <w:jc w:val="left"/>
      </w:pPr>
      <w:r>
        <w:rPr>
          <w:rFonts w:ascii="宋体" w:hAnsi="宋体" w:eastAsia="宋体"/>
          <w:b w:val="0"/>
          <w:color w:val="000000"/>
          <w:sz w:val="24"/>
        </w:rPr>
      </w:r>
    </w:p>
    <w:p>
      <w:r>
        <w:br w:type="page"/>
      </w:r>
    </w:p>
    <w:p>
      <w:pPr>
        <w:spacing w:line="300" w:lineRule="auto" w:after="280" w:before="0"/>
        <w:jc w:val="center"/>
      </w:pPr>
      <w:r>
        <w:rPr>
          <w:rFonts w:ascii="黑体" w:hAnsi="黑体" w:eastAsia="黑体"/>
          <w:b/>
          <w:color w:val="000000"/>
          <w:sz w:val="36"/>
        </w:rPr>
        <w:t>目录</w:t>
      </w:r>
    </w:p>
    <w:p>
      <w:pPr>
        <w:spacing w:after="20"/>
        <w:ind w:left="0"/>
      </w:pPr>
      <w:r>
        <w:rPr>
          <w:rFonts w:ascii="宋体" w:hAnsi="宋体" w:eastAsia="宋体"/>
          <w:b w:val="0"/>
          <w:color w:val="000000"/>
          <w:sz w:val="22"/>
        </w:rPr>
        <w:t>第 1 章 项目概述</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1.1 2026 低空经济痛点</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1.2 项目简介</w:t>
      </w:r>
      <w:r>
        <w:rPr>
          <w:rFonts w:ascii="宋体" w:hAnsi="宋体" w:eastAsia="宋体"/>
          <w:b w:val="0"/>
          <w:color w:val="000000"/>
          <w:sz w:val="22"/>
        </w:rPr>
        <w:t xml:space="preserve"> .............................................. </w:t>
      </w:r>
      <w:r>
        <w:rPr>
          <w:rFonts w:ascii="宋体" w:hAnsi="宋体" w:eastAsia="宋体"/>
          <w:b w:val="0"/>
          <w:color w:val="000000"/>
          <w:sz w:val="22"/>
        </w:rPr>
        <w:t>1</w:t>
      </w:r>
    </w:p>
    <w:p>
      <w:pPr>
        <w:spacing w:after="20"/>
        <w:ind w:left="360"/>
      </w:pPr>
      <w:r>
        <w:rPr>
          <w:rFonts w:ascii="宋体" w:hAnsi="宋体" w:eastAsia="宋体"/>
          <w:b w:val="0"/>
          <w:color w:val="000000"/>
          <w:sz w:val="22"/>
        </w:rPr>
        <w:t>1.3 核心卖点</w:t>
      </w:r>
      <w:r>
        <w:rPr>
          <w:rFonts w:ascii="宋体" w:hAnsi="宋体" w:eastAsia="宋体"/>
          <w:b w:val="0"/>
          <w:color w:val="000000"/>
          <w:sz w:val="22"/>
        </w:rPr>
        <w:t xml:space="preserve"> .............................................. </w:t>
      </w:r>
      <w:r>
        <w:rPr>
          <w:rFonts w:ascii="宋体" w:hAnsi="宋体" w:eastAsia="宋体"/>
          <w:b w:val="0"/>
          <w:color w:val="000000"/>
          <w:sz w:val="22"/>
        </w:rPr>
        <w:t>3</w:t>
      </w:r>
    </w:p>
    <w:p>
      <w:pPr>
        <w:spacing w:after="20"/>
        <w:ind w:left="360"/>
      </w:pPr>
      <w:r>
        <w:rPr>
          <w:rFonts w:ascii="宋体" w:hAnsi="宋体" w:eastAsia="宋体"/>
          <w:b w:val="0"/>
          <w:color w:val="000000"/>
          <w:sz w:val="22"/>
        </w:rPr>
        <w:t>1.4 阶段成果</w:t>
      </w:r>
      <w:r>
        <w:rPr>
          <w:rFonts w:ascii="宋体" w:hAnsi="宋体" w:eastAsia="宋体"/>
          <w:b w:val="0"/>
          <w:color w:val="000000"/>
          <w:sz w:val="22"/>
        </w:rPr>
        <w:t xml:space="preserve"> .............................................. </w:t>
      </w:r>
      <w:r>
        <w:rPr>
          <w:rFonts w:ascii="宋体" w:hAnsi="宋体" w:eastAsia="宋体"/>
          <w:b w:val="0"/>
          <w:color w:val="000000"/>
          <w:sz w:val="22"/>
        </w:rPr>
        <w:t>4</w:t>
      </w:r>
    </w:p>
    <w:p>
      <w:pPr>
        <w:spacing w:after="20"/>
        <w:ind w:left="360"/>
      </w:pPr>
      <w:r>
        <w:rPr>
          <w:rFonts w:ascii="宋体" w:hAnsi="宋体" w:eastAsia="宋体"/>
          <w:b w:val="0"/>
          <w:color w:val="000000"/>
          <w:sz w:val="22"/>
        </w:rPr>
        <w:t>1.5 参赛价值</w:t>
      </w:r>
      <w:r>
        <w:rPr>
          <w:rFonts w:ascii="宋体" w:hAnsi="宋体" w:eastAsia="宋体"/>
          <w:b w:val="0"/>
          <w:color w:val="000000"/>
          <w:sz w:val="22"/>
        </w:rPr>
        <w:t xml:space="preserve"> .............................................. </w:t>
      </w:r>
      <w:r>
        <w:rPr>
          <w:rFonts w:ascii="宋体" w:hAnsi="宋体" w:eastAsia="宋体"/>
          <w:b w:val="0"/>
          <w:color w:val="000000"/>
          <w:sz w:val="22"/>
        </w:rPr>
        <w:t>5</w:t>
      </w:r>
    </w:p>
    <w:p>
      <w:pPr>
        <w:spacing w:after="20"/>
        <w:ind w:left="0"/>
      </w:pPr>
      <w:r>
        <w:rPr>
          <w:rFonts w:ascii="宋体" w:hAnsi="宋体" w:eastAsia="宋体"/>
          <w:b w:val="0"/>
          <w:color w:val="000000"/>
          <w:sz w:val="22"/>
        </w:rPr>
        <w:t>第 2 章 市场分析</w:t>
      </w:r>
      <w:r>
        <w:rPr>
          <w:rFonts w:ascii="宋体" w:hAnsi="宋体" w:eastAsia="宋体"/>
          <w:b w:val="0"/>
          <w:color w:val="000000"/>
          <w:sz w:val="22"/>
        </w:rPr>
        <w:t xml:space="preserve"> .............................................. </w:t>
      </w:r>
      <w:r>
        <w:rPr>
          <w:rFonts w:ascii="宋体" w:hAnsi="宋体" w:eastAsia="宋体"/>
          <w:b w:val="0"/>
          <w:color w:val="000000"/>
          <w:sz w:val="22"/>
        </w:rPr>
        <w:t>6</w:t>
      </w:r>
    </w:p>
    <w:p>
      <w:pPr>
        <w:spacing w:after="20"/>
        <w:ind w:left="360"/>
      </w:pPr>
      <w:r>
        <w:rPr>
          <w:rFonts w:ascii="宋体" w:hAnsi="宋体" w:eastAsia="宋体"/>
          <w:b w:val="0"/>
          <w:color w:val="000000"/>
          <w:sz w:val="22"/>
        </w:rPr>
        <w:t>2.1 PEST 分析</w:t>
      </w:r>
      <w:r>
        <w:rPr>
          <w:rFonts w:ascii="宋体" w:hAnsi="宋体" w:eastAsia="宋体"/>
          <w:b w:val="0"/>
          <w:color w:val="000000"/>
          <w:sz w:val="22"/>
        </w:rPr>
        <w:t xml:space="preserve"> ........................................ </w:t>
      </w:r>
      <w:r>
        <w:rPr>
          <w:rFonts w:ascii="宋体" w:hAnsi="宋体" w:eastAsia="宋体"/>
          <w:b w:val="0"/>
          <w:color w:val="000000"/>
          <w:sz w:val="22"/>
        </w:rPr>
        <w:t>6</w:t>
      </w:r>
    </w:p>
    <w:p>
      <w:pPr>
        <w:spacing w:after="20"/>
        <w:ind w:left="360"/>
      </w:pPr>
      <w:r>
        <w:rPr>
          <w:rFonts w:ascii="宋体" w:hAnsi="宋体" w:eastAsia="宋体"/>
          <w:b w:val="0"/>
          <w:color w:val="000000"/>
          <w:sz w:val="22"/>
        </w:rPr>
        <w:t>2.2 客户画像</w:t>
      </w:r>
      <w:r>
        <w:rPr>
          <w:rFonts w:ascii="宋体" w:hAnsi="宋体" w:eastAsia="宋体"/>
          <w:b w:val="0"/>
          <w:color w:val="000000"/>
          <w:sz w:val="22"/>
        </w:rPr>
        <w:t xml:space="preserve"> .............................................. </w:t>
      </w:r>
      <w:r>
        <w:rPr>
          <w:rFonts w:ascii="宋体" w:hAnsi="宋体" w:eastAsia="宋体"/>
          <w:b w:val="0"/>
          <w:color w:val="000000"/>
          <w:sz w:val="22"/>
        </w:rPr>
        <w:t>9</w:t>
      </w:r>
    </w:p>
    <w:p>
      <w:pPr>
        <w:spacing w:after="20"/>
        <w:ind w:left="360"/>
      </w:pPr>
      <w:r>
        <w:rPr>
          <w:rFonts w:ascii="宋体" w:hAnsi="宋体" w:eastAsia="宋体"/>
          <w:b w:val="0"/>
          <w:color w:val="000000"/>
          <w:sz w:val="22"/>
        </w:rPr>
        <w:t>2.3 市场规模与切入路径</w:t>
      </w:r>
      <w:r>
        <w:rPr>
          <w:rFonts w:ascii="宋体" w:hAnsi="宋体" w:eastAsia="宋体"/>
          <w:b w:val="0"/>
          <w:color w:val="000000"/>
          <w:sz w:val="22"/>
        </w:rPr>
        <w:t xml:space="preserve"> .................................... </w:t>
      </w:r>
      <w:r>
        <w:rPr>
          <w:rFonts w:ascii="宋体" w:hAnsi="宋体" w:eastAsia="宋体"/>
          <w:b w:val="0"/>
          <w:color w:val="000000"/>
          <w:sz w:val="22"/>
        </w:rPr>
        <w:t>10</w:t>
      </w:r>
    </w:p>
    <w:p>
      <w:pPr>
        <w:spacing w:after="20"/>
        <w:ind w:left="360"/>
      </w:pPr>
      <w:r>
        <w:rPr>
          <w:rFonts w:ascii="宋体" w:hAnsi="宋体" w:eastAsia="宋体"/>
          <w:b w:val="0"/>
          <w:color w:val="000000"/>
          <w:sz w:val="22"/>
        </w:rPr>
        <w:t>2.4 竞品分析</w:t>
      </w:r>
      <w:r>
        <w:rPr>
          <w:rFonts w:ascii="宋体" w:hAnsi="宋体" w:eastAsia="宋体"/>
          <w:b w:val="0"/>
          <w:color w:val="000000"/>
          <w:sz w:val="22"/>
        </w:rPr>
        <w:t xml:space="preserve"> .............................................. </w:t>
      </w:r>
      <w:r>
        <w:rPr>
          <w:rFonts w:ascii="宋体" w:hAnsi="宋体" w:eastAsia="宋体"/>
          <w:b w:val="0"/>
          <w:color w:val="000000"/>
          <w:sz w:val="22"/>
        </w:rPr>
        <w:t>12</w:t>
      </w:r>
    </w:p>
    <w:p>
      <w:pPr>
        <w:spacing w:after="20"/>
        <w:ind w:left="360"/>
      </w:pPr>
      <w:r>
        <w:rPr>
          <w:rFonts w:ascii="宋体" w:hAnsi="宋体" w:eastAsia="宋体"/>
          <w:b w:val="0"/>
          <w:color w:val="000000"/>
          <w:sz w:val="22"/>
        </w:rPr>
        <w:t>2.5 进入壁垒</w:t>
      </w:r>
      <w:r>
        <w:rPr>
          <w:rFonts w:ascii="宋体" w:hAnsi="宋体" w:eastAsia="宋体"/>
          <w:b w:val="0"/>
          <w:color w:val="000000"/>
          <w:sz w:val="22"/>
        </w:rPr>
        <w:t xml:space="preserve"> .............................................. </w:t>
      </w:r>
      <w:r>
        <w:rPr>
          <w:rFonts w:ascii="宋体" w:hAnsi="宋体" w:eastAsia="宋体"/>
          <w:b w:val="0"/>
          <w:color w:val="000000"/>
          <w:sz w:val="22"/>
        </w:rPr>
        <w:t>13</w:t>
      </w:r>
    </w:p>
    <w:p>
      <w:pPr>
        <w:spacing w:after="20"/>
        <w:ind w:left="0"/>
      </w:pPr>
      <w:r>
        <w:rPr>
          <w:rFonts w:ascii="宋体" w:hAnsi="宋体" w:eastAsia="宋体"/>
          <w:b w:val="0"/>
          <w:color w:val="000000"/>
          <w:sz w:val="22"/>
        </w:rPr>
        <w:t>第 3 章 产品与技术</w:t>
      </w:r>
      <w:r>
        <w:rPr>
          <w:rFonts w:ascii="宋体" w:hAnsi="宋体" w:eastAsia="宋体"/>
          <w:b w:val="0"/>
          <w:color w:val="000000"/>
          <w:sz w:val="22"/>
        </w:rPr>
        <w:t xml:space="preserve"> ............................................ </w:t>
      </w:r>
      <w:r>
        <w:rPr>
          <w:rFonts w:ascii="宋体" w:hAnsi="宋体" w:eastAsia="宋体"/>
          <w:b w:val="0"/>
          <w:color w:val="000000"/>
          <w:sz w:val="22"/>
        </w:rPr>
        <w:t>15</w:t>
      </w:r>
    </w:p>
    <w:p>
      <w:pPr>
        <w:spacing w:after="20"/>
        <w:ind w:left="360"/>
      </w:pPr>
      <w:r>
        <w:rPr>
          <w:rFonts w:ascii="宋体" w:hAnsi="宋体" w:eastAsia="宋体"/>
          <w:b w:val="0"/>
          <w:color w:val="000000"/>
          <w:sz w:val="22"/>
        </w:rPr>
        <w:t>3.1 产品总体设计</w:t>
      </w:r>
      <w:r>
        <w:rPr>
          <w:rFonts w:ascii="宋体" w:hAnsi="宋体" w:eastAsia="宋体"/>
          <w:b w:val="0"/>
          <w:color w:val="000000"/>
          <w:sz w:val="22"/>
        </w:rPr>
        <w:t xml:space="preserve"> .......................................... </w:t>
      </w:r>
      <w:r>
        <w:rPr>
          <w:rFonts w:ascii="宋体" w:hAnsi="宋体" w:eastAsia="宋体"/>
          <w:b w:val="0"/>
          <w:color w:val="000000"/>
          <w:sz w:val="22"/>
        </w:rPr>
        <w:t>15</w:t>
      </w:r>
    </w:p>
    <w:p>
      <w:pPr>
        <w:spacing w:after="20"/>
        <w:ind w:left="360"/>
      </w:pPr>
      <w:r>
        <w:rPr>
          <w:rFonts w:ascii="宋体" w:hAnsi="宋体" w:eastAsia="宋体"/>
          <w:b w:val="0"/>
          <w:color w:val="000000"/>
          <w:sz w:val="22"/>
        </w:rPr>
        <w:t>3.2 软硬件产品形态</w:t>
      </w:r>
      <w:r>
        <w:rPr>
          <w:rFonts w:ascii="宋体" w:hAnsi="宋体" w:eastAsia="宋体"/>
          <w:b w:val="0"/>
          <w:color w:val="000000"/>
          <w:sz w:val="22"/>
        </w:rPr>
        <w:t xml:space="preserve"> ........................................ </w:t>
      </w:r>
      <w:r>
        <w:rPr>
          <w:rFonts w:ascii="宋体" w:hAnsi="宋体" w:eastAsia="宋体"/>
          <w:b w:val="0"/>
          <w:color w:val="000000"/>
          <w:sz w:val="22"/>
        </w:rPr>
        <w:t>16</w:t>
      </w:r>
    </w:p>
    <w:p>
      <w:pPr>
        <w:spacing w:after="20"/>
        <w:ind w:left="360"/>
      </w:pPr>
      <w:r>
        <w:rPr>
          <w:rFonts w:ascii="宋体" w:hAnsi="宋体" w:eastAsia="宋体"/>
          <w:b w:val="0"/>
          <w:color w:val="000000"/>
          <w:sz w:val="22"/>
        </w:rPr>
        <w:t>3.3 技术商业化表达</w:t>
      </w:r>
      <w:r>
        <w:rPr>
          <w:rFonts w:ascii="宋体" w:hAnsi="宋体" w:eastAsia="宋体"/>
          <w:b w:val="0"/>
          <w:color w:val="000000"/>
          <w:sz w:val="22"/>
        </w:rPr>
        <w:t xml:space="preserve"> ........................................ </w:t>
      </w:r>
      <w:r>
        <w:rPr>
          <w:rFonts w:ascii="宋体" w:hAnsi="宋体" w:eastAsia="宋体"/>
          <w:b w:val="0"/>
          <w:color w:val="000000"/>
          <w:sz w:val="22"/>
        </w:rPr>
        <w:t>18</w:t>
      </w:r>
    </w:p>
    <w:p>
      <w:pPr>
        <w:spacing w:after="20"/>
        <w:ind w:left="360"/>
      </w:pPr>
      <w:r>
        <w:rPr>
          <w:rFonts w:ascii="宋体" w:hAnsi="宋体" w:eastAsia="宋体"/>
          <w:b w:val="0"/>
          <w:color w:val="000000"/>
          <w:sz w:val="22"/>
        </w:rPr>
        <w:t>3.4 数据验证与价值测算</w:t>
      </w:r>
      <w:r>
        <w:rPr>
          <w:rFonts w:ascii="宋体" w:hAnsi="宋体" w:eastAsia="宋体"/>
          <w:b w:val="0"/>
          <w:color w:val="000000"/>
          <w:sz w:val="22"/>
        </w:rPr>
        <w:t xml:space="preserve"> .................................... </w:t>
      </w:r>
      <w:r>
        <w:rPr>
          <w:rFonts w:ascii="宋体" w:hAnsi="宋体" w:eastAsia="宋体"/>
          <w:b w:val="0"/>
          <w:color w:val="000000"/>
          <w:sz w:val="22"/>
        </w:rPr>
        <w:t>20</w:t>
      </w:r>
    </w:p>
    <w:p>
      <w:pPr>
        <w:spacing w:after="20"/>
        <w:ind w:left="360"/>
      </w:pPr>
      <w:r>
        <w:rPr>
          <w:rFonts w:ascii="宋体" w:hAnsi="宋体" w:eastAsia="宋体"/>
          <w:b w:val="0"/>
          <w:color w:val="000000"/>
          <w:sz w:val="22"/>
        </w:rPr>
        <w:t>3.5 产品路线</w:t>
      </w:r>
      <w:r>
        <w:rPr>
          <w:rFonts w:ascii="宋体" w:hAnsi="宋体" w:eastAsia="宋体"/>
          <w:b w:val="0"/>
          <w:color w:val="000000"/>
          <w:sz w:val="22"/>
        </w:rPr>
        <w:t xml:space="preserve"> .............................................. </w:t>
      </w:r>
      <w:r>
        <w:rPr>
          <w:rFonts w:ascii="宋体" w:hAnsi="宋体" w:eastAsia="宋体"/>
          <w:b w:val="0"/>
          <w:color w:val="000000"/>
          <w:sz w:val="22"/>
        </w:rPr>
        <w:t>22</w:t>
      </w:r>
    </w:p>
    <w:p>
      <w:pPr>
        <w:spacing w:after="20"/>
        <w:ind w:left="0"/>
      </w:pPr>
      <w:r>
        <w:rPr>
          <w:rFonts w:ascii="宋体" w:hAnsi="宋体" w:eastAsia="宋体"/>
          <w:b w:val="0"/>
          <w:color w:val="000000"/>
          <w:sz w:val="22"/>
        </w:rPr>
        <w:t>第 4 章 商业模式</w:t>
      </w:r>
      <w:r>
        <w:rPr>
          <w:rFonts w:ascii="宋体" w:hAnsi="宋体" w:eastAsia="宋体"/>
          <w:b w:val="0"/>
          <w:color w:val="000000"/>
          <w:sz w:val="22"/>
        </w:rPr>
        <w:t xml:space="preserve"> .............................................. </w:t>
      </w:r>
      <w:r>
        <w:rPr>
          <w:rFonts w:ascii="宋体" w:hAnsi="宋体" w:eastAsia="宋体"/>
          <w:b w:val="0"/>
          <w:color w:val="000000"/>
          <w:sz w:val="22"/>
        </w:rPr>
        <w:t>24</w:t>
      </w:r>
    </w:p>
    <w:p>
      <w:pPr>
        <w:spacing w:after="20"/>
        <w:ind w:left="0"/>
      </w:pPr>
      <w:r>
        <w:rPr>
          <w:rFonts w:ascii="宋体" w:hAnsi="宋体" w:eastAsia="宋体"/>
          <w:b w:val="0"/>
          <w:color w:val="000000"/>
          <w:sz w:val="22"/>
        </w:rPr>
        <w:t>第 5 章 营销与落地</w:t>
      </w:r>
      <w:r>
        <w:rPr>
          <w:rFonts w:ascii="宋体" w:hAnsi="宋体" w:eastAsia="宋体"/>
          <w:b w:val="0"/>
          <w:color w:val="000000"/>
          <w:sz w:val="22"/>
        </w:rPr>
        <w:t xml:space="preserve"> ............................................ </w:t>
      </w:r>
      <w:r>
        <w:rPr>
          <w:rFonts w:ascii="宋体" w:hAnsi="宋体" w:eastAsia="宋体"/>
          <w:b w:val="0"/>
          <w:color w:val="000000"/>
          <w:sz w:val="22"/>
        </w:rPr>
        <w:t>28</w:t>
      </w:r>
    </w:p>
    <w:p>
      <w:pPr>
        <w:spacing w:after="20"/>
        <w:ind w:left="0"/>
      </w:pPr>
      <w:r>
        <w:rPr>
          <w:rFonts w:ascii="宋体" w:hAnsi="宋体" w:eastAsia="宋体"/>
          <w:b w:val="0"/>
          <w:color w:val="000000"/>
          <w:sz w:val="22"/>
        </w:rPr>
        <w:t>第 6 章 财务分析</w:t>
      </w:r>
      <w:r>
        <w:rPr>
          <w:rFonts w:ascii="宋体" w:hAnsi="宋体" w:eastAsia="宋体"/>
          <w:b w:val="0"/>
          <w:color w:val="000000"/>
          <w:sz w:val="22"/>
        </w:rPr>
        <w:t xml:space="preserve"> .............................................. </w:t>
      </w:r>
      <w:r>
        <w:rPr>
          <w:rFonts w:ascii="宋体" w:hAnsi="宋体" w:eastAsia="宋体"/>
          <w:b w:val="0"/>
          <w:color w:val="000000"/>
          <w:sz w:val="22"/>
        </w:rPr>
        <w:t>31</w:t>
      </w:r>
    </w:p>
    <w:p>
      <w:pPr>
        <w:spacing w:after="20"/>
        <w:ind w:left="0"/>
      </w:pPr>
      <w:r>
        <w:rPr>
          <w:rFonts w:ascii="宋体" w:hAnsi="宋体" w:eastAsia="宋体"/>
          <w:b w:val="0"/>
          <w:color w:val="000000"/>
          <w:sz w:val="22"/>
        </w:rPr>
        <w:t>第 7 章 风险控制</w:t>
      </w:r>
      <w:r>
        <w:rPr>
          <w:rFonts w:ascii="宋体" w:hAnsi="宋体" w:eastAsia="宋体"/>
          <w:b w:val="0"/>
          <w:color w:val="000000"/>
          <w:sz w:val="22"/>
        </w:rPr>
        <w:t xml:space="preserve"> .............................................. </w:t>
      </w:r>
      <w:r>
        <w:rPr>
          <w:rFonts w:ascii="宋体" w:hAnsi="宋体" w:eastAsia="宋体"/>
          <w:b w:val="0"/>
          <w:color w:val="000000"/>
          <w:sz w:val="22"/>
        </w:rPr>
        <w:t>35</w:t>
      </w:r>
    </w:p>
    <w:p>
      <w:pPr>
        <w:spacing w:after="20"/>
        <w:ind w:left="0"/>
      </w:pPr>
      <w:r>
        <w:rPr>
          <w:rFonts w:ascii="宋体" w:hAnsi="宋体" w:eastAsia="宋体"/>
          <w:b w:val="0"/>
          <w:color w:val="000000"/>
          <w:sz w:val="22"/>
        </w:rPr>
        <w:t>第 8 章 项目团队</w:t>
      </w:r>
      <w:r>
        <w:rPr>
          <w:rFonts w:ascii="宋体" w:hAnsi="宋体" w:eastAsia="宋体"/>
          <w:b w:val="0"/>
          <w:color w:val="000000"/>
          <w:sz w:val="22"/>
        </w:rPr>
        <w:t xml:space="preserve"> .............................................. </w:t>
      </w:r>
      <w:r>
        <w:rPr>
          <w:rFonts w:ascii="宋体" w:hAnsi="宋体" w:eastAsia="宋体"/>
          <w:b w:val="0"/>
          <w:color w:val="000000"/>
          <w:sz w:val="22"/>
        </w:rPr>
        <w:t>37</w:t>
      </w:r>
    </w:p>
    <w:p>
      <w:pPr>
        <w:spacing w:after="20"/>
        <w:ind w:left="0"/>
      </w:pPr>
      <w:r>
        <w:rPr>
          <w:rFonts w:ascii="宋体" w:hAnsi="宋体" w:eastAsia="宋体"/>
          <w:b w:val="0"/>
          <w:color w:val="000000"/>
          <w:sz w:val="22"/>
        </w:rPr>
        <w:t>第 9 章 发展规划</w:t>
      </w:r>
      <w:r>
        <w:rPr>
          <w:rFonts w:ascii="宋体" w:hAnsi="宋体" w:eastAsia="宋体"/>
          <w:b w:val="0"/>
          <w:color w:val="000000"/>
          <w:sz w:val="22"/>
        </w:rPr>
        <w:t xml:space="preserve"> .............................................. </w:t>
      </w:r>
      <w:r>
        <w:rPr>
          <w:rFonts w:ascii="宋体" w:hAnsi="宋体" w:eastAsia="宋体"/>
          <w:b w:val="0"/>
          <w:color w:val="000000"/>
          <w:sz w:val="22"/>
        </w:rPr>
        <w:t>40</w:t>
      </w:r>
    </w:p>
    <w:p>
      <w:r>
        <w:br w:type="page"/>
      </w:r>
    </w:p>
    <w:p>
      <w:pPr>
        <w:sectPr>
          <w:pgSz w:w="12240" w:h="15840"/>
          <w:pgMar w:top="1094" w:right="1483" w:bottom="1008" w:left="1483" w:header="475" w:footer="475" w:gutter="0"/>
          <w:cols w:space="720"/>
          <w:docGrid w:linePitch="360"/>
        </w:sectPr>
      </w:pPr>
    </w:p>
    <w:p>
      <w:pPr>
        <w:pStyle w:val="Heading1"/>
        <w:jc w:val="center"/>
      </w:pPr>
      <w:r>
        <w:rPr>
          <w:rFonts w:ascii="黑体" w:hAnsi="黑体" w:eastAsia="黑体"/>
          <w:b w:val="0"/>
          <w:color w:val="000000"/>
          <w:sz w:val="32"/>
        </w:rPr>
        <w:t>第 1 章 项目概述</w:t>
      </w:r>
    </w:p>
    <w:p>
      <w:pPr>
        <w:pStyle w:val="Heading2"/>
        <w:jc w:val="left"/>
      </w:pPr>
      <w:r>
        <w:rPr>
          <w:rFonts w:ascii="黑体" w:hAnsi="黑体" w:eastAsia="黑体"/>
          <w:b w:val="0"/>
          <w:color w:val="000000"/>
          <w:sz w:val="28"/>
        </w:rPr>
        <w:t>1.1 2026 低空经济痛点</w:t>
      </w:r>
    </w:p>
    <w:p>
      <w:pPr>
        <w:spacing w:line="300" w:lineRule="auto" w:after="0" w:before="0"/>
        <w:ind w:firstLine="480"/>
        <w:jc w:val="left"/>
      </w:pPr>
      <w:r>
        <w:rPr>
          <w:rFonts w:ascii="宋体" w:hAnsi="宋体" w:eastAsia="宋体"/>
          <w:b w:val="0"/>
          <w:color w:val="000000"/>
          <w:sz w:val="24"/>
        </w:rPr>
        <w:t>2026 年低空经济爆发，但最后一公里配送仍卡在“飞不远、走不快、算不清”三道门槛上：纯无人机续航短、回收难，纯无人车绕行多、效率低，传统人工配送成本高、碳排重。真正能规模化落地的答案，不是单一设备，而是空地协同。</w:t>
      </w:r>
    </w:p>
    <w:p>
      <w:pPr>
        <w:spacing w:line="300" w:lineRule="auto" w:after="0" w:before="0"/>
        <w:ind w:firstLine="480"/>
        <w:jc w:val="left"/>
      </w:pPr>
      <w:r>
        <w:rPr>
          <w:rFonts w:ascii="宋体" w:hAnsi="宋体" w:eastAsia="宋体"/>
          <w:b w:val="0"/>
          <w:color w:val="000000"/>
          <w:sz w:val="24"/>
        </w:rPr>
        <w:t>在校园、园区和景区，配送需求高频、区域边界清晰、管理主体明确，是低空物流最适合先行试点的场景。每天大量小件、餐饮、应急物资在楼宇、驿站、服务区之间穿梭，如果仍靠人工和地面车辆，既慢又贵；如果只靠无人机，又会被续航、监管和回收卡住。本项目瞄准的正是这一处产业缝隙。</w:t>
      </w:r>
    </w:p>
    <w:p>
      <w:pPr>
        <w:spacing w:line="300" w:lineRule="auto" w:after="0" w:before="0"/>
        <w:ind w:firstLine="480"/>
        <w:jc w:val="left"/>
      </w:pPr>
      <w:r>
        <w:rPr>
          <w:rFonts w:ascii="宋体" w:hAnsi="宋体" w:eastAsia="宋体"/>
          <w:b w:val="0"/>
          <w:color w:val="000000"/>
          <w:sz w:val="24"/>
        </w:rPr>
        <w:t>“空地绿配智控平台”不是一套单纯的仿真程序，而是低空物流的操作系统：它让无人车成为移动机场和补能平台，让无人机成为空中末端触达工具，让算法成为调度大脑，让绿色成本变成每一单都能计算的经营指标。</w:t>
      </w:r>
    </w:p>
    <w:p>
      <w:pPr>
        <w:pStyle w:val="Heading2"/>
        <w:jc w:val="left"/>
      </w:pPr>
      <w:r>
        <w:rPr>
          <w:rFonts w:ascii="黑体" w:hAnsi="黑体" w:eastAsia="黑体"/>
          <w:b w:val="0"/>
          <w:color w:val="000000"/>
          <w:sz w:val="28"/>
        </w:rPr>
        <w:t>1.2 项目简介</w:t>
      </w:r>
    </w:p>
    <w:p>
      <w:pPr>
        <w:spacing w:line="300" w:lineRule="auto" w:after="0" w:before="0"/>
        <w:ind w:firstLine="480"/>
        <w:jc w:val="left"/>
      </w:pPr>
      <w:r>
        <w:rPr>
          <w:rFonts w:ascii="宋体" w:hAnsi="宋体" w:eastAsia="宋体"/>
          <w:b w:val="0"/>
          <w:color w:val="000000"/>
          <w:sz w:val="24"/>
        </w:rPr>
        <w:t>本项目全称为“空地绿配智控平台”——基于 ALNS 的 UAV-AGV 协同低空绿色物流决策系统。项目面向校园、园区、景区最后一公里配送，构建“单总站发货 + AGV 搭载 UAV + 多候选中继点 + 统一决策 + 动态回退”的协同配送方案。</w:t>
      </w:r>
    </w:p>
    <w:p>
      <w:pPr>
        <w:spacing w:line="300" w:lineRule="auto" w:after="0" w:before="0"/>
        <w:ind w:firstLine="480"/>
        <w:jc w:val="left"/>
      </w:pPr>
      <w:r>
        <w:rPr>
          <w:rFonts w:ascii="宋体" w:hAnsi="宋体" w:eastAsia="宋体"/>
          <w:b w:val="0"/>
          <w:color w:val="000000"/>
          <w:sz w:val="24"/>
        </w:rPr>
        <w:t>系统中，所有 UAV、AGV 和待配送货物初始位于同一快递总站。AGV 沿城市或园区路网行驶，承担地面运输、移动补能、释放回收和中继支撑；UAV 从总站或 AGV 中继点起飞，完成到配送终点的空中末端配送。配送目标是多个终点，中继点不是任务点，而是空地协同的起飞、回收、等待、补能和任务切换节点。</w:t>
      </w:r>
    </w:p>
    <w:p>
      <w:pPr>
        <w:spacing w:line="300" w:lineRule="auto" w:after="0" w:before="0"/>
        <w:ind w:firstLine="480"/>
        <w:jc w:val="left"/>
      </w:pPr>
      <w:r>
        <w:rPr>
          <w:rFonts w:ascii="宋体" w:hAnsi="宋体" w:eastAsia="宋体"/>
          <w:b w:val="0"/>
          <w:color w:val="000000"/>
          <w:sz w:val="24"/>
        </w:rPr>
        <w:t>平台的核心是“智能调度大脑”。它把原本割裂的直送、单中继、多中继支援统一放入同一个候选方案空间，由 ALNS 效率引擎自动搜索综合成本最低的方案。平台不是问“用不用无人机”，而是直接回答：哪一单直送、哪一单中继、AGV 去哪里支援、UAV 何时起飞、异常时如何回退。</w:t>
      </w:r>
    </w:p>
    <w:p>
      <w:pPr>
        <w:spacing w:line="300" w:lineRule="auto" w:after="0" w:before="0"/>
        <w:ind w:firstLine="480"/>
        <w:jc w:val="left"/>
      </w:pPr>
      <w:r>
        <w:rPr>
          <w:rFonts w:ascii="宋体" w:hAnsi="宋体" w:eastAsia="宋体"/>
          <w:b w:val="0"/>
          <w:color w:val="000000"/>
          <w:sz w:val="24"/>
        </w:rPr>
        <w:t>现有仿真系统已完成基础能力闭环，包含 UAV/AGV 实体、能耗模型、路径规划、调度系统、策略对比和可视化结果。阶段性测试显示，协同中继策略相比基线直送，单任务能耗下降约 18.9%，单位距离能耗下降约 17.3%，完成率和准时率由 70% 提升至 100%。这说明项目不是概念包装，而是已具备数据支撑的商业化雏形。</w:t>
      </w:r>
    </w:p>
    <w:p>
      <w:pPr>
        <w:pStyle w:val="Heading2"/>
        <w:jc w:val="left"/>
      </w:pPr>
      <w:r>
        <w:rPr>
          <w:rFonts w:ascii="黑体" w:hAnsi="黑体" w:eastAsia="黑体"/>
          <w:b w:val="0"/>
          <w:color w:val="000000"/>
          <w:sz w:val="28"/>
        </w:rPr>
        <w:t>1.3 核心卖点</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417"/>
            <w:vAlign w:val="center"/>
          </w:tcPr>
          <w:p>
            <w:pPr>
              <w:spacing w:line="264" w:lineRule="auto" w:after="0"/>
              <w:jc w:val="center"/>
            </w:pPr>
            <w:r/>
            <w:r>
              <w:rPr>
                <w:rFonts w:ascii="宋体" w:hAnsi="宋体" w:eastAsia="宋体"/>
                <w:b/>
                <w:color w:val="000000"/>
                <w:sz w:val="21"/>
              </w:rPr>
              <w:t>卖点</w:t>
            </w:r>
          </w:p>
        </w:tc>
        <w:tc>
          <w:tcPr>
            <w:tcW w:type="dxa" w:w="4082"/>
            <w:vAlign w:val="center"/>
          </w:tcPr>
          <w:p>
            <w:pPr>
              <w:spacing w:line="264" w:lineRule="auto" w:after="0"/>
              <w:jc w:val="center"/>
            </w:pPr>
            <w:r/>
            <w:r>
              <w:rPr>
                <w:rFonts w:ascii="宋体" w:hAnsi="宋体" w:eastAsia="宋体"/>
                <w:b/>
                <w:color w:val="000000"/>
                <w:sz w:val="21"/>
              </w:rPr>
              <w:t>一句话表达</w:t>
            </w:r>
          </w:p>
        </w:tc>
        <w:tc>
          <w:tcPr>
            <w:tcW w:type="dxa" w:w="2721"/>
            <w:vAlign w:val="center"/>
          </w:tcPr>
          <w:p>
            <w:pPr>
              <w:spacing w:line="264" w:lineRule="auto" w:after="0"/>
              <w:jc w:val="center"/>
            </w:pPr>
            <w:r/>
            <w:r>
              <w:rPr>
                <w:rFonts w:ascii="宋体" w:hAnsi="宋体" w:eastAsia="宋体"/>
                <w:b/>
                <w:color w:val="000000"/>
                <w:sz w:val="21"/>
              </w:rPr>
              <w:t>评委关注点</w:t>
            </w:r>
          </w:p>
        </w:tc>
      </w:tr>
      <w:tr>
        <w:tc>
          <w:tcPr>
            <w:tcW w:type="dxa" w:w="1417"/>
            <w:vAlign w:val="center"/>
          </w:tcPr>
          <w:p>
            <w:pPr>
              <w:spacing w:line="264" w:lineRule="auto" w:after="0"/>
              <w:jc w:val="left"/>
            </w:pPr>
            <w:r/>
            <w:r>
              <w:rPr>
                <w:rFonts w:ascii="宋体" w:hAnsi="宋体" w:eastAsia="宋体"/>
                <w:b w:val="0"/>
                <w:color w:val="000000"/>
                <w:sz w:val="20"/>
              </w:rPr>
              <w:t>效率</w:t>
            </w:r>
          </w:p>
        </w:tc>
        <w:tc>
          <w:tcPr>
            <w:tcW w:type="dxa" w:w="4082"/>
            <w:vAlign w:val="center"/>
          </w:tcPr>
          <w:p>
            <w:pPr>
              <w:spacing w:line="264" w:lineRule="auto" w:after="0"/>
              <w:jc w:val="left"/>
            </w:pPr>
            <w:r/>
            <w:r>
              <w:rPr>
                <w:rFonts w:ascii="宋体" w:hAnsi="宋体" w:eastAsia="宋体"/>
                <w:b w:val="0"/>
                <w:color w:val="000000"/>
                <w:sz w:val="20"/>
              </w:rPr>
              <w:t>同样的订单，用更少等待和更短路径完成</w:t>
            </w:r>
          </w:p>
        </w:tc>
        <w:tc>
          <w:tcPr>
            <w:tcW w:type="dxa" w:w="2721"/>
            <w:vAlign w:val="center"/>
          </w:tcPr>
          <w:p>
            <w:pPr>
              <w:spacing w:line="264" w:lineRule="auto" w:after="0"/>
              <w:jc w:val="left"/>
            </w:pPr>
            <w:r/>
            <w:r>
              <w:rPr>
                <w:rFonts w:ascii="宋体" w:hAnsi="宋体" w:eastAsia="宋体"/>
                <w:b w:val="0"/>
                <w:color w:val="000000"/>
                <w:sz w:val="20"/>
              </w:rPr>
              <w:t>完成率、准时率、设备周转</w:t>
            </w:r>
          </w:p>
        </w:tc>
      </w:tr>
      <w:tr>
        <w:tc>
          <w:tcPr>
            <w:tcW w:type="dxa" w:w="1417"/>
            <w:vAlign w:val="center"/>
          </w:tcPr>
          <w:p>
            <w:pPr>
              <w:spacing w:line="264" w:lineRule="auto" w:after="0"/>
              <w:jc w:val="left"/>
            </w:pPr>
            <w:r/>
            <w:r>
              <w:rPr>
                <w:rFonts w:ascii="宋体" w:hAnsi="宋体" w:eastAsia="宋体"/>
                <w:b w:val="0"/>
                <w:color w:val="000000"/>
                <w:sz w:val="20"/>
              </w:rPr>
              <w:t>降本</w:t>
            </w:r>
          </w:p>
        </w:tc>
        <w:tc>
          <w:tcPr>
            <w:tcW w:type="dxa" w:w="4082"/>
            <w:vAlign w:val="center"/>
          </w:tcPr>
          <w:p>
            <w:pPr>
              <w:spacing w:line="264" w:lineRule="auto" w:after="0"/>
              <w:jc w:val="left"/>
            </w:pPr>
            <w:r/>
            <w:r>
              <w:rPr>
                <w:rFonts w:ascii="宋体" w:hAnsi="宋体" w:eastAsia="宋体"/>
                <w:b w:val="0"/>
                <w:color w:val="000000"/>
                <w:sz w:val="20"/>
              </w:rPr>
              <w:t>用算法减少重复路程和无效返航</w:t>
            </w:r>
          </w:p>
        </w:tc>
        <w:tc>
          <w:tcPr>
            <w:tcW w:type="dxa" w:w="2721"/>
            <w:vAlign w:val="center"/>
          </w:tcPr>
          <w:p>
            <w:pPr>
              <w:spacing w:line="264" w:lineRule="auto" w:after="0"/>
              <w:jc w:val="left"/>
            </w:pPr>
            <w:r/>
            <w:r>
              <w:rPr>
                <w:rFonts w:ascii="宋体" w:hAnsi="宋体" w:eastAsia="宋体"/>
                <w:b w:val="0"/>
                <w:color w:val="000000"/>
                <w:sz w:val="20"/>
              </w:rPr>
              <w:t>单票成本、设备利用率</w:t>
            </w:r>
          </w:p>
        </w:tc>
      </w:tr>
      <w:tr>
        <w:tc>
          <w:tcPr>
            <w:tcW w:type="dxa" w:w="1417"/>
            <w:vAlign w:val="center"/>
          </w:tcPr>
          <w:p>
            <w:pPr>
              <w:spacing w:line="264" w:lineRule="auto" w:after="0"/>
              <w:jc w:val="left"/>
            </w:pPr>
            <w:r/>
            <w:r>
              <w:rPr>
                <w:rFonts w:ascii="宋体" w:hAnsi="宋体" w:eastAsia="宋体"/>
                <w:b w:val="0"/>
                <w:color w:val="000000"/>
                <w:sz w:val="20"/>
              </w:rPr>
              <w:t>绿色</w:t>
            </w:r>
          </w:p>
        </w:tc>
        <w:tc>
          <w:tcPr>
            <w:tcW w:type="dxa" w:w="4082"/>
            <w:vAlign w:val="center"/>
          </w:tcPr>
          <w:p>
            <w:pPr>
              <w:spacing w:line="264" w:lineRule="auto" w:after="0"/>
              <w:jc w:val="left"/>
            </w:pPr>
            <w:r/>
            <w:r>
              <w:rPr>
                <w:rFonts w:ascii="宋体" w:hAnsi="宋体" w:eastAsia="宋体"/>
                <w:b w:val="0"/>
                <w:color w:val="000000"/>
                <w:sz w:val="20"/>
              </w:rPr>
              <w:t>单票能耗和单票碳排可量化</w:t>
            </w:r>
          </w:p>
        </w:tc>
        <w:tc>
          <w:tcPr>
            <w:tcW w:type="dxa" w:w="2721"/>
            <w:vAlign w:val="center"/>
          </w:tcPr>
          <w:p>
            <w:pPr>
              <w:spacing w:line="264" w:lineRule="auto" w:after="0"/>
              <w:jc w:val="left"/>
            </w:pPr>
            <w:r/>
            <w:r>
              <w:rPr>
                <w:rFonts w:ascii="宋体" w:hAnsi="宋体" w:eastAsia="宋体"/>
                <w:b w:val="0"/>
                <w:color w:val="000000"/>
                <w:sz w:val="20"/>
              </w:rPr>
              <w:t>绿色校园、绿色园区、碳减排报告</w:t>
            </w:r>
          </w:p>
        </w:tc>
      </w:tr>
      <w:tr>
        <w:tc>
          <w:tcPr>
            <w:tcW w:type="dxa" w:w="1417"/>
            <w:vAlign w:val="center"/>
          </w:tcPr>
          <w:p>
            <w:pPr>
              <w:spacing w:line="264" w:lineRule="auto" w:after="0"/>
              <w:jc w:val="left"/>
            </w:pPr>
            <w:r/>
            <w:r>
              <w:rPr>
                <w:rFonts w:ascii="宋体" w:hAnsi="宋体" w:eastAsia="宋体"/>
                <w:b w:val="0"/>
                <w:color w:val="000000"/>
                <w:sz w:val="20"/>
              </w:rPr>
              <w:t>安全</w:t>
            </w:r>
          </w:p>
        </w:tc>
        <w:tc>
          <w:tcPr>
            <w:tcW w:type="dxa" w:w="4082"/>
            <w:vAlign w:val="center"/>
          </w:tcPr>
          <w:p>
            <w:pPr>
              <w:spacing w:line="264" w:lineRule="auto" w:after="0"/>
              <w:jc w:val="left"/>
            </w:pPr>
            <w:r/>
            <w:r>
              <w:rPr>
                <w:rFonts w:ascii="宋体" w:hAnsi="宋体" w:eastAsia="宋体"/>
                <w:b w:val="0"/>
                <w:color w:val="000000"/>
                <w:sz w:val="20"/>
              </w:rPr>
              <w:t>异常触发动态回退，不让方案一次失败就崩盘</w:t>
            </w:r>
          </w:p>
        </w:tc>
        <w:tc>
          <w:tcPr>
            <w:tcW w:type="dxa" w:w="2721"/>
            <w:vAlign w:val="center"/>
          </w:tcPr>
          <w:p>
            <w:pPr>
              <w:spacing w:line="264" w:lineRule="auto" w:after="0"/>
              <w:jc w:val="left"/>
            </w:pPr>
            <w:r/>
            <w:r>
              <w:rPr>
                <w:rFonts w:ascii="宋体" w:hAnsi="宋体" w:eastAsia="宋体"/>
                <w:b w:val="0"/>
                <w:color w:val="000000"/>
                <w:sz w:val="20"/>
              </w:rPr>
              <w:t>运营可靠性和风险控制</w:t>
            </w:r>
          </w:p>
        </w:tc>
      </w:tr>
      <w:tr>
        <w:tc>
          <w:tcPr>
            <w:tcW w:type="dxa" w:w="1417"/>
            <w:vAlign w:val="center"/>
          </w:tcPr>
          <w:p>
            <w:pPr>
              <w:spacing w:line="264" w:lineRule="auto" w:after="0"/>
              <w:jc w:val="left"/>
            </w:pPr>
            <w:r/>
            <w:r>
              <w:rPr>
                <w:rFonts w:ascii="宋体" w:hAnsi="宋体" w:eastAsia="宋体"/>
                <w:b w:val="0"/>
                <w:color w:val="000000"/>
                <w:sz w:val="20"/>
              </w:rPr>
              <w:t>可复制</w:t>
            </w:r>
          </w:p>
        </w:tc>
        <w:tc>
          <w:tcPr>
            <w:tcW w:type="dxa" w:w="4082"/>
            <w:vAlign w:val="center"/>
          </w:tcPr>
          <w:p>
            <w:pPr>
              <w:spacing w:line="264" w:lineRule="auto" w:after="0"/>
              <w:jc w:val="left"/>
            </w:pPr>
            <w:r/>
            <w:r>
              <w:rPr>
                <w:rFonts w:ascii="宋体" w:hAnsi="宋体" w:eastAsia="宋体"/>
                <w:b w:val="0"/>
                <w:color w:val="000000"/>
                <w:sz w:val="20"/>
              </w:rPr>
              <w:t>从校园样板复制到园区、景区和城市试点</w:t>
            </w:r>
          </w:p>
        </w:tc>
        <w:tc>
          <w:tcPr>
            <w:tcW w:type="dxa" w:w="2721"/>
            <w:vAlign w:val="center"/>
          </w:tcPr>
          <w:p>
            <w:pPr>
              <w:spacing w:line="264" w:lineRule="auto" w:after="0"/>
              <w:jc w:val="left"/>
            </w:pPr>
            <w:r/>
            <w:r>
              <w:rPr>
                <w:rFonts w:ascii="宋体" w:hAnsi="宋体" w:eastAsia="宋体"/>
                <w:b w:val="0"/>
                <w:color w:val="000000"/>
                <w:sz w:val="20"/>
              </w:rPr>
              <w:t>市场扩张能力</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1.4 阶段成果</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701"/>
            <w:vAlign w:val="center"/>
          </w:tcPr>
          <w:p>
            <w:pPr>
              <w:spacing w:line="264" w:lineRule="auto" w:after="0"/>
              <w:jc w:val="center"/>
            </w:pPr>
            <w:r/>
            <w:r>
              <w:rPr>
                <w:rFonts w:ascii="宋体" w:hAnsi="宋体" w:eastAsia="宋体"/>
                <w:b/>
                <w:color w:val="000000"/>
                <w:sz w:val="21"/>
              </w:rPr>
              <w:t>成果类型</w:t>
            </w:r>
          </w:p>
        </w:tc>
        <w:tc>
          <w:tcPr>
            <w:tcW w:type="dxa" w:w="3515"/>
            <w:vAlign w:val="center"/>
          </w:tcPr>
          <w:p>
            <w:pPr>
              <w:spacing w:line="264" w:lineRule="auto" w:after="0"/>
              <w:jc w:val="center"/>
            </w:pPr>
            <w:r/>
            <w:r>
              <w:rPr>
                <w:rFonts w:ascii="宋体" w:hAnsi="宋体" w:eastAsia="宋体"/>
                <w:b/>
                <w:color w:val="000000"/>
                <w:sz w:val="21"/>
              </w:rPr>
              <w:t>当前进展</w:t>
            </w:r>
          </w:p>
        </w:tc>
        <w:tc>
          <w:tcPr>
            <w:tcW w:type="dxa" w:w="3061"/>
            <w:vAlign w:val="center"/>
          </w:tcPr>
          <w:p>
            <w:pPr>
              <w:spacing w:line="264" w:lineRule="auto" w:after="0"/>
              <w:jc w:val="center"/>
            </w:pPr>
            <w:r/>
            <w:r>
              <w:rPr>
                <w:rFonts w:ascii="宋体" w:hAnsi="宋体" w:eastAsia="宋体"/>
                <w:b/>
                <w:color w:val="000000"/>
                <w:sz w:val="21"/>
              </w:rPr>
              <w:t>商业意义</w:t>
            </w:r>
          </w:p>
        </w:tc>
      </w:tr>
      <w:tr>
        <w:tc>
          <w:tcPr>
            <w:tcW w:type="dxa" w:w="1701"/>
            <w:vAlign w:val="center"/>
          </w:tcPr>
          <w:p>
            <w:pPr>
              <w:spacing w:line="264" w:lineRule="auto" w:after="0"/>
              <w:jc w:val="left"/>
            </w:pPr>
            <w:r/>
            <w:r>
              <w:rPr>
                <w:rFonts w:ascii="宋体" w:hAnsi="宋体" w:eastAsia="宋体"/>
                <w:b w:val="0"/>
                <w:color w:val="000000"/>
                <w:sz w:val="20"/>
              </w:rPr>
              <w:t>系统原型</w:t>
            </w:r>
          </w:p>
        </w:tc>
        <w:tc>
          <w:tcPr>
            <w:tcW w:type="dxa" w:w="3515"/>
            <w:vAlign w:val="center"/>
          </w:tcPr>
          <w:p>
            <w:pPr>
              <w:spacing w:line="264" w:lineRule="auto" w:after="0"/>
              <w:jc w:val="left"/>
            </w:pPr>
            <w:r/>
            <w:r>
              <w:rPr>
                <w:rFonts w:ascii="宋体" w:hAnsi="宋体" w:eastAsia="宋体"/>
                <w:b w:val="0"/>
                <w:color w:val="000000"/>
                <w:sz w:val="20"/>
              </w:rPr>
              <w:t>已具备场景配置、路径规划、能耗计算、策略对比和可视化输出</w:t>
            </w:r>
          </w:p>
        </w:tc>
        <w:tc>
          <w:tcPr>
            <w:tcW w:type="dxa" w:w="3061"/>
            <w:vAlign w:val="center"/>
          </w:tcPr>
          <w:p>
            <w:pPr>
              <w:spacing w:line="264" w:lineRule="auto" w:after="0"/>
              <w:jc w:val="left"/>
            </w:pPr>
            <w:r/>
            <w:r>
              <w:rPr>
                <w:rFonts w:ascii="宋体" w:hAnsi="宋体" w:eastAsia="宋体"/>
                <w:b w:val="0"/>
                <w:color w:val="000000"/>
                <w:sz w:val="20"/>
              </w:rPr>
              <w:t>可支撑路演展示和种子用户沟通</w:t>
            </w:r>
          </w:p>
        </w:tc>
      </w:tr>
      <w:tr>
        <w:tc>
          <w:tcPr>
            <w:tcW w:type="dxa" w:w="1701"/>
            <w:vAlign w:val="center"/>
          </w:tcPr>
          <w:p>
            <w:pPr>
              <w:spacing w:line="264" w:lineRule="auto" w:after="0"/>
              <w:jc w:val="left"/>
            </w:pPr>
            <w:r/>
            <w:r>
              <w:rPr>
                <w:rFonts w:ascii="宋体" w:hAnsi="宋体" w:eastAsia="宋体"/>
                <w:b w:val="0"/>
                <w:color w:val="000000"/>
                <w:sz w:val="20"/>
              </w:rPr>
              <w:t>数据验证</w:t>
            </w:r>
          </w:p>
        </w:tc>
        <w:tc>
          <w:tcPr>
            <w:tcW w:type="dxa" w:w="3515"/>
            <w:vAlign w:val="center"/>
          </w:tcPr>
          <w:p>
            <w:pPr>
              <w:spacing w:line="264" w:lineRule="auto" w:after="0"/>
              <w:jc w:val="left"/>
            </w:pPr>
            <w:r/>
            <w:r>
              <w:rPr>
                <w:rFonts w:ascii="宋体" w:hAnsi="宋体" w:eastAsia="宋体"/>
                <w:b w:val="0"/>
                <w:color w:val="000000"/>
                <w:sz w:val="20"/>
              </w:rPr>
              <w:t>单任务能耗下降约 18.9%，单位距离能耗下降约 17.3%</w:t>
            </w:r>
          </w:p>
        </w:tc>
        <w:tc>
          <w:tcPr>
            <w:tcW w:type="dxa" w:w="3061"/>
            <w:vAlign w:val="center"/>
          </w:tcPr>
          <w:p>
            <w:pPr>
              <w:spacing w:line="264" w:lineRule="auto" w:after="0"/>
              <w:jc w:val="left"/>
            </w:pPr>
            <w:r/>
            <w:r>
              <w:rPr>
                <w:rFonts w:ascii="宋体" w:hAnsi="宋体" w:eastAsia="宋体"/>
                <w:b w:val="0"/>
                <w:color w:val="000000"/>
                <w:sz w:val="20"/>
              </w:rPr>
              <w:t>能把绿色价值转化为可量化指标</w:t>
            </w:r>
          </w:p>
        </w:tc>
      </w:tr>
      <w:tr>
        <w:tc>
          <w:tcPr>
            <w:tcW w:type="dxa" w:w="1701"/>
            <w:vAlign w:val="center"/>
          </w:tcPr>
          <w:p>
            <w:pPr>
              <w:spacing w:line="264" w:lineRule="auto" w:after="0"/>
              <w:jc w:val="left"/>
            </w:pPr>
            <w:r/>
            <w:r>
              <w:rPr>
                <w:rFonts w:ascii="宋体" w:hAnsi="宋体" w:eastAsia="宋体"/>
                <w:b w:val="0"/>
                <w:color w:val="000000"/>
                <w:sz w:val="20"/>
              </w:rPr>
              <w:t>策略验证</w:t>
            </w:r>
          </w:p>
        </w:tc>
        <w:tc>
          <w:tcPr>
            <w:tcW w:type="dxa" w:w="3515"/>
            <w:vAlign w:val="center"/>
          </w:tcPr>
          <w:p>
            <w:pPr>
              <w:spacing w:line="264" w:lineRule="auto" w:after="0"/>
              <w:jc w:val="left"/>
            </w:pPr>
            <w:r/>
            <w:r>
              <w:rPr>
                <w:rFonts w:ascii="宋体" w:hAnsi="宋体" w:eastAsia="宋体"/>
                <w:b w:val="0"/>
                <w:color w:val="000000"/>
                <w:sz w:val="20"/>
              </w:rPr>
              <w:t>协同中继完成率、准时率达到 100%（小型仿真场景）</w:t>
            </w:r>
          </w:p>
        </w:tc>
        <w:tc>
          <w:tcPr>
            <w:tcW w:type="dxa" w:w="3061"/>
            <w:vAlign w:val="center"/>
          </w:tcPr>
          <w:p>
            <w:pPr>
              <w:spacing w:line="264" w:lineRule="auto" w:after="0"/>
              <w:jc w:val="left"/>
            </w:pPr>
            <w:r/>
            <w:r>
              <w:rPr>
                <w:rFonts w:ascii="宋体" w:hAnsi="宋体" w:eastAsia="宋体"/>
                <w:b w:val="0"/>
                <w:color w:val="000000"/>
                <w:sz w:val="20"/>
              </w:rPr>
              <w:t>证明空地协同具备效率优势</w:t>
            </w:r>
          </w:p>
        </w:tc>
      </w:tr>
      <w:tr>
        <w:tc>
          <w:tcPr>
            <w:tcW w:type="dxa" w:w="1701"/>
            <w:vAlign w:val="center"/>
          </w:tcPr>
          <w:p>
            <w:pPr>
              <w:spacing w:line="264" w:lineRule="auto" w:after="0"/>
              <w:jc w:val="left"/>
            </w:pPr>
            <w:r/>
            <w:r>
              <w:rPr>
                <w:rFonts w:ascii="宋体" w:hAnsi="宋体" w:eastAsia="宋体"/>
                <w:b w:val="0"/>
                <w:color w:val="000000"/>
                <w:sz w:val="20"/>
              </w:rPr>
              <w:t>团队基础</w:t>
            </w:r>
          </w:p>
        </w:tc>
        <w:tc>
          <w:tcPr>
            <w:tcW w:type="dxa" w:w="3515"/>
            <w:vAlign w:val="center"/>
          </w:tcPr>
          <w:p>
            <w:pPr>
              <w:spacing w:line="264" w:lineRule="auto" w:after="0"/>
              <w:jc w:val="left"/>
            </w:pPr>
            <w:r/>
            <w:r>
              <w:rPr>
                <w:rFonts w:ascii="宋体" w:hAnsi="宋体" w:eastAsia="宋体"/>
                <w:b w:val="0"/>
                <w:color w:val="000000"/>
                <w:sz w:val="20"/>
              </w:rPr>
              <w:t>本科团队已完成仿真系统和商业计划书迭代</w:t>
            </w:r>
          </w:p>
        </w:tc>
        <w:tc>
          <w:tcPr>
            <w:tcW w:type="dxa" w:w="3061"/>
            <w:vAlign w:val="center"/>
          </w:tcPr>
          <w:p>
            <w:pPr>
              <w:spacing w:line="264" w:lineRule="auto" w:after="0"/>
              <w:jc w:val="left"/>
            </w:pPr>
            <w:r/>
            <w:r>
              <w:rPr>
                <w:rFonts w:ascii="宋体" w:hAnsi="宋体" w:eastAsia="宋体"/>
                <w:b w:val="0"/>
                <w:color w:val="000000"/>
                <w:sz w:val="20"/>
              </w:rPr>
              <w:t>执行力强，具备持续打磨能力</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1.5 参赛价值</w:t>
      </w:r>
    </w:p>
    <w:p>
      <w:pPr>
        <w:spacing w:line="300" w:lineRule="auto" w:after="0" w:before="0"/>
        <w:ind w:firstLine="480"/>
        <w:jc w:val="left"/>
      </w:pPr>
      <w:r>
        <w:rPr>
          <w:rFonts w:ascii="宋体" w:hAnsi="宋体" w:eastAsia="宋体"/>
          <w:b w:val="0"/>
          <w:color w:val="000000"/>
          <w:sz w:val="24"/>
        </w:rPr>
        <w:t>本项目适配高教主赛道商业类：一方面，它来自计算机专业知识，能体现算法、调度、能耗建模和系统工程能力；另一方面，它直接回应低空经济、绿色物流和校园园区配送的产业需求，具备清晰客户、清晰收费、清晰扩张路径。项目兼具技术含量、商业想象力和青年团队执行力。</w:t>
      </w:r>
    </w:p>
    <w:p>
      <w:r>
        <w:br w:type="page"/>
      </w:r>
    </w:p>
    <w:p>
      <w:pPr>
        <w:pStyle w:val="Heading1"/>
        <w:jc w:val="center"/>
      </w:pPr>
      <w:r>
        <w:rPr>
          <w:rFonts w:ascii="黑体" w:hAnsi="黑体" w:eastAsia="黑体"/>
          <w:b w:val="0"/>
          <w:color w:val="000000"/>
          <w:sz w:val="32"/>
        </w:rPr>
        <w:t>第 2 章 市场分析</w:t>
      </w:r>
    </w:p>
    <w:p>
      <w:pPr>
        <w:pStyle w:val="Heading2"/>
        <w:jc w:val="left"/>
      </w:pPr>
      <w:r>
        <w:rPr>
          <w:rFonts w:ascii="黑体" w:hAnsi="黑体" w:eastAsia="黑体"/>
          <w:b w:val="0"/>
          <w:color w:val="000000"/>
          <w:sz w:val="28"/>
        </w:rPr>
        <w:t>2.1 PEST 分析</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247"/>
            <w:vAlign w:val="center"/>
          </w:tcPr>
          <w:p>
            <w:pPr>
              <w:spacing w:line="264" w:lineRule="auto" w:after="0"/>
              <w:jc w:val="center"/>
            </w:pPr>
            <w:r/>
            <w:r>
              <w:rPr>
                <w:rFonts w:ascii="宋体" w:hAnsi="宋体" w:eastAsia="宋体"/>
                <w:b/>
                <w:color w:val="000000"/>
                <w:sz w:val="21"/>
              </w:rPr>
              <w:t>维度</w:t>
            </w:r>
          </w:p>
        </w:tc>
        <w:tc>
          <w:tcPr>
            <w:tcW w:type="dxa" w:w="3628"/>
            <w:vAlign w:val="center"/>
          </w:tcPr>
          <w:p>
            <w:pPr>
              <w:spacing w:line="264" w:lineRule="auto" w:after="0"/>
              <w:jc w:val="center"/>
            </w:pPr>
            <w:r/>
            <w:r>
              <w:rPr>
                <w:rFonts w:ascii="宋体" w:hAnsi="宋体" w:eastAsia="宋体"/>
                <w:b/>
                <w:color w:val="000000"/>
                <w:sz w:val="21"/>
              </w:rPr>
              <w:t>外部环境</w:t>
            </w:r>
          </w:p>
        </w:tc>
        <w:tc>
          <w:tcPr>
            <w:tcW w:type="dxa" w:w="3628"/>
            <w:vAlign w:val="center"/>
          </w:tcPr>
          <w:p>
            <w:pPr>
              <w:spacing w:line="264" w:lineRule="auto" w:after="0"/>
              <w:jc w:val="center"/>
            </w:pPr>
            <w:r/>
            <w:r>
              <w:rPr>
                <w:rFonts w:ascii="宋体" w:hAnsi="宋体" w:eastAsia="宋体"/>
                <w:b/>
                <w:color w:val="000000"/>
                <w:sz w:val="21"/>
              </w:rPr>
              <w:t>项目机会</w:t>
            </w:r>
          </w:p>
        </w:tc>
      </w:tr>
      <w:tr>
        <w:tc>
          <w:tcPr>
            <w:tcW w:type="dxa" w:w="1247"/>
            <w:vAlign w:val="center"/>
          </w:tcPr>
          <w:p>
            <w:pPr>
              <w:spacing w:line="264" w:lineRule="auto" w:after="0"/>
              <w:jc w:val="left"/>
            </w:pPr>
            <w:r/>
            <w:r>
              <w:rPr>
                <w:rFonts w:ascii="宋体" w:hAnsi="宋体" w:eastAsia="宋体"/>
                <w:b w:val="0"/>
                <w:color w:val="000000"/>
                <w:sz w:val="20"/>
              </w:rPr>
              <w:t>政策 P</w:t>
            </w:r>
          </w:p>
        </w:tc>
        <w:tc>
          <w:tcPr>
            <w:tcW w:type="dxa" w:w="3628"/>
            <w:vAlign w:val="center"/>
          </w:tcPr>
          <w:p>
            <w:pPr>
              <w:spacing w:line="264" w:lineRule="auto" w:after="0"/>
              <w:jc w:val="left"/>
            </w:pPr>
            <w:r/>
            <w:r>
              <w:rPr>
                <w:rFonts w:ascii="宋体" w:hAnsi="宋体" w:eastAsia="宋体"/>
                <w:b w:val="0"/>
                <w:color w:val="000000"/>
                <w:sz w:val="20"/>
              </w:rPr>
              <w:t>2025—2026 年低空经济持续升温，低空物流、无人配送、智慧交通和绿色园区成为各地试点方向。</w:t>
            </w:r>
          </w:p>
        </w:tc>
        <w:tc>
          <w:tcPr>
            <w:tcW w:type="dxa" w:w="3628"/>
            <w:vAlign w:val="center"/>
          </w:tcPr>
          <w:p>
            <w:pPr>
              <w:spacing w:line="264" w:lineRule="auto" w:after="0"/>
              <w:jc w:val="left"/>
            </w:pPr>
            <w:r/>
            <w:r>
              <w:rPr>
                <w:rFonts w:ascii="宋体" w:hAnsi="宋体" w:eastAsia="宋体"/>
                <w:b w:val="0"/>
                <w:color w:val="000000"/>
                <w:sz w:val="20"/>
              </w:rPr>
              <w:t>响应国家低空经济战略，抢占 2026 年校园/园区试点窗口。</w:t>
            </w:r>
          </w:p>
        </w:tc>
      </w:tr>
      <w:tr>
        <w:tc>
          <w:tcPr>
            <w:tcW w:type="dxa" w:w="1247"/>
            <w:vAlign w:val="center"/>
          </w:tcPr>
          <w:p>
            <w:pPr>
              <w:spacing w:line="264" w:lineRule="auto" w:after="0"/>
              <w:jc w:val="left"/>
            </w:pPr>
            <w:r/>
            <w:r>
              <w:rPr>
                <w:rFonts w:ascii="宋体" w:hAnsi="宋体" w:eastAsia="宋体"/>
                <w:b w:val="0"/>
                <w:color w:val="000000"/>
                <w:sz w:val="20"/>
              </w:rPr>
              <w:t>经济 E</w:t>
            </w:r>
          </w:p>
        </w:tc>
        <w:tc>
          <w:tcPr>
            <w:tcW w:type="dxa" w:w="3628"/>
            <w:vAlign w:val="center"/>
          </w:tcPr>
          <w:p>
            <w:pPr>
              <w:spacing w:line="264" w:lineRule="auto" w:after="0"/>
              <w:jc w:val="left"/>
            </w:pPr>
            <w:r/>
            <w:r>
              <w:rPr>
                <w:rFonts w:ascii="宋体" w:hAnsi="宋体" w:eastAsia="宋体"/>
                <w:b w:val="0"/>
                <w:color w:val="000000"/>
                <w:sz w:val="20"/>
              </w:rPr>
              <w:t>即时配送和园区后勤成本持续上升，客户希望在投入硬件前先算清 ROI。</w:t>
            </w:r>
          </w:p>
        </w:tc>
        <w:tc>
          <w:tcPr>
            <w:tcW w:type="dxa" w:w="3628"/>
            <w:vAlign w:val="center"/>
          </w:tcPr>
          <w:p>
            <w:pPr>
              <w:spacing w:line="264" w:lineRule="auto" w:after="0"/>
              <w:jc w:val="left"/>
            </w:pPr>
            <w:r/>
            <w:r>
              <w:rPr>
                <w:rFonts w:ascii="宋体" w:hAnsi="宋体" w:eastAsia="宋体"/>
                <w:b w:val="0"/>
                <w:color w:val="000000"/>
                <w:sz w:val="20"/>
              </w:rPr>
              <w:t>以轻量化决策平台切入，先做仿真评估，再做系统部署。</w:t>
            </w:r>
          </w:p>
        </w:tc>
      </w:tr>
      <w:tr>
        <w:tc>
          <w:tcPr>
            <w:tcW w:type="dxa" w:w="1247"/>
            <w:vAlign w:val="center"/>
          </w:tcPr>
          <w:p>
            <w:pPr>
              <w:spacing w:line="264" w:lineRule="auto" w:after="0"/>
              <w:jc w:val="left"/>
            </w:pPr>
            <w:r/>
            <w:r>
              <w:rPr>
                <w:rFonts w:ascii="宋体" w:hAnsi="宋体" w:eastAsia="宋体"/>
                <w:b w:val="0"/>
                <w:color w:val="000000"/>
                <w:sz w:val="20"/>
              </w:rPr>
              <w:t>社会 S</w:t>
            </w:r>
          </w:p>
        </w:tc>
        <w:tc>
          <w:tcPr>
            <w:tcW w:type="dxa" w:w="3628"/>
            <w:vAlign w:val="center"/>
          </w:tcPr>
          <w:p>
            <w:pPr>
              <w:spacing w:line="264" w:lineRule="auto" w:after="0"/>
              <w:jc w:val="left"/>
            </w:pPr>
            <w:r/>
            <w:r>
              <w:rPr>
                <w:rFonts w:ascii="宋体" w:hAnsi="宋体" w:eastAsia="宋体"/>
                <w:b w:val="0"/>
                <w:color w:val="000000"/>
                <w:sz w:val="20"/>
              </w:rPr>
              <w:t>校园、园区、景区对快速、低碳、安全的末端配送需求增强。</w:t>
            </w:r>
          </w:p>
        </w:tc>
        <w:tc>
          <w:tcPr>
            <w:tcW w:type="dxa" w:w="3628"/>
            <w:vAlign w:val="center"/>
          </w:tcPr>
          <w:p>
            <w:pPr>
              <w:spacing w:line="264" w:lineRule="auto" w:after="0"/>
              <w:jc w:val="left"/>
            </w:pPr>
            <w:r/>
            <w:r>
              <w:rPr>
                <w:rFonts w:ascii="宋体" w:hAnsi="宋体" w:eastAsia="宋体"/>
                <w:b w:val="0"/>
                <w:color w:val="000000"/>
                <w:sz w:val="20"/>
              </w:rPr>
              <w:t>打造绿色校园、智慧园区和低空示范应用样板。</w:t>
            </w:r>
          </w:p>
        </w:tc>
      </w:tr>
      <w:tr>
        <w:tc>
          <w:tcPr>
            <w:tcW w:type="dxa" w:w="1247"/>
            <w:vAlign w:val="center"/>
          </w:tcPr>
          <w:p>
            <w:pPr>
              <w:spacing w:line="264" w:lineRule="auto" w:after="0"/>
              <w:jc w:val="left"/>
            </w:pPr>
            <w:r/>
            <w:r>
              <w:rPr>
                <w:rFonts w:ascii="宋体" w:hAnsi="宋体" w:eastAsia="宋体"/>
                <w:b w:val="0"/>
                <w:color w:val="000000"/>
                <w:sz w:val="20"/>
              </w:rPr>
              <w:t>技术 T</w:t>
            </w:r>
          </w:p>
        </w:tc>
        <w:tc>
          <w:tcPr>
            <w:tcW w:type="dxa" w:w="3628"/>
            <w:vAlign w:val="center"/>
          </w:tcPr>
          <w:p>
            <w:pPr>
              <w:spacing w:line="264" w:lineRule="auto" w:after="0"/>
              <w:jc w:val="left"/>
            </w:pPr>
            <w:r/>
            <w:r>
              <w:rPr>
                <w:rFonts w:ascii="宋体" w:hAnsi="宋体" w:eastAsia="宋体"/>
                <w:b w:val="0"/>
                <w:color w:val="000000"/>
                <w:sz w:val="20"/>
              </w:rPr>
              <w:t>UAV、AGV、路径规划、边缘计算和云端调度能力逐步成熟。</w:t>
            </w:r>
          </w:p>
        </w:tc>
        <w:tc>
          <w:tcPr>
            <w:tcW w:type="dxa" w:w="3628"/>
            <w:vAlign w:val="center"/>
          </w:tcPr>
          <w:p>
            <w:pPr>
              <w:spacing w:line="264" w:lineRule="auto" w:after="0"/>
              <w:jc w:val="left"/>
            </w:pPr>
            <w:r/>
            <w:r>
              <w:rPr>
                <w:rFonts w:ascii="宋体" w:hAnsi="宋体" w:eastAsia="宋体"/>
                <w:b w:val="0"/>
                <w:color w:val="000000"/>
                <w:sz w:val="20"/>
              </w:rPr>
              <w:t>用调度大脑整合硬件，让设备从单机演示走向协同运营。</w:t>
            </w:r>
          </w:p>
        </w:tc>
      </w:tr>
    </w:tbl>
    <w:p>
      <w:pPr>
        <w:spacing w:line="300" w:lineRule="auto" w:after="40" w:before="0"/>
        <w:jc w:val="left"/>
      </w:pPr>
      <w:r>
        <w:rPr>
          <w:rFonts w:ascii="宋体" w:hAnsi="宋体" w:eastAsia="宋体"/>
          <w:b w:val="0"/>
          <w:color w:val="000000"/>
          <w:sz w:val="24"/>
        </w:rPr>
      </w:r>
    </w:p>
    <w:p>
      <w:pPr>
        <w:spacing w:line="300" w:lineRule="auto" w:after="0" w:before="0"/>
        <w:ind w:firstLine="480"/>
        <w:jc w:val="left"/>
      </w:pPr>
      <w:r>
        <w:rPr>
          <w:rFonts w:ascii="宋体" w:hAnsi="宋体" w:eastAsia="宋体"/>
          <w:b w:val="0"/>
          <w:color w:val="000000"/>
          <w:sz w:val="24"/>
        </w:rPr>
        <w:t>从政策角度看，低空经济已经进入从概念宣传到场景验证的关键期。对大学生创新创业项目而言，真正的机会不是泛泛谈低空，而是找到低空经济最容易落地、最容易展示、最容易形成数据闭环的场景。校园、园区和景区正具备这些条件。</w:t>
      </w:r>
    </w:p>
    <w:p>
      <w:pPr>
        <w:spacing w:line="300" w:lineRule="auto" w:after="0" w:before="0"/>
        <w:ind w:firstLine="480"/>
        <w:jc w:val="left"/>
      </w:pPr>
      <w:r>
        <w:rPr>
          <w:rFonts w:ascii="宋体" w:hAnsi="宋体" w:eastAsia="宋体"/>
          <w:b w:val="0"/>
          <w:color w:val="000000"/>
          <w:sz w:val="24"/>
        </w:rPr>
        <w:t>从经济角度看，末端配送成本主要来自人力、绕行、等待、重复配送和设备闲置。本项目用智能调度和动态回退减少无效路程，用 AGV 承担移动补能和中继支撑，用 UAV 提升末端触达效率，最终将技术优势转化为单票成本下降。</w:t>
      </w:r>
    </w:p>
    <w:p>
      <w:pPr>
        <w:spacing w:line="300" w:lineRule="auto" w:after="0" w:before="0"/>
        <w:ind w:firstLine="480"/>
        <w:jc w:val="left"/>
      </w:pPr>
      <w:r>
        <w:rPr>
          <w:rFonts w:ascii="宋体" w:hAnsi="宋体" w:eastAsia="宋体"/>
          <w:b w:val="0"/>
          <w:color w:val="000000"/>
          <w:sz w:val="24"/>
        </w:rPr>
        <w:t>从社会角度看，绿色校园、智慧园区和低碳景区都需要可展示、可量化的解决方案。平台能够输出完成率、准时率、单票能耗、单位距离能耗和碳排放指标，帮助客户把绿色价值写进报告、看板和示范项目。</w:t>
      </w:r>
    </w:p>
    <w:p>
      <w:pPr>
        <w:spacing w:line="300" w:lineRule="auto" w:after="0" w:before="0"/>
        <w:ind w:firstLine="480"/>
        <w:jc w:val="left"/>
      </w:pPr>
      <w:r>
        <w:rPr>
          <w:rFonts w:ascii="宋体" w:hAnsi="宋体" w:eastAsia="宋体"/>
          <w:b w:val="0"/>
          <w:color w:val="000000"/>
          <w:sz w:val="24"/>
        </w:rPr>
        <w:t>从技术角度看，单个无人机或无人车已经不是最大难题，真正难的是多设备、多订单、多路径、多约束下的实时决策。本项目的核心竞争力正在于把复杂决策交给调度大脑，把运营人员从经验判断中解放出来。</w:t>
      </w:r>
    </w:p>
    <w:p>
      <w:pPr>
        <w:pStyle w:val="Heading2"/>
        <w:jc w:val="left"/>
      </w:pPr>
      <w:r>
        <w:rPr>
          <w:rFonts w:ascii="黑体" w:hAnsi="黑体" w:eastAsia="黑体"/>
          <w:b w:val="0"/>
          <w:color w:val="000000"/>
          <w:sz w:val="28"/>
        </w:rPr>
        <w:t>2.2 客户画像</w:t>
      </w:r>
    </w:p>
    <w:tbl>
      <w:tblPr>
        <w:tblStyle w:val="TableGrid"/>
        <w:tblW w:type="auto" w:w="0"/>
        <w:jc w:val="center"/>
        <w:tblLayout w:type="fixed"/>
        <w:tblLook w:firstColumn="1" w:firstRow="1" w:lastColumn="0" w:lastRow="0" w:noHBand="0" w:noVBand="1" w:val="04A0"/>
      </w:tblPr>
      <w:tblGrid>
        <w:gridCol w:w="2318"/>
        <w:gridCol w:w="2318"/>
        <w:gridCol w:w="2318"/>
        <w:gridCol w:w="2318"/>
      </w:tblGrid>
      <w:tr>
        <w:tc>
          <w:tcPr>
            <w:tcW w:type="dxa" w:w="1701"/>
            <w:vAlign w:val="center"/>
          </w:tcPr>
          <w:p>
            <w:pPr>
              <w:spacing w:line="264" w:lineRule="auto" w:after="0"/>
              <w:jc w:val="center"/>
            </w:pPr>
            <w:r/>
            <w:r>
              <w:rPr>
                <w:rFonts w:ascii="宋体" w:hAnsi="宋体" w:eastAsia="宋体"/>
                <w:b/>
                <w:color w:val="000000"/>
                <w:sz w:val="21"/>
              </w:rPr>
              <w:t>目标客户</w:t>
            </w:r>
          </w:p>
        </w:tc>
        <w:tc>
          <w:tcPr>
            <w:tcW w:type="dxa" w:w="2778"/>
            <w:vAlign w:val="center"/>
          </w:tcPr>
          <w:p>
            <w:pPr>
              <w:spacing w:line="264" w:lineRule="auto" w:after="0"/>
              <w:jc w:val="center"/>
            </w:pPr>
            <w:r/>
            <w:r>
              <w:rPr>
                <w:rFonts w:ascii="宋体" w:hAnsi="宋体" w:eastAsia="宋体"/>
                <w:b/>
                <w:color w:val="000000"/>
                <w:sz w:val="21"/>
              </w:rPr>
              <w:t>典型需求</w:t>
            </w:r>
          </w:p>
        </w:tc>
        <w:tc>
          <w:tcPr>
            <w:tcW w:type="dxa" w:w="2551"/>
            <w:vAlign w:val="center"/>
          </w:tcPr>
          <w:p>
            <w:pPr>
              <w:spacing w:line="264" w:lineRule="auto" w:after="0"/>
              <w:jc w:val="center"/>
            </w:pPr>
            <w:r/>
            <w:r>
              <w:rPr>
                <w:rFonts w:ascii="宋体" w:hAnsi="宋体" w:eastAsia="宋体"/>
                <w:b/>
                <w:color w:val="000000"/>
                <w:sz w:val="21"/>
              </w:rPr>
              <w:t>付费理由</w:t>
            </w:r>
          </w:p>
        </w:tc>
        <w:tc>
          <w:tcPr>
            <w:tcW w:type="dxa" w:w="1134"/>
            <w:vAlign w:val="center"/>
          </w:tcPr>
          <w:p>
            <w:pPr>
              <w:spacing w:line="264" w:lineRule="auto" w:after="0"/>
              <w:jc w:val="center"/>
            </w:pPr>
            <w:r/>
            <w:r>
              <w:rPr>
                <w:rFonts w:ascii="宋体" w:hAnsi="宋体" w:eastAsia="宋体"/>
                <w:b/>
                <w:color w:val="000000"/>
                <w:sz w:val="21"/>
              </w:rPr>
              <w:t>优先级</w:t>
            </w:r>
          </w:p>
        </w:tc>
      </w:tr>
      <w:tr>
        <w:tc>
          <w:tcPr>
            <w:tcW w:type="dxa" w:w="1701"/>
            <w:vAlign w:val="center"/>
          </w:tcPr>
          <w:p>
            <w:pPr>
              <w:spacing w:line="264" w:lineRule="auto" w:after="0"/>
              <w:jc w:val="left"/>
            </w:pPr>
            <w:r/>
            <w:r>
              <w:rPr>
                <w:rFonts w:ascii="宋体" w:hAnsi="宋体" w:eastAsia="宋体"/>
                <w:b w:val="0"/>
                <w:color w:val="000000"/>
                <w:sz w:val="20"/>
              </w:rPr>
              <w:t>校园后勤集团</w:t>
            </w:r>
          </w:p>
        </w:tc>
        <w:tc>
          <w:tcPr>
            <w:tcW w:type="dxa" w:w="2778"/>
            <w:vAlign w:val="center"/>
          </w:tcPr>
          <w:p>
            <w:pPr>
              <w:spacing w:line="264" w:lineRule="auto" w:after="0"/>
              <w:jc w:val="left"/>
            </w:pPr>
            <w:r/>
            <w:r>
              <w:rPr>
                <w:rFonts w:ascii="宋体" w:hAnsi="宋体" w:eastAsia="宋体"/>
                <w:b w:val="0"/>
                <w:color w:val="000000"/>
                <w:sz w:val="20"/>
              </w:rPr>
              <w:t>快递驿站、食堂、宿舍区之间高频配送</w:t>
            </w:r>
          </w:p>
        </w:tc>
        <w:tc>
          <w:tcPr>
            <w:tcW w:type="dxa" w:w="2551"/>
            <w:vAlign w:val="center"/>
          </w:tcPr>
          <w:p>
            <w:pPr>
              <w:spacing w:line="264" w:lineRule="auto" w:after="0"/>
              <w:jc w:val="left"/>
            </w:pPr>
            <w:r/>
            <w:r>
              <w:rPr>
                <w:rFonts w:ascii="宋体" w:hAnsi="宋体" w:eastAsia="宋体"/>
                <w:b w:val="0"/>
                <w:color w:val="000000"/>
                <w:sz w:val="20"/>
              </w:rPr>
              <w:t>降本、提效、打造绿色校园</w:t>
            </w:r>
          </w:p>
        </w:tc>
        <w:tc>
          <w:tcPr>
            <w:tcW w:type="dxa" w:w="1134"/>
            <w:vAlign w:val="center"/>
          </w:tcPr>
          <w:p>
            <w:pPr>
              <w:spacing w:line="264" w:lineRule="auto" w:after="0"/>
              <w:jc w:val="left"/>
            </w:pPr>
            <w:r/>
            <w:r>
              <w:rPr>
                <w:rFonts w:ascii="宋体" w:hAnsi="宋体" w:eastAsia="宋体"/>
                <w:b w:val="0"/>
                <w:color w:val="000000"/>
                <w:sz w:val="20"/>
              </w:rPr>
              <w:t>最高</w:t>
            </w:r>
          </w:p>
        </w:tc>
      </w:tr>
      <w:tr>
        <w:tc>
          <w:tcPr>
            <w:tcW w:type="dxa" w:w="1701"/>
            <w:vAlign w:val="center"/>
          </w:tcPr>
          <w:p>
            <w:pPr>
              <w:spacing w:line="264" w:lineRule="auto" w:after="0"/>
              <w:jc w:val="left"/>
            </w:pPr>
            <w:r/>
            <w:r>
              <w:rPr>
                <w:rFonts w:ascii="宋体" w:hAnsi="宋体" w:eastAsia="宋体"/>
                <w:b w:val="0"/>
                <w:color w:val="000000"/>
                <w:sz w:val="20"/>
              </w:rPr>
              <w:t>园区运营公司</w:t>
            </w:r>
          </w:p>
        </w:tc>
        <w:tc>
          <w:tcPr>
            <w:tcW w:type="dxa" w:w="2778"/>
            <w:vAlign w:val="center"/>
          </w:tcPr>
          <w:p>
            <w:pPr>
              <w:spacing w:line="264" w:lineRule="auto" w:after="0"/>
              <w:jc w:val="left"/>
            </w:pPr>
            <w:r/>
            <w:r>
              <w:rPr>
                <w:rFonts w:ascii="宋体" w:hAnsi="宋体" w:eastAsia="宋体"/>
                <w:b w:val="0"/>
                <w:color w:val="000000"/>
                <w:sz w:val="20"/>
              </w:rPr>
              <w:t>企业楼宇间文件、小件、餐饮配送</w:t>
            </w:r>
          </w:p>
        </w:tc>
        <w:tc>
          <w:tcPr>
            <w:tcW w:type="dxa" w:w="2551"/>
            <w:vAlign w:val="center"/>
          </w:tcPr>
          <w:p>
            <w:pPr>
              <w:spacing w:line="264" w:lineRule="auto" w:after="0"/>
              <w:jc w:val="left"/>
            </w:pPr>
            <w:r/>
            <w:r>
              <w:rPr>
                <w:rFonts w:ascii="宋体" w:hAnsi="宋体" w:eastAsia="宋体"/>
                <w:b w:val="0"/>
                <w:color w:val="000000"/>
                <w:sz w:val="20"/>
              </w:rPr>
              <w:t>提升园区服务能力，建设智慧园区</w:t>
            </w:r>
          </w:p>
        </w:tc>
        <w:tc>
          <w:tcPr>
            <w:tcW w:type="dxa" w:w="1134"/>
            <w:vAlign w:val="center"/>
          </w:tcPr>
          <w:p>
            <w:pPr>
              <w:spacing w:line="264" w:lineRule="auto" w:after="0"/>
              <w:jc w:val="left"/>
            </w:pPr>
            <w:r/>
            <w:r>
              <w:rPr>
                <w:rFonts w:ascii="宋体" w:hAnsi="宋体" w:eastAsia="宋体"/>
                <w:b w:val="0"/>
                <w:color w:val="000000"/>
                <w:sz w:val="20"/>
              </w:rPr>
              <w:t>高</w:t>
            </w:r>
          </w:p>
        </w:tc>
      </w:tr>
      <w:tr>
        <w:tc>
          <w:tcPr>
            <w:tcW w:type="dxa" w:w="1701"/>
            <w:vAlign w:val="center"/>
          </w:tcPr>
          <w:p>
            <w:pPr>
              <w:spacing w:line="264" w:lineRule="auto" w:after="0"/>
              <w:jc w:val="left"/>
            </w:pPr>
            <w:r/>
            <w:r>
              <w:rPr>
                <w:rFonts w:ascii="宋体" w:hAnsi="宋体" w:eastAsia="宋体"/>
                <w:b w:val="0"/>
                <w:color w:val="000000"/>
                <w:sz w:val="20"/>
              </w:rPr>
              <w:t>景区运营公司</w:t>
            </w:r>
          </w:p>
        </w:tc>
        <w:tc>
          <w:tcPr>
            <w:tcW w:type="dxa" w:w="2778"/>
            <w:vAlign w:val="center"/>
          </w:tcPr>
          <w:p>
            <w:pPr>
              <w:spacing w:line="264" w:lineRule="auto" w:after="0"/>
              <w:jc w:val="left"/>
            </w:pPr>
            <w:r/>
            <w:r>
              <w:rPr>
                <w:rFonts w:ascii="宋体" w:hAnsi="宋体" w:eastAsia="宋体"/>
                <w:b w:val="0"/>
                <w:color w:val="000000"/>
                <w:sz w:val="20"/>
              </w:rPr>
              <w:t>游客服务区、补给点、应急药品配送</w:t>
            </w:r>
          </w:p>
        </w:tc>
        <w:tc>
          <w:tcPr>
            <w:tcW w:type="dxa" w:w="2551"/>
            <w:vAlign w:val="center"/>
          </w:tcPr>
          <w:p>
            <w:pPr>
              <w:spacing w:line="264" w:lineRule="auto" w:after="0"/>
              <w:jc w:val="left"/>
            </w:pPr>
            <w:r/>
            <w:r>
              <w:rPr>
                <w:rFonts w:ascii="宋体" w:hAnsi="宋体" w:eastAsia="宋体"/>
                <w:b w:val="0"/>
                <w:color w:val="000000"/>
                <w:sz w:val="20"/>
              </w:rPr>
              <w:t>提升服务体验和低空示范价值</w:t>
            </w:r>
          </w:p>
        </w:tc>
        <w:tc>
          <w:tcPr>
            <w:tcW w:type="dxa" w:w="1134"/>
            <w:vAlign w:val="center"/>
          </w:tcPr>
          <w:p>
            <w:pPr>
              <w:spacing w:line="264" w:lineRule="auto" w:after="0"/>
              <w:jc w:val="left"/>
            </w:pPr>
            <w:r/>
            <w:r>
              <w:rPr>
                <w:rFonts w:ascii="宋体" w:hAnsi="宋体" w:eastAsia="宋体"/>
                <w:b w:val="0"/>
                <w:color w:val="000000"/>
                <w:sz w:val="20"/>
              </w:rPr>
              <w:t>高</w:t>
            </w:r>
          </w:p>
        </w:tc>
      </w:tr>
      <w:tr>
        <w:tc>
          <w:tcPr>
            <w:tcW w:type="dxa" w:w="1701"/>
            <w:vAlign w:val="center"/>
          </w:tcPr>
          <w:p>
            <w:pPr>
              <w:spacing w:line="264" w:lineRule="auto" w:after="0"/>
              <w:jc w:val="left"/>
            </w:pPr>
            <w:r/>
            <w:r>
              <w:rPr>
                <w:rFonts w:ascii="宋体" w:hAnsi="宋体" w:eastAsia="宋体"/>
                <w:b w:val="0"/>
                <w:color w:val="000000"/>
                <w:sz w:val="20"/>
              </w:rPr>
              <w:t>京东物流/顺丰同城</w:t>
            </w:r>
          </w:p>
        </w:tc>
        <w:tc>
          <w:tcPr>
            <w:tcW w:type="dxa" w:w="2778"/>
            <w:vAlign w:val="center"/>
          </w:tcPr>
          <w:p>
            <w:pPr>
              <w:spacing w:line="264" w:lineRule="auto" w:after="0"/>
              <w:jc w:val="left"/>
            </w:pPr>
            <w:r/>
            <w:r>
              <w:rPr>
                <w:rFonts w:ascii="宋体" w:hAnsi="宋体" w:eastAsia="宋体"/>
                <w:b w:val="0"/>
                <w:color w:val="000000"/>
                <w:sz w:val="20"/>
              </w:rPr>
              <w:t>低空配送试点前的路线和设备测算</w:t>
            </w:r>
          </w:p>
        </w:tc>
        <w:tc>
          <w:tcPr>
            <w:tcW w:type="dxa" w:w="2551"/>
            <w:vAlign w:val="center"/>
          </w:tcPr>
          <w:p>
            <w:pPr>
              <w:spacing w:line="264" w:lineRule="auto" w:after="0"/>
              <w:jc w:val="left"/>
            </w:pPr>
            <w:r/>
            <w:r>
              <w:rPr>
                <w:rFonts w:ascii="宋体" w:hAnsi="宋体" w:eastAsia="宋体"/>
                <w:b w:val="0"/>
                <w:color w:val="000000"/>
                <w:sz w:val="20"/>
              </w:rPr>
              <w:t>降低硬件投入试错成本</w:t>
            </w:r>
          </w:p>
        </w:tc>
        <w:tc>
          <w:tcPr>
            <w:tcW w:type="dxa" w:w="1134"/>
            <w:vAlign w:val="center"/>
          </w:tcPr>
          <w:p>
            <w:pPr>
              <w:spacing w:line="264" w:lineRule="auto" w:after="0"/>
              <w:jc w:val="left"/>
            </w:pPr>
            <w:r/>
            <w:r>
              <w:rPr>
                <w:rFonts w:ascii="宋体" w:hAnsi="宋体" w:eastAsia="宋体"/>
                <w:b w:val="0"/>
                <w:color w:val="000000"/>
                <w:sz w:val="20"/>
              </w:rPr>
              <w:t>中高</w:t>
            </w:r>
          </w:p>
        </w:tc>
      </w:tr>
      <w:tr>
        <w:tc>
          <w:tcPr>
            <w:tcW w:type="dxa" w:w="1701"/>
            <w:vAlign w:val="center"/>
          </w:tcPr>
          <w:p>
            <w:pPr>
              <w:spacing w:line="264" w:lineRule="auto" w:after="0"/>
              <w:jc w:val="left"/>
            </w:pPr>
            <w:r/>
            <w:r>
              <w:rPr>
                <w:rFonts w:ascii="宋体" w:hAnsi="宋体" w:eastAsia="宋体"/>
                <w:b w:val="0"/>
                <w:color w:val="000000"/>
                <w:sz w:val="20"/>
              </w:rPr>
              <w:t>美团无人机部门</w:t>
            </w:r>
          </w:p>
        </w:tc>
        <w:tc>
          <w:tcPr>
            <w:tcW w:type="dxa" w:w="2778"/>
            <w:vAlign w:val="center"/>
          </w:tcPr>
          <w:p>
            <w:pPr>
              <w:spacing w:line="264" w:lineRule="auto" w:after="0"/>
              <w:jc w:val="left"/>
            </w:pPr>
            <w:r/>
            <w:r>
              <w:rPr>
                <w:rFonts w:ascii="宋体" w:hAnsi="宋体" w:eastAsia="宋体"/>
                <w:b w:val="0"/>
                <w:color w:val="000000"/>
                <w:sz w:val="20"/>
              </w:rPr>
              <w:t>餐饮低空配送路径和中继布局优化</w:t>
            </w:r>
          </w:p>
        </w:tc>
        <w:tc>
          <w:tcPr>
            <w:tcW w:type="dxa" w:w="2551"/>
            <w:vAlign w:val="center"/>
          </w:tcPr>
          <w:p>
            <w:pPr>
              <w:spacing w:line="264" w:lineRule="auto" w:after="0"/>
              <w:jc w:val="left"/>
            </w:pPr>
            <w:r/>
            <w:r>
              <w:rPr>
                <w:rFonts w:ascii="宋体" w:hAnsi="宋体" w:eastAsia="宋体"/>
                <w:b w:val="0"/>
                <w:color w:val="000000"/>
                <w:sz w:val="20"/>
              </w:rPr>
              <w:t>补齐地面支撑和多点协同</w:t>
            </w:r>
          </w:p>
        </w:tc>
        <w:tc>
          <w:tcPr>
            <w:tcW w:type="dxa" w:w="1134"/>
            <w:vAlign w:val="center"/>
          </w:tcPr>
          <w:p>
            <w:pPr>
              <w:spacing w:line="264" w:lineRule="auto" w:after="0"/>
              <w:jc w:val="left"/>
            </w:pPr>
            <w:r/>
            <w:r>
              <w:rPr>
                <w:rFonts w:ascii="宋体" w:hAnsi="宋体" w:eastAsia="宋体"/>
                <w:b w:val="0"/>
                <w:color w:val="000000"/>
                <w:sz w:val="20"/>
              </w:rPr>
              <w:t>中高</w:t>
            </w:r>
          </w:p>
        </w:tc>
      </w:tr>
      <w:tr>
        <w:tc>
          <w:tcPr>
            <w:tcW w:type="dxa" w:w="1701"/>
            <w:vAlign w:val="center"/>
          </w:tcPr>
          <w:p>
            <w:pPr>
              <w:spacing w:line="264" w:lineRule="auto" w:after="0"/>
              <w:jc w:val="left"/>
            </w:pPr>
            <w:r/>
            <w:r>
              <w:rPr>
                <w:rFonts w:ascii="宋体" w:hAnsi="宋体" w:eastAsia="宋体"/>
                <w:b w:val="0"/>
                <w:color w:val="000000"/>
                <w:sz w:val="20"/>
              </w:rPr>
              <w:t>UAV/AGV 厂商</w:t>
            </w:r>
          </w:p>
        </w:tc>
        <w:tc>
          <w:tcPr>
            <w:tcW w:type="dxa" w:w="2778"/>
            <w:vAlign w:val="center"/>
          </w:tcPr>
          <w:p>
            <w:pPr>
              <w:spacing w:line="264" w:lineRule="auto" w:after="0"/>
              <w:jc w:val="left"/>
            </w:pPr>
            <w:r/>
            <w:r>
              <w:rPr>
                <w:rFonts w:ascii="宋体" w:hAnsi="宋体" w:eastAsia="宋体"/>
                <w:b w:val="0"/>
                <w:color w:val="000000"/>
                <w:sz w:val="20"/>
              </w:rPr>
              <w:t>硬件缺少调度软件和场景方案</w:t>
            </w:r>
          </w:p>
        </w:tc>
        <w:tc>
          <w:tcPr>
            <w:tcW w:type="dxa" w:w="2551"/>
            <w:vAlign w:val="center"/>
          </w:tcPr>
          <w:p>
            <w:pPr>
              <w:spacing w:line="264" w:lineRule="auto" w:after="0"/>
              <w:jc w:val="left"/>
            </w:pPr>
            <w:r/>
            <w:r>
              <w:rPr>
                <w:rFonts w:ascii="宋体" w:hAnsi="宋体" w:eastAsia="宋体"/>
                <w:b w:val="0"/>
                <w:color w:val="000000"/>
                <w:sz w:val="20"/>
              </w:rPr>
              <w:t>联合交付，提高方案单价</w:t>
            </w:r>
          </w:p>
        </w:tc>
        <w:tc>
          <w:tcPr>
            <w:tcW w:type="dxa" w:w="1134"/>
            <w:vAlign w:val="center"/>
          </w:tcPr>
          <w:p>
            <w:pPr>
              <w:spacing w:line="264" w:lineRule="auto" w:after="0"/>
              <w:jc w:val="left"/>
            </w:pPr>
            <w:r/>
            <w:r>
              <w:rPr>
                <w:rFonts w:ascii="宋体" w:hAnsi="宋体" w:eastAsia="宋体"/>
                <w:b w:val="0"/>
                <w:color w:val="000000"/>
                <w:sz w:val="20"/>
              </w:rPr>
              <w:t>中高</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2.3 市场规模与切入路径</w:t>
      </w:r>
    </w:p>
    <w:p>
      <w:pPr>
        <w:spacing w:line="300" w:lineRule="auto" w:after="0" w:before="0"/>
        <w:ind w:firstLine="480"/>
        <w:jc w:val="left"/>
      </w:pPr>
      <w:r>
        <w:rPr>
          <w:rFonts w:ascii="宋体" w:hAnsi="宋体" w:eastAsia="宋体"/>
          <w:b w:val="0"/>
          <w:color w:val="000000"/>
          <w:sz w:val="24"/>
        </w:rPr>
        <w:t>项目采用“小场景切入、大平台复制”的市场路径。第一阶段不直接挑战开放城市配送，而是从校园、园区、景区三个半封闭场景切入，先做出可控样板；第二阶段复制到本地大学城、产业园和文旅景区；第三阶段与物流企业和硬件厂商合作，进入城市低空配送试点。</w:t>
      </w:r>
    </w:p>
    <w:p>
      <w:pPr>
        <w:spacing w:line="300" w:lineRule="auto" w:after="0" w:before="0"/>
        <w:ind w:firstLine="480"/>
        <w:jc w:val="left"/>
      </w:pPr>
      <w:r>
        <w:rPr>
          <w:rFonts w:ascii="宋体" w:hAnsi="宋体" w:eastAsia="宋体"/>
          <w:b w:val="0"/>
          <w:color w:val="000000"/>
          <w:sz w:val="24"/>
        </w:rPr>
        <w:t>市场切入的核心不是先买硬件，而是先卖决策：客户在采购 UAV/AGV 之前，需要知道订单规模是否足够、设备数量是否合理、中继点如何布局、单票成本能降多少、碳排能减少多少。本项目的仿真评估和调度平台正好解决这一前置决策问题。</w:t>
      </w:r>
    </w:p>
    <w:p>
      <w:pPr>
        <w:pStyle w:val="Heading2"/>
        <w:jc w:val="left"/>
      </w:pPr>
      <w:r>
        <w:rPr>
          <w:rFonts w:ascii="黑体" w:hAnsi="黑体" w:eastAsia="黑体"/>
          <w:b w:val="0"/>
          <w:color w:val="000000"/>
          <w:sz w:val="28"/>
        </w:rPr>
        <w:t>2.4 竞品分析</w:t>
      </w:r>
    </w:p>
    <w:tbl>
      <w:tblPr>
        <w:tblStyle w:val="TableGrid"/>
        <w:tblW w:type="auto" w:w="0"/>
        <w:jc w:val="center"/>
        <w:tblLayout w:type="fixed"/>
        <w:tblLook w:firstColumn="1" w:firstRow="1" w:lastColumn="0" w:lastRow="0" w:noHBand="0" w:noVBand="1" w:val="04A0"/>
      </w:tblPr>
      <w:tblGrid>
        <w:gridCol w:w="2318"/>
        <w:gridCol w:w="2318"/>
        <w:gridCol w:w="2318"/>
        <w:gridCol w:w="2318"/>
      </w:tblGrid>
      <w:tr>
        <w:tc>
          <w:tcPr>
            <w:tcW w:type="dxa" w:w="1701"/>
            <w:vAlign w:val="center"/>
          </w:tcPr>
          <w:p>
            <w:pPr>
              <w:spacing w:line="264" w:lineRule="auto" w:after="0"/>
              <w:jc w:val="center"/>
            </w:pPr>
            <w:r/>
            <w:r>
              <w:rPr>
                <w:rFonts w:ascii="宋体" w:hAnsi="宋体" w:eastAsia="宋体"/>
                <w:b/>
                <w:color w:val="000000"/>
                <w:sz w:val="21"/>
              </w:rPr>
              <w:t>对比维度</w:t>
            </w:r>
          </w:p>
        </w:tc>
        <w:tc>
          <w:tcPr>
            <w:tcW w:type="dxa" w:w="2211"/>
            <w:vAlign w:val="center"/>
          </w:tcPr>
          <w:p>
            <w:pPr>
              <w:spacing w:line="264" w:lineRule="auto" w:after="0"/>
              <w:jc w:val="center"/>
            </w:pPr>
            <w:r/>
            <w:r>
              <w:rPr>
                <w:rFonts w:ascii="宋体" w:hAnsi="宋体" w:eastAsia="宋体"/>
                <w:b/>
                <w:color w:val="000000"/>
                <w:sz w:val="21"/>
              </w:rPr>
              <w:t>纯无人机</w:t>
            </w:r>
          </w:p>
        </w:tc>
        <w:tc>
          <w:tcPr>
            <w:tcW w:type="dxa" w:w="2211"/>
            <w:vAlign w:val="center"/>
          </w:tcPr>
          <w:p>
            <w:pPr>
              <w:spacing w:line="264" w:lineRule="auto" w:after="0"/>
              <w:jc w:val="center"/>
            </w:pPr>
            <w:r/>
            <w:r>
              <w:rPr>
                <w:rFonts w:ascii="宋体" w:hAnsi="宋体" w:eastAsia="宋体"/>
                <w:b/>
                <w:color w:val="000000"/>
                <w:sz w:val="21"/>
              </w:rPr>
              <w:t>纯无人车</w:t>
            </w:r>
          </w:p>
        </w:tc>
        <w:tc>
          <w:tcPr>
            <w:tcW w:type="dxa" w:w="2721"/>
            <w:vAlign w:val="center"/>
          </w:tcPr>
          <w:p>
            <w:pPr>
              <w:spacing w:line="264" w:lineRule="auto" w:after="0"/>
              <w:jc w:val="center"/>
            </w:pPr>
            <w:r/>
            <w:r>
              <w:rPr>
                <w:rFonts w:ascii="宋体" w:hAnsi="宋体" w:eastAsia="宋体"/>
                <w:b/>
                <w:color w:val="000000"/>
                <w:sz w:val="21"/>
              </w:rPr>
              <w:t>我们的空地协同方案</w:t>
            </w:r>
          </w:p>
        </w:tc>
      </w:tr>
      <w:tr>
        <w:tc>
          <w:tcPr>
            <w:tcW w:type="dxa" w:w="1701"/>
            <w:vAlign w:val="center"/>
          </w:tcPr>
          <w:p>
            <w:pPr>
              <w:spacing w:line="264" w:lineRule="auto" w:after="0"/>
              <w:jc w:val="left"/>
            </w:pPr>
            <w:r/>
            <w:r>
              <w:rPr>
                <w:rFonts w:ascii="宋体" w:hAnsi="宋体" w:eastAsia="宋体"/>
                <w:b w:val="0"/>
                <w:color w:val="000000"/>
                <w:sz w:val="20"/>
              </w:rPr>
              <w:t>覆盖范围</w:t>
            </w:r>
          </w:p>
        </w:tc>
        <w:tc>
          <w:tcPr>
            <w:tcW w:type="dxa" w:w="2211"/>
            <w:vAlign w:val="center"/>
          </w:tcPr>
          <w:p>
            <w:pPr>
              <w:spacing w:line="264" w:lineRule="auto" w:after="0"/>
              <w:jc w:val="left"/>
            </w:pPr>
            <w:r/>
            <w:r>
              <w:rPr>
                <w:rFonts w:ascii="宋体" w:hAnsi="宋体" w:eastAsia="宋体"/>
                <w:b w:val="0"/>
                <w:color w:val="000000"/>
                <w:sz w:val="20"/>
              </w:rPr>
              <w:t>直线飞行快，但受续航限制</w:t>
            </w:r>
          </w:p>
        </w:tc>
        <w:tc>
          <w:tcPr>
            <w:tcW w:type="dxa" w:w="2211"/>
            <w:vAlign w:val="center"/>
          </w:tcPr>
          <w:p>
            <w:pPr>
              <w:spacing w:line="264" w:lineRule="auto" w:after="0"/>
              <w:jc w:val="left"/>
            </w:pPr>
            <w:r/>
            <w:r>
              <w:rPr>
                <w:rFonts w:ascii="宋体" w:hAnsi="宋体" w:eastAsia="宋体"/>
                <w:b w:val="0"/>
                <w:color w:val="000000"/>
                <w:sz w:val="20"/>
              </w:rPr>
              <w:t>地面可持续运行，但绕行多</w:t>
            </w:r>
          </w:p>
        </w:tc>
        <w:tc>
          <w:tcPr>
            <w:tcW w:type="dxa" w:w="2721"/>
            <w:vAlign w:val="center"/>
          </w:tcPr>
          <w:p>
            <w:pPr>
              <w:spacing w:line="264" w:lineRule="auto" w:after="0"/>
              <w:jc w:val="left"/>
            </w:pPr>
            <w:r/>
            <w:r>
              <w:rPr>
                <w:rFonts w:ascii="宋体" w:hAnsi="宋体" w:eastAsia="宋体"/>
                <w:b w:val="0"/>
                <w:color w:val="000000"/>
                <w:sz w:val="20"/>
              </w:rPr>
              <w:t>AGV 扩大支撑半径，UAV 完成末端触达</w:t>
            </w:r>
          </w:p>
        </w:tc>
      </w:tr>
      <w:tr>
        <w:tc>
          <w:tcPr>
            <w:tcW w:type="dxa" w:w="1701"/>
            <w:vAlign w:val="center"/>
          </w:tcPr>
          <w:p>
            <w:pPr>
              <w:spacing w:line="264" w:lineRule="auto" w:after="0"/>
              <w:jc w:val="left"/>
            </w:pPr>
            <w:r/>
            <w:r>
              <w:rPr>
                <w:rFonts w:ascii="宋体" w:hAnsi="宋体" w:eastAsia="宋体"/>
                <w:b w:val="0"/>
                <w:color w:val="000000"/>
                <w:sz w:val="20"/>
              </w:rPr>
              <w:t>成本结构</w:t>
            </w:r>
          </w:p>
        </w:tc>
        <w:tc>
          <w:tcPr>
            <w:tcW w:type="dxa" w:w="2211"/>
            <w:vAlign w:val="center"/>
          </w:tcPr>
          <w:p>
            <w:pPr>
              <w:spacing w:line="264" w:lineRule="auto" w:after="0"/>
              <w:jc w:val="left"/>
            </w:pPr>
            <w:r/>
            <w:r>
              <w:rPr>
                <w:rFonts w:ascii="宋体" w:hAnsi="宋体" w:eastAsia="宋体"/>
                <w:b w:val="0"/>
                <w:color w:val="000000"/>
                <w:sz w:val="20"/>
              </w:rPr>
              <w:t>电池损耗和回收成本高</w:t>
            </w:r>
          </w:p>
        </w:tc>
        <w:tc>
          <w:tcPr>
            <w:tcW w:type="dxa" w:w="2211"/>
            <w:vAlign w:val="center"/>
          </w:tcPr>
          <w:p>
            <w:pPr>
              <w:spacing w:line="264" w:lineRule="auto" w:after="0"/>
              <w:jc w:val="left"/>
            </w:pPr>
            <w:r/>
            <w:r>
              <w:rPr>
                <w:rFonts w:ascii="宋体" w:hAnsi="宋体" w:eastAsia="宋体"/>
                <w:b w:val="0"/>
                <w:color w:val="000000"/>
                <w:sz w:val="20"/>
              </w:rPr>
              <w:t>车辆数量和等待成本高</w:t>
            </w:r>
          </w:p>
        </w:tc>
        <w:tc>
          <w:tcPr>
            <w:tcW w:type="dxa" w:w="2721"/>
            <w:vAlign w:val="center"/>
          </w:tcPr>
          <w:p>
            <w:pPr>
              <w:spacing w:line="264" w:lineRule="auto" w:after="0"/>
              <w:jc w:val="left"/>
            </w:pPr>
            <w:r/>
            <w:r>
              <w:rPr>
                <w:rFonts w:ascii="宋体" w:hAnsi="宋体" w:eastAsia="宋体"/>
                <w:b w:val="0"/>
                <w:color w:val="000000"/>
                <w:sz w:val="20"/>
              </w:rPr>
              <w:t>通过中继和统一调度降低无效路程</w:t>
            </w:r>
          </w:p>
        </w:tc>
      </w:tr>
      <w:tr>
        <w:tc>
          <w:tcPr>
            <w:tcW w:type="dxa" w:w="1701"/>
            <w:vAlign w:val="center"/>
          </w:tcPr>
          <w:p>
            <w:pPr>
              <w:spacing w:line="264" w:lineRule="auto" w:after="0"/>
              <w:jc w:val="left"/>
            </w:pPr>
            <w:r/>
            <w:r>
              <w:rPr>
                <w:rFonts w:ascii="宋体" w:hAnsi="宋体" w:eastAsia="宋体"/>
                <w:b w:val="0"/>
                <w:color w:val="000000"/>
                <w:sz w:val="20"/>
              </w:rPr>
              <w:t>安全与合规</w:t>
            </w:r>
          </w:p>
        </w:tc>
        <w:tc>
          <w:tcPr>
            <w:tcW w:type="dxa" w:w="2211"/>
            <w:vAlign w:val="center"/>
          </w:tcPr>
          <w:p>
            <w:pPr>
              <w:spacing w:line="264" w:lineRule="auto" w:after="0"/>
              <w:jc w:val="left"/>
            </w:pPr>
            <w:r/>
            <w:r>
              <w:rPr>
                <w:rFonts w:ascii="宋体" w:hAnsi="宋体" w:eastAsia="宋体"/>
                <w:b w:val="0"/>
                <w:color w:val="000000"/>
                <w:sz w:val="20"/>
              </w:rPr>
              <w:t>空域、起降点和天气约束强</w:t>
            </w:r>
          </w:p>
        </w:tc>
        <w:tc>
          <w:tcPr>
            <w:tcW w:type="dxa" w:w="2211"/>
            <w:vAlign w:val="center"/>
          </w:tcPr>
          <w:p>
            <w:pPr>
              <w:spacing w:line="264" w:lineRule="auto" w:after="0"/>
              <w:jc w:val="left"/>
            </w:pPr>
            <w:r/>
            <w:r>
              <w:rPr>
                <w:rFonts w:ascii="宋体" w:hAnsi="宋体" w:eastAsia="宋体"/>
                <w:b w:val="0"/>
                <w:color w:val="000000"/>
                <w:sz w:val="20"/>
              </w:rPr>
              <w:t>地面通行相对安全</w:t>
            </w:r>
          </w:p>
        </w:tc>
        <w:tc>
          <w:tcPr>
            <w:tcW w:type="dxa" w:w="2721"/>
            <w:vAlign w:val="center"/>
          </w:tcPr>
          <w:p>
            <w:pPr>
              <w:spacing w:line="264" w:lineRule="auto" w:after="0"/>
              <w:jc w:val="left"/>
            </w:pPr>
            <w:r/>
            <w:r>
              <w:rPr>
                <w:rFonts w:ascii="宋体" w:hAnsi="宋体" w:eastAsia="宋体"/>
                <w:b w:val="0"/>
                <w:color w:val="000000"/>
                <w:sz w:val="20"/>
              </w:rPr>
              <w:t>先在校园/园区半封闭场景试点，降低风险</w:t>
            </w:r>
          </w:p>
        </w:tc>
      </w:tr>
      <w:tr>
        <w:tc>
          <w:tcPr>
            <w:tcW w:type="dxa" w:w="1701"/>
            <w:vAlign w:val="center"/>
          </w:tcPr>
          <w:p>
            <w:pPr>
              <w:spacing w:line="264" w:lineRule="auto" w:after="0"/>
              <w:jc w:val="left"/>
            </w:pPr>
            <w:r/>
            <w:r>
              <w:rPr>
                <w:rFonts w:ascii="宋体" w:hAnsi="宋体" w:eastAsia="宋体"/>
                <w:b w:val="0"/>
                <w:color w:val="000000"/>
                <w:sz w:val="20"/>
              </w:rPr>
              <w:t>绿色价值</w:t>
            </w:r>
          </w:p>
        </w:tc>
        <w:tc>
          <w:tcPr>
            <w:tcW w:type="dxa" w:w="2211"/>
            <w:vAlign w:val="center"/>
          </w:tcPr>
          <w:p>
            <w:pPr>
              <w:spacing w:line="264" w:lineRule="auto" w:after="0"/>
              <w:jc w:val="left"/>
            </w:pPr>
            <w:r/>
            <w:r>
              <w:rPr>
                <w:rFonts w:ascii="宋体" w:hAnsi="宋体" w:eastAsia="宋体"/>
                <w:b w:val="0"/>
                <w:color w:val="000000"/>
                <w:sz w:val="20"/>
              </w:rPr>
              <w:t>单次飞行能耗低但返航压力大</w:t>
            </w:r>
          </w:p>
        </w:tc>
        <w:tc>
          <w:tcPr>
            <w:tcW w:type="dxa" w:w="2211"/>
            <w:vAlign w:val="center"/>
          </w:tcPr>
          <w:p>
            <w:pPr>
              <w:spacing w:line="264" w:lineRule="auto" w:after="0"/>
              <w:jc w:val="left"/>
            </w:pPr>
            <w:r/>
            <w:r>
              <w:rPr>
                <w:rFonts w:ascii="宋体" w:hAnsi="宋体" w:eastAsia="宋体"/>
                <w:b w:val="0"/>
                <w:color w:val="000000"/>
                <w:sz w:val="20"/>
              </w:rPr>
              <w:t>地面绕行导致距离增加</w:t>
            </w:r>
          </w:p>
        </w:tc>
        <w:tc>
          <w:tcPr>
            <w:tcW w:type="dxa" w:w="2721"/>
            <w:vAlign w:val="center"/>
          </w:tcPr>
          <w:p>
            <w:pPr>
              <w:spacing w:line="264" w:lineRule="auto" w:after="0"/>
              <w:jc w:val="left"/>
            </w:pPr>
            <w:r/>
            <w:r>
              <w:rPr>
                <w:rFonts w:ascii="宋体" w:hAnsi="宋体" w:eastAsia="宋体"/>
                <w:b w:val="0"/>
                <w:color w:val="000000"/>
                <w:sz w:val="20"/>
              </w:rPr>
              <w:t>单票能耗下降约 18.9%，碳排可量化</w:t>
            </w:r>
          </w:p>
        </w:tc>
      </w:tr>
      <w:tr>
        <w:tc>
          <w:tcPr>
            <w:tcW w:type="dxa" w:w="1701"/>
            <w:vAlign w:val="center"/>
          </w:tcPr>
          <w:p>
            <w:pPr>
              <w:spacing w:line="264" w:lineRule="auto" w:after="0"/>
              <w:jc w:val="left"/>
            </w:pPr>
            <w:r/>
            <w:r>
              <w:rPr>
                <w:rFonts w:ascii="宋体" w:hAnsi="宋体" w:eastAsia="宋体"/>
                <w:b w:val="0"/>
                <w:color w:val="000000"/>
                <w:sz w:val="20"/>
              </w:rPr>
              <w:t>扩展能力</w:t>
            </w:r>
          </w:p>
        </w:tc>
        <w:tc>
          <w:tcPr>
            <w:tcW w:type="dxa" w:w="2211"/>
            <w:vAlign w:val="center"/>
          </w:tcPr>
          <w:p>
            <w:pPr>
              <w:spacing w:line="264" w:lineRule="auto" w:after="0"/>
              <w:jc w:val="left"/>
            </w:pPr>
            <w:r/>
            <w:r>
              <w:rPr>
                <w:rFonts w:ascii="宋体" w:hAnsi="宋体" w:eastAsia="宋体"/>
                <w:b w:val="0"/>
                <w:color w:val="000000"/>
                <w:sz w:val="20"/>
              </w:rPr>
              <w:t>适合点对点演示</w:t>
            </w:r>
          </w:p>
        </w:tc>
        <w:tc>
          <w:tcPr>
            <w:tcW w:type="dxa" w:w="2211"/>
            <w:vAlign w:val="center"/>
          </w:tcPr>
          <w:p>
            <w:pPr>
              <w:spacing w:line="264" w:lineRule="auto" w:after="0"/>
              <w:jc w:val="left"/>
            </w:pPr>
            <w:r/>
            <w:r>
              <w:rPr>
                <w:rFonts w:ascii="宋体" w:hAnsi="宋体" w:eastAsia="宋体"/>
                <w:b w:val="0"/>
                <w:color w:val="000000"/>
                <w:sz w:val="20"/>
              </w:rPr>
              <w:t>适合固定路线</w:t>
            </w:r>
          </w:p>
        </w:tc>
        <w:tc>
          <w:tcPr>
            <w:tcW w:type="dxa" w:w="2721"/>
            <w:vAlign w:val="center"/>
          </w:tcPr>
          <w:p>
            <w:pPr>
              <w:spacing w:line="264" w:lineRule="auto" w:after="0"/>
              <w:jc w:val="left"/>
            </w:pPr>
            <w:r/>
            <w:r>
              <w:rPr>
                <w:rFonts w:ascii="宋体" w:hAnsi="宋体" w:eastAsia="宋体"/>
                <w:b w:val="0"/>
                <w:color w:val="000000"/>
                <w:sz w:val="20"/>
              </w:rPr>
              <w:t>适合多订单、多中继、多设备协同运营</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2.5 进入壁垒</w:t>
      </w:r>
    </w:p>
    <w:p>
      <w:pPr>
        <w:pStyle w:val="ListBullet"/>
        <w:spacing w:after="0"/>
      </w:pPr>
      <w:r>
        <w:rPr>
          <w:rFonts w:ascii="宋体" w:hAnsi="宋体" w:eastAsia="宋体"/>
          <w:b w:val="0"/>
          <w:color w:val="000000"/>
          <w:sz w:val="24"/>
        </w:rPr>
        <w:t>算法壁垒：统一候选空间 + ALNS 效率引擎 + 动态回退机制，形成复杂调度能力。</w:t>
      </w:r>
    </w:p>
    <w:p>
      <w:pPr>
        <w:pStyle w:val="ListBullet"/>
        <w:spacing w:after="0"/>
      </w:pPr>
      <w:r>
        <w:rPr>
          <w:rFonts w:ascii="宋体" w:hAnsi="宋体" w:eastAsia="宋体"/>
          <w:b w:val="0"/>
          <w:color w:val="000000"/>
          <w:sz w:val="24"/>
        </w:rPr>
        <w:t>数据壁垒：持续积累校园、园区、景区订单分布和中继点表现数据。</w:t>
      </w:r>
    </w:p>
    <w:p>
      <w:pPr>
        <w:pStyle w:val="ListBullet"/>
        <w:spacing w:after="0"/>
      </w:pPr>
      <w:r>
        <w:rPr>
          <w:rFonts w:ascii="宋体" w:hAnsi="宋体" w:eastAsia="宋体"/>
          <w:b w:val="0"/>
          <w:color w:val="000000"/>
          <w:sz w:val="24"/>
        </w:rPr>
        <w:t>场景壁垒：从湖南科技大学及周边场景建立样板，形成低成本试点入口。</w:t>
      </w:r>
    </w:p>
    <w:p>
      <w:pPr>
        <w:pStyle w:val="ListBullet"/>
        <w:spacing w:after="0"/>
      </w:pPr>
      <w:r>
        <w:rPr>
          <w:rFonts w:ascii="宋体" w:hAnsi="宋体" w:eastAsia="宋体"/>
          <w:b w:val="0"/>
          <w:color w:val="000000"/>
          <w:sz w:val="24"/>
        </w:rPr>
        <w:t>生态壁垒：与 UAV/AGV 厂商、园区运营方、后勤集团建立联合交付关系。</w:t>
      </w:r>
    </w:p>
    <w:p>
      <w:r>
        <w:br w:type="page"/>
      </w:r>
    </w:p>
    <w:p>
      <w:pPr>
        <w:pStyle w:val="Heading1"/>
        <w:jc w:val="center"/>
      </w:pPr>
      <w:r>
        <w:rPr>
          <w:rFonts w:ascii="黑体" w:hAnsi="黑体" w:eastAsia="黑体"/>
          <w:b w:val="0"/>
          <w:color w:val="000000"/>
          <w:sz w:val="32"/>
        </w:rPr>
        <w:t>第 3 章 产品与技术</w:t>
      </w:r>
    </w:p>
    <w:p>
      <w:pPr>
        <w:pStyle w:val="Heading2"/>
        <w:jc w:val="left"/>
      </w:pPr>
      <w:r>
        <w:rPr>
          <w:rFonts w:ascii="黑体" w:hAnsi="黑体" w:eastAsia="黑体"/>
          <w:b w:val="0"/>
          <w:color w:val="000000"/>
          <w:sz w:val="28"/>
        </w:rPr>
        <w:t>3.1 产品总体设计</w:t>
      </w:r>
    </w:p>
    <w:p>
      <w:pPr>
        <w:spacing w:line="300" w:lineRule="auto" w:after="0" w:before="0"/>
        <w:ind w:firstLine="480"/>
        <w:jc w:val="left"/>
      </w:pPr>
      <w:r>
        <w:rPr>
          <w:rFonts w:ascii="宋体" w:hAnsi="宋体" w:eastAsia="宋体"/>
          <w:b w:val="0"/>
          <w:color w:val="000000"/>
          <w:sz w:val="24"/>
        </w:rPr>
        <w:t>产品由“一个调度大脑、两类移动终端、三套经营看板”构成。一个调度大脑指云端智能调度平台；两类移动终端指 UAV 空中配送终端和 AGV 地面移动中继终端；三套经营看板分别面向运营人员、管理者和客户展示路线、成本、能耗、碳排和风险。</w:t>
      </w:r>
    </w:p>
    <w:p>
      <w:pPr>
        <w:spacing w:line="300" w:lineRule="auto" w:after="0" w:before="0"/>
        <w:ind w:firstLine="480"/>
        <w:jc w:val="left"/>
      </w:pPr>
      <w:r>
        <w:rPr>
          <w:rFonts w:ascii="宋体" w:hAnsi="宋体" w:eastAsia="宋体"/>
          <w:b w:val="0"/>
          <w:color w:val="000000"/>
          <w:sz w:val="24"/>
        </w:rPr>
        <w:t>平台输入包括总站位置、订单终点、路网节点、可停靠点、UAV 参数、AGV 参数、时间窗和禁飞/禁行区域；平台输出包括候选中继点、订单分配、AGV 支援路线、UAV 飞行路线、预计送达时间、单票能耗、碳排放和回退预案。</w:t>
      </w:r>
    </w:p>
    <w:p>
      <w:pPr>
        <w:pStyle w:val="Heading2"/>
        <w:jc w:val="left"/>
      </w:pPr>
      <w:r>
        <w:rPr>
          <w:rFonts w:ascii="黑体" w:hAnsi="黑体" w:eastAsia="黑体"/>
          <w:b w:val="0"/>
          <w:color w:val="000000"/>
          <w:sz w:val="28"/>
        </w:rPr>
        <w:t>3.2 软硬件产品形态</w:t>
      </w:r>
    </w:p>
    <w:p>
      <w:pPr>
        <w:spacing w:line="300" w:lineRule="auto" w:after="0" w:before="0"/>
        <w:ind w:firstLine="480"/>
        <w:jc w:val="left"/>
      </w:pPr>
      <w:r>
        <w:rPr>
          <w:rFonts w:ascii="宋体" w:hAnsi="宋体" w:eastAsia="宋体"/>
          <w:b w:val="0"/>
          <w:color w:val="000000"/>
          <w:sz w:val="24"/>
        </w:rPr>
        <w:t>为避免只谈软件，本项目规划“软件平台 + 硬件中继套件”的产品形态。硬件不由团队从零制造，而是与成熟 UAV/AGV 厂商集成，团队提供调度软件、中继控制逻辑和可视化看板。</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701"/>
            <w:vAlign w:val="center"/>
          </w:tcPr>
          <w:p>
            <w:pPr>
              <w:spacing w:line="264" w:lineRule="auto" w:after="0"/>
              <w:jc w:val="center"/>
            </w:pPr>
            <w:r/>
            <w:r>
              <w:rPr>
                <w:rFonts w:ascii="宋体" w:hAnsi="宋体" w:eastAsia="宋体"/>
                <w:b/>
                <w:color w:val="000000"/>
                <w:sz w:val="21"/>
              </w:rPr>
              <w:t>模块</w:t>
            </w:r>
          </w:p>
        </w:tc>
        <w:tc>
          <w:tcPr>
            <w:tcW w:type="dxa" w:w="3118"/>
            <w:vAlign w:val="center"/>
          </w:tcPr>
          <w:p>
            <w:pPr>
              <w:spacing w:line="264" w:lineRule="auto" w:after="0"/>
              <w:jc w:val="center"/>
            </w:pPr>
            <w:r/>
            <w:r>
              <w:rPr>
                <w:rFonts w:ascii="宋体" w:hAnsi="宋体" w:eastAsia="宋体"/>
                <w:b/>
                <w:color w:val="000000"/>
                <w:sz w:val="21"/>
              </w:rPr>
              <w:t>形态</w:t>
            </w:r>
          </w:p>
        </w:tc>
        <w:tc>
          <w:tcPr>
            <w:tcW w:type="dxa" w:w="3402"/>
            <w:vAlign w:val="center"/>
          </w:tcPr>
          <w:p>
            <w:pPr>
              <w:spacing w:line="264" w:lineRule="auto" w:after="0"/>
              <w:jc w:val="center"/>
            </w:pPr>
            <w:r/>
            <w:r>
              <w:rPr>
                <w:rFonts w:ascii="宋体" w:hAnsi="宋体" w:eastAsia="宋体"/>
                <w:b/>
                <w:color w:val="000000"/>
                <w:sz w:val="21"/>
              </w:rPr>
              <w:t>功能</w:t>
            </w:r>
          </w:p>
        </w:tc>
      </w:tr>
      <w:tr>
        <w:tc>
          <w:tcPr>
            <w:tcW w:type="dxa" w:w="1701"/>
            <w:vAlign w:val="center"/>
          </w:tcPr>
          <w:p>
            <w:pPr>
              <w:spacing w:line="264" w:lineRule="auto" w:after="0"/>
              <w:jc w:val="left"/>
            </w:pPr>
            <w:r/>
            <w:r>
              <w:rPr>
                <w:rFonts w:ascii="宋体" w:hAnsi="宋体" w:eastAsia="宋体"/>
                <w:b w:val="0"/>
                <w:color w:val="000000"/>
                <w:sz w:val="20"/>
              </w:rPr>
              <w:t>云端调度平台</w:t>
            </w:r>
          </w:p>
        </w:tc>
        <w:tc>
          <w:tcPr>
            <w:tcW w:type="dxa" w:w="3118"/>
            <w:vAlign w:val="center"/>
          </w:tcPr>
          <w:p>
            <w:pPr>
              <w:spacing w:line="264" w:lineRule="auto" w:after="0"/>
              <w:jc w:val="left"/>
            </w:pPr>
            <w:r/>
            <w:r>
              <w:rPr>
                <w:rFonts w:ascii="宋体" w:hAnsi="宋体" w:eastAsia="宋体"/>
                <w:b w:val="0"/>
                <w:color w:val="000000"/>
                <w:sz w:val="20"/>
              </w:rPr>
              <w:t>Web 控制台 / SaaS 平台</w:t>
            </w:r>
          </w:p>
        </w:tc>
        <w:tc>
          <w:tcPr>
            <w:tcW w:type="dxa" w:w="3402"/>
            <w:vAlign w:val="center"/>
          </w:tcPr>
          <w:p>
            <w:pPr>
              <w:spacing w:line="264" w:lineRule="auto" w:after="0"/>
              <w:jc w:val="left"/>
            </w:pPr>
            <w:r/>
            <w:r>
              <w:rPr>
                <w:rFonts w:ascii="宋体" w:hAnsi="宋体" w:eastAsia="宋体"/>
                <w:b w:val="0"/>
                <w:color w:val="000000"/>
                <w:sz w:val="20"/>
              </w:rPr>
              <w:t>订单导入、路径计算、中继点选择、运营看板</w:t>
            </w:r>
          </w:p>
        </w:tc>
      </w:tr>
      <w:tr>
        <w:tc>
          <w:tcPr>
            <w:tcW w:type="dxa" w:w="1701"/>
            <w:vAlign w:val="center"/>
          </w:tcPr>
          <w:p>
            <w:pPr>
              <w:spacing w:line="264" w:lineRule="auto" w:after="0"/>
              <w:jc w:val="left"/>
            </w:pPr>
            <w:r/>
            <w:r>
              <w:rPr>
                <w:rFonts w:ascii="宋体" w:hAnsi="宋体" w:eastAsia="宋体"/>
                <w:b w:val="0"/>
                <w:color w:val="000000"/>
                <w:sz w:val="20"/>
              </w:rPr>
              <w:t>AGV 移动中继车</w:t>
            </w:r>
          </w:p>
        </w:tc>
        <w:tc>
          <w:tcPr>
            <w:tcW w:type="dxa" w:w="3118"/>
            <w:vAlign w:val="center"/>
          </w:tcPr>
          <w:p>
            <w:pPr>
              <w:spacing w:line="264" w:lineRule="auto" w:after="0"/>
              <w:jc w:val="left"/>
            </w:pPr>
            <w:r/>
            <w:r>
              <w:rPr>
                <w:rFonts w:ascii="宋体" w:hAnsi="宋体" w:eastAsia="宋体"/>
                <w:b w:val="0"/>
                <w:color w:val="000000"/>
                <w:sz w:val="20"/>
              </w:rPr>
              <w:t>搭载 UAV 起降平台和补能接口的无人车</w:t>
            </w:r>
          </w:p>
        </w:tc>
        <w:tc>
          <w:tcPr>
            <w:tcW w:type="dxa" w:w="3402"/>
            <w:vAlign w:val="center"/>
          </w:tcPr>
          <w:p>
            <w:pPr>
              <w:spacing w:line="264" w:lineRule="auto" w:after="0"/>
              <w:jc w:val="left"/>
            </w:pPr>
            <w:r/>
            <w:r>
              <w:rPr>
                <w:rFonts w:ascii="宋体" w:hAnsi="宋体" w:eastAsia="宋体"/>
                <w:b w:val="0"/>
                <w:color w:val="000000"/>
                <w:sz w:val="20"/>
              </w:rPr>
              <w:t>沿路网移动，承担释放、回收、补能和等待支撑</w:t>
            </w:r>
          </w:p>
        </w:tc>
      </w:tr>
      <w:tr>
        <w:tc>
          <w:tcPr>
            <w:tcW w:type="dxa" w:w="1701"/>
            <w:vAlign w:val="center"/>
          </w:tcPr>
          <w:p>
            <w:pPr>
              <w:spacing w:line="264" w:lineRule="auto" w:after="0"/>
              <w:jc w:val="left"/>
            </w:pPr>
            <w:r/>
            <w:r>
              <w:rPr>
                <w:rFonts w:ascii="宋体" w:hAnsi="宋体" w:eastAsia="宋体"/>
                <w:b w:val="0"/>
                <w:color w:val="000000"/>
                <w:sz w:val="20"/>
              </w:rPr>
              <w:t>UAV 末端配送机</w:t>
            </w:r>
          </w:p>
        </w:tc>
        <w:tc>
          <w:tcPr>
            <w:tcW w:type="dxa" w:w="3118"/>
            <w:vAlign w:val="center"/>
          </w:tcPr>
          <w:p>
            <w:pPr>
              <w:spacing w:line="264" w:lineRule="auto" w:after="0"/>
              <w:jc w:val="left"/>
            </w:pPr>
            <w:r/>
            <w:r>
              <w:rPr>
                <w:rFonts w:ascii="宋体" w:hAnsi="宋体" w:eastAsia="宋体"/>
                <w:b w:val="0"/>
                <w:color w:val="000000"/>
                <w:sz w:val="20"/>
              </w:rPr>
              <w:t>小载重多旋翼无人机</w:t>
            </w:r>
          </w:p>
        </w:tc>
        <w:tc>
          <w:tcPr>
            <w:tcW w:type="dxa" w:w="3402"/>
            <w:vAlign w:val="center"/>
          </w:tcPr>
          <w:p>
            <w:pPr>
              <w:spacing w:line="264" w:lineRule="auto" w:after="0"/>
              <w:jc w:val="left"/>
            </w:pPr>
            <w:r/>
            <w:r>
              <w:rPr>
                <w:rFonts w:ascii="宋体" w:hAnsi="宋体" w:eastAsia="宋体"/>
                <w:b w:val="0"/>
                <w:color w:val="000000"/>
                <w:sz w:val="20"/>
              </w:rPr>
              <w:t>完成中继点到终点的短距离末端配送</w:t>
            </w:r>
          </w:p>
        </w:tc>
      </w:tr>
      <w:tr>
        <w:tc>
          <w:tcPr>
            <w:tcW w:type="dxa" w:w="1701"/>
            <w:vAlign w:val="center"/>
          </w:tcPr>
          <w:p>
            <w:pPr>
              <w:spacing w:line="264" w:lineRule="auto" w:after="0"/>
              <w:jc w:val="left"/>
            </w:pPr>
            <w:r/>
            <w:r>
              <w:rPr>
                <w:rFonts w:ascii="宋体" w:hAnsi="宋体" w:eastAsia="宋体"/>
                <w:b w:val="0"/>
                <w:color w:val="000000"/>
                <w:sz w:val="20"/>
              </w:rPr>
              <w:t>边缘控制盒</w:t>
            </w:r>
          </w:p>
        </w:tc>
        <w:tc>
          <w:tcPr>
            <w:tcW w:type="dxa" w:w="3118"/>
            <w:vAlign w:val="center"/>
          </w:tcPr>
          <w:p>
            <w:pPr>
              <w:spacing w:line="264" w:lineRule="auto" w:after="0"/>
              <w:jc w:val="left"/>
            </w:pPr>
            <w:r/>
            <w:r>
              <w:rPr>
                <w:rFonts w:ascii="宋体" w:hAnsi="宋体" w:eastAsia="宋体"/>
                <w:b w:val="0"/>
                <w:color w:val="000000"/>
                <w:sz w:val="20"/>
              </w:rPr>
              <w:t>安装在 AGV 上的轻量计算单元</w:t>
            </w:r>
          </w:p>
        </w:tc>
        <w:tc>
          <w:tcPr>
            <w:tcW w:type="dxa" w:w="3402"/>
            <w:vAlign w:val="center"/>
          </w:tcPr>
          <w:p>
            <w:pPr>
              <w:spacing w:line="264" w:lineRule="auto" w:after="0"/>
              <w:jc w:val="left"/>
            </w:pPr>
            <w:r/>
            <w:r>
              <w:rPr>
                <w:rFonts w:ascii="宋体" w:hAnsi="宋体" w:eastAsia="宋体"/>
                <w:b w:val="0"/>
                <w:color w:val="000000"/>
                <w:sz w:val="20"/>
              </w:rPr>
              <w:t>本地接收调度指令，处理异常回退和通信中断</w:t>
            </w:r>
          </w:p>
        </w:tc>
      </w:tr>
      <w:tr>
        <w:tc>
          <w:tcPr>
            <w:tcW w:type="dxa" w:w="1701"/>
            <w:vAlign w:val="center"/>
          </w:tcPr>
          <w:p>
            <w:pPr>
              <w:spacing w:line="264" w:lineRule="auto" w:after="0"/>
              <w:jc w:val="left"/>
            </w:pPr>
            <w:r/>
            <w:r>
              <w:rPr>
                <w:rFonts w:ascii="宋体" w:hAnsi="宋体" w:eastAsia="宋体"/>
                <w:b w:val="0"/>
                <w:color w:val="000000"/>
                <w:sz w:val="20"/>
              </w:rPr>
              <w:t>运营驾驶舱</w:t>
            </w:r>
          </w:p>
        </w:tc>
        <w:tc>
          <w:tcPr>
            <w:tcW w:type="dxa" w:w="3118"/>
            <w:vAlign w:val="center"/>
          </w:tcPr>
          <w:p>
            <w:pPr>
              <w:spacing w:line="264" w:lineRule="auto" w:after="0"/>
              <w:jc w:val="left"/>
            </w:pPr>
            <w:r/>
            <w:r>
              <w:rPr>
                <w:rFonts w:ascii="宋体" w:hAnsi="宋体" w:eastAsia="宋体"/>
                <w:b w:val="0"/>
                <w:color w:val="000000"/>
                <w:sz w:val="20"/>
              </w:rPr>
              <w:t>管理端大屏/网页</w:t>
            </w:r>
          </w:p>
        </w:tc>
        <w:tc>
          <w:tcPr>
            <w:tcW w:type="dxa" w:w="3402"/>
            <w:vAlign w:val="center"/>
          </w:tcPr>
          <w:p>
            <w:pPr>
              <w:spacing w:line="264" w:lineRule="auto" w:after="0"/>
              <w:jc w:val="left"/>
            </w:pPr>
            <w:r/>
            <w:r>
              <w:rPr>
                <w:rFonts w:ascii="宋体" w:hAnsi="宋体" w:eastAsia="宋体"/>
                <w:b w:val="0"/>
                <w:color w:val="000000"/>
                <w:sz w:val="20"/>
              </w:rPr>
              <w:t>展示完成率、准时率、能耗、碳排、异常订单和设备状态</w:t>
            </w:r>
          </w:p>
        </w:tc>
      </w:tr>
    </w:tbl>
    <w:p>
      <w:pPr>
        <w:spacing w:line="300" w:lineRule="auto" w:after="40" w:before="0"/>
        <w:jc w:val="left"/>
      </w:pPr>
      <w:r>
        <w:rPr>
          <w:rFonts w:ascii="宋体" w:hAnsi="宋体" w:eastAsia="宋体"/>
          <w:b w:val="0"/>
          <w:color w:val="000000"/>
          <w:sz w:val="24"/>
        </w:rPr>
      </w:r>
    </w:p>
    <w:p>
      <w:pPr>
        <w:spacing w:line="300" w:lineRule="auto" w:after="0" w:before="0"/>
        <w:ind w:firstLine="480"/>
        <w:jc w:val="left"/>
      </w:pPr>
      <w:r>
        <w:rPr>
          <w:rFonts w:ascii="宋体" w:hAnsi="宋体" w:eastAsia="宋体"/>
          <w:b w:val="0"/>
          <w:color w:val="000000"/>
          <w:sz w:val="24"/>
        </w:rPr>
        <w:t>文字版产品架构图：订单系统 → 云端调度大脑 → 候选中继点引擎 → UAV/AGV 协同调度 → AGV 移动中继车 → UAV 末端配送 → 运营驾驶舱与碳排报告。</w:t>
      </w:r>
    </w:p>
    <w:p>
      <w:pPr>
        <w:pStyle w:val="Heading2"/>
        <w:jc w:val="left"/>
      </w:pPr>
      <w:r>
        <w:rPr>
          <w:rFonts w:ascii="黑体" w:hAnsi="黑体" w:eastAsia="黑体"/>
          <w:b w:val="0"/>
          <w:color w:val="000000"/>
          <w:sz w:val="28"/>
        </w:rPr>
        <w:t>3.3 技术商业化表达</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814"/>
            <w:vAlign w:val="center"/>
          </w:tcPr>
          <w:p>
            <w:pPr>
              <w:spacing w:line="264" w:lineRule="auto" w:after="0"/>
              <w:jc w:val="center"/>
            </w:pPr>
            <w:r/>
            <w:r>
              <w:rPr>
                <w:rFonts w:ascii="宋体" w:hAnsi="宋体" w:eastAsia="宋体"/>
                <w:b/>
                <w:color w:val="000000"/>
                <w:sz w:val="21"/>
              </w:rPr>
              <w:t>原技术表达</w:t>
            </w:r>
          </w:p>
        </w:tc>
        <w:tc>
          <w:tcPr>
            <w:tcW w:type="dxa" w:w="2551"/>
            <w:vAlign w:val="center"/>
          </w:tcPr>
          <w:p>
            <w:pPr>
              <w:spacing w:line="264" w:lineRule="auto" w:after="0"/>
              <w:jc w:val="center"/>
            </w:pPr>
            <w:r/>
            <w:r>
              <w:rPr>
                <w:rFonts w:ascii="宋体" w:hAnsi="宋体" w:eastAsia="宋体"/>
                <w:b/>
                <w:color w:val="000000"/>
                <w:sz w:val="21"/>
              </w:rPr>
              <w:t>商业化表达</w:t>
            </w:r>
          </w:p>
        </w:tc>
        <w:tc>
          <w:tcPr>
            <w:tcW w:type="dxa" w:w="3685"/>
            <w:vAlign w:val="center"/>
          </w:tcPr>
          <w:p>
            <w:pPr>
              <w:spacing w:line="264" w:lineRule="auto" w:after="0"/>
              <w:jc w:val="center"/>
            </w:pPr>
            <w:r/>
            <w:r>
              <w:rPr>
                <w:rFonts w:ascii="宋体" w:hAnsi="宋体" w:eastAsia="宋体"/>
                <w:b/>
                <w:color w:val="000000"/>
                <w:sz w:val="21"/>
              </w:rPr>
              <w:t>客户听得懂的价值</w:t>
            </w:r>
          </w:p>
        </w:tc>
      </w:tr>
      <w:tr>
        <w:tc>
          <w:tcPr>
            <w:tcW w:type="dxa" w:w="1814"/>
            <w:vAlign w:val="center"/>
          </w:tcPr>
          <w:p>
            <w:pPr>
              <w:spacing w:line="264" w:lineRule="auto" w:after="0"/>
              <w:jc w:val="left"/>
            </w:pPr>
            <w:r/>
            <w:r>
              <w:rPr>
                <w:rFonts w:ascii="宋体" w:hAnsi="宋体" w:eastAsia="宋体"/>
                <w:b w:val="0"/>
                <w:color w:val="000000"/>
                <w:sz w:val="20"/>
              </w:rPr>
              <w:t>ALNS 算法</w:t>
            </w:r>
          </w:p>
        </w:tc>
        <w:tc>
          <w:tcPr>
            <w:tcW w:type="dxa" w:w="2551"/>
            <w:vAlign w:val="center"/>
          </w:tcPr>
          <w:p>
            <w:pPr>
              <w:spacing w:line="264" w:lineRule="auto" w:after="0"/>
              <w:jc w:val="left"/>
            </w:pPr>
            <w:r/>
            <w:r>
              <w:rPr>
                <w:rFonts w:ascii="宋体" w:hAnsi="宋体" w:eastAsia="宋体"/>
                <w:b w:val="0"/>
                <w:color w:val="000000"/>
                <w:sz w:val="20"/>
              </w:rPr>
              <w:t>百万级路径组合的效率引擎</w:t>
            </w:r>
          </w:p>
        </w:tc>
        <w:tc>
          <w:tcPr>
            <w:tcW w:type="dxa" w:w="3685"/>
            <w:vAlign w:val="center"/>
          </w:tcPr>
          <w:p>
            <w:pPr>
              <w:spacing w:line="264" w:lineRule="auto" w:after="0"/>
              <w:jc w:val="left"/>
            </w:pPr>
            <w:r/>
            <w:r>
              <w:rPr>
                <w:rFonts w:ascii="宋体" w:hAnsi="宋体" w:eastAsia="宋体"/>
                <w:b w:val="0"/>
                <w:color w:val="000000"/>
                <w:sz w:val="20"/>
              </w:rPr>
              <w:t>从海量方案里快速找出更省钱、更准时的配送方式</w:t>
            </w:r>
          </w:p>
        </w:tc>
      </w:tr>
      <w:tr>
        <w:tc>
          <w:tcPr>
            <w:tcW w:type="dxa" w:w="1814"/>
            <w:vAlign w:val="center"/>
          </w:tcPr>
          <w:p>
            <w:pPr>
              <w:spacing w:line="264" w:lineRule="auto" w:after="0"/>
              <w:jc w:val="left"/>
            </w:pPr>
            <w:r/>
            <w:r>
              <w:rPr>
                <w:rFonts w:ascii="宋体" w:hAnsi="宋体" w:eastAsia="宋体"/>
                <w:b w:val="0"/>
                <w:color w:val="000000"/>
                <w:sz w:val="20"/>
              </w:rPr>
              <w:t>候选中继点生成</w:t>
            </w:r>
          </w:p>
        </w:tc>
        <w:tc>
          <w:tcPr>
            <w:tcW w:type="dxa" w:w="2551"/>
            <w:vAlign w:val="center"/>
          </w:tcPr>
          <w:p>
            <w:pPr>
              <w:spacing w:line="264" w:lineRule="auto" w:after="0"/>
              <w:jc w:val="left"/>
            </w:pPr>
            <w:r/>
            <w:r>
              <w:rPr>
                <w:rFonts w:ascii="宋体" w:hAnsi="宋体" w:eastAsia="宋体"/>
                <w:b w:val="0"/>
                <w:color w:val="000000"/>
                <w:sz w:val="20"/>
              </w:rPr>
              <w:t>移动起降点自动选址工具</w:t>
            </w:r>
          </w:p>
        </w:tc>
        <w:tc>
          <w:tcPr>
            <w:tcW w:type="dxa" w:w="3685"/>
            <w:vAlign w:val="center"/>
          </w:tcPr>
          <w:p>
            <w:pPr>
              <w:spacing w:line="264" w:lineRule="auto" w:after="0"/>
              <w:jc w:val="left"/>
            </w:pPr>
            <w:r/>
            <w:r>
              <w:rPr>
                <w:rFonts w:ascii="宋体" w:hAnsi="宋体" w:eastAsia="宋体"/>
                <w:b w:val="0"/>
                <w:color w:val="000000"/>
                <w:sz w:val="20"/>
              </w:rPr>
              <w:t>告诉客户 AGV 停在哪里最划算</w:t>
            </w:r>
          </w:p>
        </w:tc>
      </w:tr>
      <w:tr>
        <w:tc>
          <w:tcPr>
            <w:tcW w:type="dxa" w:w="1814"/>
            <w:vAlign w:val="center"/>
          </w:tcPr>
          <w:p>
            <w:pPr>
              <w:spacing w:line="264" w:lineRule="auto" w:after="0"/>
              <w:jc w:val="left"/>
            </w:pPr>
            <w:r/>
            <w:r>
              <w:rPr>
                <w:rFonts w:ascii="宋体" w:hAnsi="宋体" w:eastAsia="宋体"/>
                <w:b w:val="0"/>
                <w:color w:val="000000"/>
                <w:sz w:val="20"/>
              </w:rPr>
              <w:t>动态回退机制</w:t>
            </w:r>
          </w:p>
        </w:tc>
        <w:tc>
          <w:tcPr>
            <w:tcW w:type="dxa" w:w="2551"/>
            <w:vAlign w:val="center"/>
          </w:tcPr>
          <w:p>
            <w:pPr>
              <w:spacing w:line="264" w:lineRule="auto" w:after="0"/>
              <w:jc w:val="left"/>
            </w:pPr>
            <w:r/>
            <w:r>
              <w:rPr>
                <w:rFonts w:ascii="宋体" w:hAnsi="宋体" w:eastAsia="宋体"/>
                <w:b w:val="0"/>
                <w:color w:val="000000"/>
                <w:sz w:val="20"/>
              </w:rPr>
              <w:t>异常订单自救系统</w:t>
            </w:r>
          </w:p>
        </w:tc>
        <w:tc>
          <w:tcPr>
            <w:tcW w:type="dxa" w:w="3685"/>
            <w:vAlign w:val="center"/>
          </w:tcPr>
          <w:p>
            <w:pPr>
              <w:spacing w:line="264" w:lineRule="auto" w:after="0"/>
              <w:jc w:val="left"/>
            </w:pPr>
            <w:r/>
            <w:r>
              <w:rPr>
                <w:rFonts w:ascii="宋体" w:hAnsi="宋体" w:eastAsia="宋体"/>
                <w:b w:val="0"/>
                <w:color w:val="000000"/>
                <w:sz w:val="20"/>
              </w:rPr>
              <w:t>遇到电量不足、道路堵塞、中继点不可用时自动重排</w:t>
            </w:r>
          </w:p>
        </w:tc>
      </w:tr>
      <w:tr>
        <w:tc>
          <w:tcPr>
            <w:tcW w:type="dxa" w:w="1814"/>
            <w:vAlign w:val="center"/>
          </w:tcPr>
          <w:p>
            <w:pPr>
              <w:spacing w:line="264" w:lineRule="auto" w:after="0"/>
              <w:jc w:val="left"/>
            </w:pPr>
            <w:r/>
            <w:r>
              <w:rPr>
                <w:rFonts w:ascii="宋体" w:hAnsi="宋体" w:eastAsia="宋体"/>
                <w:b w:val="0"/>
                <w:color w:val="000000"/>
                <w:sz w:val="20"/>
              </w:rPr>
              <w:t>能耗模型</w:t>
            </w:r>
          </w:p>
        </w:tc>
        <w:tc>
          <w:tcPr>
            <w:tcW w:type="dxa" w:w="2551"/>
            <w:vAlign w:val="center"/>
          </w:tcPr>
          <w:p>
            <w:pPr>
              <w:spacing w:line="264" w:lineRule="auto" w:after="0"/>
              <w:jc w:val="left"/>
            </w:pPr>
            <w:r/>
            <w:r>
              <w:rPr>
                <w:rFonts w:ascii="宋体" w:hAnsi="宋体" w:eastAsia="宋体"/>
                <w:b w:val="0"/>
                <w:color w:val="000000"/>
                <w:sz w:val="20"/>
              </w:rPr>
              <w:t>单票绿色账本</w:t>
            </w:r>
          </w:p>
        </w:tc>
        <w:tc>
          <w:tcPr>
            <w:tcW w:type="dxa" w:w="3685"/>
            <w:vAlign w:val="center"/>
          </w:tcPr>
          <w:p>
            <w:pPr>
              <w:spacing w:line="264" w:lineRule="auto" w:after="0"/>
              <w:jc w:val="left"/>
            </w:pPr>
            <w:r/>
            <w:r>
              <w:rPr>
                <w:rFonts w:ascii="宋体" w:hAnsi="宋体" w:eastAsia="宋体"/>
                <w:b w:val="0"/>
                <w:color w:val="000000"/>
                <w:sz w:val="20"/>
              </w:rPr>
              <w:t>每一单消耗多少能量、减少多少碳排都能算</w:t>
            </w:r>
          </w:p>
        </w:tc>
      </w:tr>
      <w:tr>
        <w:tc>
          <w:tcPr>
            <w:tcW w:type="dxa" w:w="1814"/>
            <w:vAlign w:val="center"/>
          </w:tcPr>
          <w:p>
            <w:pPr>
              <w:spacing w:line="264" w:lineRule="auto" w:after="0"/>
              <w:jc w:val="left"/>
            </w:pPr>
            <w:r/>
            <w:r>
              <w:rPr>
                <w:rFonts w:ascii="宋体" w:hAnsi="宋体" w:eastAsia="宋体"/>
                <w:b w:val="0"/>
                <w:color w:val="000000"/>
                <w:sz w:val="20"/>
              </w:rPr>
              <w:t>仿真系统</w:t>
            </w:r>
          </w:p>
        </w:tc>
        <w:tc>
          <w:tcPr>
            <w:tcW w:type="dxa" w:w="2551"/>
            <w:vAlign w:val="center"/>
          </w:tcPr>
          <w:p>
            <w:pPr>
              <w:spacing w:line="264" w:lineRule="auto" w:after="0"/>
              <w:jc w:val="left"/>
            </w:pPr>
            <w:r/>
            <w:r>
              <w:rPr>
                <w:rFonts w:ascii="宋体" w:hAnsi="宋体" w:eastAsia="宋体"/>
                <w:b w:val="0"/>
                <w:color w:val="000000"/>
                <w:sz w:val="20"/>
              </w:rPr>
              <w:t>低空配送沙盘</w:t>
            </w:r>
          </w:p>
        </w:tc>
        <w:tc>
          <w:tcPr>
            <w:tcW w:type="dxa" w:w="3685"/>
            <w:vAlign w:val="center"/>
          </w:tcPr>
          <w:p>
            <w:pPr>
              <w:spacing w:line="264" w:lineRule="auto" w:after="0"/>
              <w:jc w:val="left"/>
            </w:pPr>
            <w:r/>
            <w:r>
              <w:rPr>
                <w:rFonts w:ascii="宋体" w:hAnsi="宋体" w:eastAsia="宋体"/>
                <w:b w:val="0"/>
                <w:color w:val="000000"/>
                <w:sz w:val="20"/>
              </w:rPr>
              <w:t>先在电脑里跑通，再决定是否投入硬件</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3.4 数据验证与价值测算</w:t>
      </w:r>
    </w:p>
    <w:p>
      <w:pPr>
        <w:spacing w:line="300" w:lineRule="auto" w:after="0" w:before="0"/>
        <w:ind w:firstLine="480"/>
        <w:jc w:val="left"/>
      </w:pPr>
      <w:r>
        <w:rPr>
          <w:rFonts w:ascii="宋体" w:hAnsi="宋体" w:eastAsia="宋体"/>
          <w:b w:val="0"/>
          <w:color w:val="000000"/>
          <w:sz w:val="24"/>
        </w:rPr>
        <w:t>现有仿真结果显示，协同中继策略在完成率、准时率和单位能耗上均优于基线直送。以小型场景为例，单任务能耗从 61.26 降至 49.70，下降约 18.9%；单位距离能耗从 0.226 降至 0.187，下降约 17.3%；完成率和准时率由 70% 提升至 100%。</w:t>
      </w:r>
    </w:p>
    <w:tbl>
      <w:tblPr>
        <w:tblStyle w:val="TableGrid"/>
        <w:tblW w:type="auto" w:w="0"/>
        <w:jc w:val="center"/>
        <w:tblLayout w:type="fixed"/>
        <w:tblLook w:firstColumn="1" w:firstRow="1" w:lastColumn="0" w:lastRow="0" w:noHBand="0" w:noVBand="1" w:val="04A0"/>
      </w:tblPr>
      <w:tblGrid>
        <w:gridCol w:w="1855"/>
        <w:gridCol w:w="1855"/>
        <w:gridCol w:w="1855"/>
        <w:gridCol w:w="1855"/>
        <w:gridCol w:w="1855"/>
      </w:tblGrid>
      <w:tr>
        <w:tc>
          <w:tcPr>
            <w:tcW w:type="dxa" w:w="1474"/>
            <w:vAlign w:val="center"/>
          </w:tcPr>
          <w:p>
            <w:pPr>
              <w:spacing w:line="264" w:lineRule="auto" w:after="0"/>
              <w:jc w:val="center"/>
            </w:pPr>
            <w:r/>
            <w:r>
              <w:rPr>
                <w:rFonts w:ascii="宋体" w:hAnsi="宋体" w:eastAsia="宋体"/>
                <w:b/>
                <w:color w:val="000000"/>
                <w:sz w:val="21"/>
              </w:rPr>
              <w:t>指标</w:t>
            </w:r>
          </w:p>
        </w:tc>
        <w:tc>
          <w:tcPr>
            <w:tcW w:type="dxa" w:w="1361"/>
            <w:vAlign w:val="center"/>
          </w:tcPr>
          <w:p>
            <w:pPr>
              <w:spacing w:line="264" w:lineRule="auto" w:after="0"/>
              <w:jc w:val="center"/>
            </w:pPr>
            <w:r/>
            <w:r>
              <w:rPr>
                <w:rFonts w:ascii="宋体" w:hAnsi="宋体" w:eastAsia="宋体"/>
                <w:b/>
                <w:color w:val="000000"/>
                <w:sz w:val="21"/>
              </w:rPr>
              <w:t>基线直送</w:t>
            </w:r>
          </w:p>
        </w:tc>
        <w:tc>
          <w:tcPr>
            <w:tcW w:type="dxa" w:w="1361"/>
            <w:vAlign w:val="center"/>
          </w:tcPr>
          <w:p>
            <w:pPr>
              <w:spacing w:line="264" w:lineRule="auto" w:after="0"/>
              <w:jc w:val="center"/>
            </w:pPr>
            <w:r/>
            <w:r>
              <w:rPr>
                <w:rFonts w:ascii="宋体" w:hAnsi="宋体" w:eastAsia="宋体"/>
                <w:b/>
                <w:color w:val="000000"/>
                <w:sz w:val="21"/>
              </w:rPr>
              <w:t>空地协同</w:t>
            </w:r>
          </w:p>
        </w:tc>
        <w:tc>
          <w:tcPr>
            <w:tcW w:type="dxa" w:w="1587"/>
            <w:vAlign w:val="center"/>
          </w:tcPr>
          <w:p>
            <w:pPr>
              <w:spacing w:line="264" w:lineRule="auto" w:after="0"/>
              <w:jc w:val="center"/>
            </w:pPr>
            <w:r/>
            <w:r>
              <w:rPr>
                <w:rFonts w:ascii="宋体" w:hAnsi="宋体" w:eastAsia="宋体"/>
                <w:b/>
                <w:color w:val="000000"/>
                <w:sz w:val="21"/>
              </w:rPr>
              <w:t>提升效果</w:t>
            </w:r>
          </w:p>
        </w:tc>
        <w:tc>
          <w:tcPr>
            <w:tcW w:type="dxa" w:w="2494"/>
            <w:vAlign w:val="center"/>
          </w:tcPr>
          <w:p>
            <w:pPr>
              <w:spacing w:line="264" w:lineRule="auto" w:after="0"/>
              <w:jc w:val="center"/>
            </w:pPr>
            <w:r/>
            <w:r>
              <w:rPr>
                <w:rFonts w:ascii="宋体" w:hAnsi="宋体" w:eastAsia="宋体"/>
                <w:b/>
                <w:color w:val="000000"/>
                <w:sz w:val="21"/>
              </w:rPr>
              <w:t>商业解读</w:t>
            </w:r>
          </w:p>
        </w:tc>
      </w:tr>
      <w:tr>
        <w:tc>
          <w:tcPr>
            <w:tcW w:type="dxa" w:w="1474"/>
            <w:vAlign w:val="center"/>
          </w:tcPr>
          <w:p>
            <w:pPr>
              <w:spacing w:line="264" w:lineRule="auto" w:after="0"/>
              <w:jc w:val="left"/>
            </w:pPr>
            <w:r/>
            <w:r>
              <w:rPr>
                <w:rFonts w:ascii="宋体" w:hAnsi="宋体" w:eastAsia="宋体"/>
                <w:b w:val="0"/>
                <w:color w:val="000000"/>
                <w:sz w:val="20"/>
              </w:rPr>
              <w:t>完成率</w:t>
            </w:r>
          </w:p>
        </w:tc>
        <w:tc>
          <w:tcPr>
            <w:tcW w:type="dxa" w:w="1361"/>
            <w:vAlign w:val="center"/>
          </w:tcPr>
          <w:p>
            <w:pPr>
              <w:spacing w:line="264" w:lineRule="auto" w:after="0"/>
              <w:jc w:val="left"/>
            </w:pPr>
            <w:r/>
            <w:r>
              <w:rPr>
                <w:rFonts w:ascii="宋体" w:hAnsi="宋体" w:eastAsia="宋体"/>
                <w:b w:val="0"/>
                <w:color w:val="000000"/>
                <w:sz w:val="20"/>
              </w:rPr>
              <w:t>70%</w:t>
            </w:r>
          </w:p>
        </w:tc>
        <w:tc>
          <w:tcPr>
            <w:tcW w:type="dxa" w:w="1361"/>
            <w:vAlign w:val="center"/>
          </w:tcPr>
          <w:p>
            <w:pPr>
              <w:spacing w:line="264" w:lineRule="auto" w:after="0"/>
              <w:jc w:val="left"/>
            </w:pPr>
            <w:r/>
            <w:r>
              <w:rPr>
                <w:rFonts w:ascii="宋体" w:hAnsi="宋体" w:eastAsia="宋体"/>
                <w:b w:val="0"/>
                <w:color w:val="000000"/>
                <w:sz w:val="20"/>
              </w:rPr>
              <w:t>100%</w:t>
            </w:r>
          </w:p>
        </w:tc>
        <w:tc>
          <w:tcPr>
            <w:tcW w:type="dxa" w:w="1587"/>
            <w:vAlign w:val="center"/>
          </w:tcPr>
          <w:p>
            <w:pPr>
              <w:spacing w:line="264" w:lineRule="auto" w:after="0"/>
              <w:jc w:val="left"/>
            </w:pPr>
            <w:r/>
            <w:r>
              <w:rPr>
                <w:rFonts w:ascii="宋体" w:hAnsi="宋体" w:eastAsia="宋体"/>
                <w:b w:val="0"/>
                <w:color w:val="000000"/>
                <w:sz w:val="20"/>
              </w:rPr>
              <w:t>+30 个百分点</w:t>
            </w:r>
          </w:p>
        </w:tc>
        <w:tc>
          <w:tcPr>
            <w:tcW w:type="dxa" w:w="2494"/>
            <w:vAlign w:val="center"/>
          </w:tcPr>
          <w:p>
            <w:pPr>
              <w:spacing w:line="264" w:lineRule="auto" w:after="0"/>
              <w:jc w:val="left"/>
            </w:pPr>
            <w:r/>
            <w:r>
              <w:rPr>
                <w:rFonts w:ascii="宋体" w:hAnsi="宋体" w:eastAsia="宋体"/>
                <w:b w:val="0"/>
                <w:color w:val="000000"/>
                <w:sz w:val="20"/>
              </w:rPr>
              <w:t>减少失败订单和投诉</w:t>
            </w:r>
          </w:p>
        </w:tc>
      </w:tr>
      <w:tr>
        <w:tc>
          <w:tcPr>
            <w:tcW w:type="dxa" w:w="1474"/>
            <w:vAlign w:val="center"/>
          </w:tcPr>
          <w:p>
            <w:pPr>
              <w:spacing w:line="264" w:lineRule="auto" w:after="0"/>
              <w:jc w:val="left"/>
            </w:pPr>
            <w:r/>
            <w:r>
              <w:rPr>
                <w:rFonts w:ascii="宋体" w:hAnsi="宋体" w:eastAsia="宋体"/>
                <w:b w:val="0"/>
                <w:color w:val="000000"/>
                <w:sz w:val="20"/>
              </w:rPr>
              <w:t>准时率</w:t>
            </w:r>
          </w:p>
        </w:tc>
        <w:tc>
          <w:tcPr>
            <w:tcW w:type="dxa" w:w="1361"/>
            <w:vAlign w:val="center"/>
          </w:tcPr>
          <w:p>
            <w:pPr>
              <w:spacing w:line="264" w:lineRule="auto" w:after="0"/>
              <w:jc w:val="left"/>
            </w:pPr>
            <w:r/>
            <w:r>
              <w:rPr>
                <w:rFonts w:ascii="宋体" w:hAnsi="宋体" w:eastAsia="宋体"/>
                <w:b w:val="0"/>
                <w:color w:val="000000"/>
                <w:sz w:val="20"/>
              </w:rPr>
              <w:t>70%</w:t>
            </w:r>
          </w:p>
        </w:tc>
        <w:tc>
          <w:tcPr>
            <w:tcW w:type="dxa" w:w="1361"/>
            <w:vAlign w:val="center"/>
          </w:tcPr>
          <w:p>
            <w:pPr>
              <w:spacing w:line="264" w:lineRule="auto" w:after="0"/>
              <w:jc w:val="left"/>
            </w:pPr>
            <w:r/>
            <w:r>
              <w:rPr>
                <w:rFonts w:ascii="宋体" w:hAnsi="宋体" w:eastAsia="宋体"/>
                <w:b w:val="0"/>
                <w:color w:val="000000"/>
                <w:sz w:val="20"/>
              </w:rPr>
              <w:t>100%</w:t>
            </w:r>
          </w:p>
        </w:tc>
        <w:tc>
          <w:tcPr>
            <w:tcW w:type="dxa" w:w="1587"/>
            <w:vAlign w:val="center"/>
          </w:tcPr>
          <w:p>
            <w:pPr>
              <w:spacing w:line="264" w:lineRule="auto" w:after="0"/>
              <w:jc w:val="left"/>
            </w:pPr>
            <w:r/>
            <w:r>
              <w:rPr>
                <w:rFonts w:ascii="宋体" w:hAnsi="宋体" w:eastAsia="宋体"/>
                <w:b w:val="0"/>
                <w:color w:val="000000"/>
                <w:sz w:val="20"/>
              </w:rPr>
              <w:t>+30 个百分点</w:t>
            </w:r>
          </w:p>
        </w:tc>
        <w:tc>
          <w:tcPr>
            <w:tcW w:type="dxa" w:w="2494"/>
            <w:vAlign w:val="center"/>
          </w:tcPr>
          <w:p>
            <w:pPr>
              <w:spacing w:line="264" w:lineRule="auto" w:after="0"/>
              <w:jc w:val="left"/>
            </w:pPr>
            <w:r/>
            <w:r>
              <w:rPr>
                <w:rFonts w:ascii="宋体" w:hAnsi="宋体" w:eastAsia="宋体"/>
                <w:b w:val="0"/>
                <w:color w:val="000000"/>
                <w:sz w:val="20"/>
              </w:rPr>
              <w:t>提升履约和服务体验</w:t>
            </w:r>
          </w:p>
        </w:tc>
      </w:tr>
      <w:tr>
        <w:tc>
          <w:tcPr>
            <w:tcW w:type="dxa" w:w="1474"/>
            <w:vAlign w:val="center"/>
          </w:tcPr>
          <w:p>
            <w:pPr>
              <w:spacing w:line="264" w:lineRule="auto" w:after="0"/>
              <w:jc w:val="left"/>
            </w:pPr>
            <w:r/>
            <w:r>
              <w:rPr>
                <w:rFonts w:ascii="宋体" w:hAnsi="宋体" w:eastAsia="宋体"/>
                <w:b w:val="0"/>
                <w:color w:val="000000"/>
                <w:sz w:val="20"/>
              </w:rPr>
              <w:t>单任务能耗</w:t>
            </w:r>
          </w:p>
        </w:tc>
        <w:tc>
          <w:tcPr>
            <w:tcW w:type="dxa" w:w="1361"/>
            <w:vAlign w:val="center"/>
          </w:tcPr>
          <w:p>
            <w:pPr>
              <w:spacing w:line="264" w:lineRule="auto" w:after="0"/>
              <w:jc w:val="left"/>
            </w:pPr>
            <w:r/>
            <w:r>
              <w:rPr>
                <w:rFonts w:ascii="宋体" w:hAnsi="宋体" w:eastAsia="宋体"/>
                <w:b w:val="0"/>
                <w:color w:val="000000"/>
                <w:sz w:val="20"/>
              </w:rPr>
              <w:t>61.26</w:t>
            </w:r>
          </w:p>
        </w:tc>
        <w:tc>
          <w:tcPr>
            <w:tcW w:type="dxa" w:w="1361"/>
            <w:vAlign w:val="center"/>
          </w:tcPr>
          <w:p>
            <w:pPr>
              <w:spacing w:line="264" w:lineRule="auto" w:after="0"/>
              <w:jc w:val="left"/>
            </w:pPr>
            <w:r/>
            <w:r>
              <w:rPr>
                <w:rFonts w:ascii="宋体" w:hAnsi="宋体" w:eastAsia="宋体"/>
                <w:b w:val="0"/>
                <w:color w:val="000000"/>
                <w:sz w:val="20"/>
              </w:rPr>
              <w:t>49.70</w:t>
            </w:r>
          </w:p>
        </w:tc>
        <w:tc>
          <w:tcPr>
            <w:tcW w:type="dxa" w:w="1587"/>
            <w:vAlign w:val="center"/>
          </w:tcPr>
          <w:p>
            <w:pPr>
              <w:spacing w:line="264" w:lineRule="auto" w:after="0"/>
              <w:jc w:val="left"/>
            </w:pPr>
            <w:r/>
            <w:r>
              <w:rPr>
                <w:rFonts w:ascii="宋体" w:hAnsi="宋体" w:eastAsia="宋体"/>
                <w:b w:val="0"/>
                <w:color w:val="000000"/>
                <w:sz w:val="20"/>
              </w:rPr>
              <w:t>下降约 18.9%</w:t>
            </w:r>
          </w:p>
        </w:tc>
        <w:tc>
          <w:tcPr>
            <w:tcW w:type="dxa" w:w="2494"/>
            <w:vAlign w:val="center"/>
          </w:tcPr>
          <w:p>
            <w:pPr>
              <w:spacing w:line="264" w:lineRule="auto" w:after="0"/>
              <w:jc w:val="left"/>
            </w:pPr>
            <w:r/>
            <w:r>
              <w:rPr>
                <w:rFonts w:ascii="宋体" w:hAnsi="宋体" w:eastAsia="宋体"/>
                <w:b w:val="0"/>
                <w:color w:val="000000"/>
                <w:sz w:val="20"/>
              </w:rPr>
              <w:t>支撑单票降本和绿色报告</w:t>
            </w:r>
          </w:p>
        </w:tc>
      </w:tr>
      <w:tr>
        <w:tc>
          <w:tcPr>
            <w:tcW w:type="dxa" w:w="1474"/>
            <w:vAlign w:val="center"/>
          </w:tcPr>
          <w:p>
            <w:pPr>
              <w:spacing w:line="264" w:lineRule="auto" w:after="0"/>
              <w:jc w:val="left"/>
            </w:pPr>
            <w:r/>
            <w:r>
              <w:rPr>
                <w:rFonts w:ascii="宋体" w:hAnsi="宋体" w:eastAsia="宋体"/>
                <w:b w:val="0"/>
                <w:color w:val="000000"/>
                <w:sz w:val="20"/>
              </w:rPr>
              <w:t>单位距离能耗</w:t>
            </w:r>
          </w:p>
        </w:tc>
        <w:tc>
          <w:tcPr>
            <w:tcW w:type="dxa" w:w="1361"/>
            <w:vAlign w:val="center"/>
          </w:tcPr>
          <w:p>
            <w:pPr>
              <w:spacing w:line="264" w:lineRule="auto" w:after="0"/>
              <w:jc w:val="left"/>
            </w:pPr>
            <w:r/>
            <w:r>
              <w:rPr>
                <w:rFonts w:ascii="宋体" w:hAnsi="宋体" w:eastAsia="宋体"/>
                <w:b w:val="0"/>
                <w:color w:val="000000"/>
                <w:sz w:val="20"/>
              </w:rPr>
              <w:t>0.226</w:t>
            </w:r>
          </w:p>
        </w:tc>
        <w:tc>
          <w:tcPr>
            <w:tcW w:type="dxa" w:w="1361"/>
            <w:vAlign w:val="center"/>
          </w:tcPr>
          <w:p>
            <w:pPr>
              <w:spacing w:line="264" w:lineRule="auto" w:after="0"/>
              <w:jc w:val="left"/>
            </w:pPr>
            <w:r/>
            <w:r>
              <w:rPr>
                <w:rFonts w:ascii="宋体" w:hAnsi="宋体" w:eastAsia="宋体"/>
                <w:b w:val="0"/>
                <w:color w:val="000000"/>
                <w:sz w:val="20"/>
              </w:rPr>
              <w:t>0.187</w:t>
            </w:r>
          </w:p>
        </w:tc>
        <w:tc>
          <w:tcPr>
            <w:tcW w:type="dxa" w:w="1587"/>
            <w:vAlign w:val="center"/>
          </w:tcPr>
          <w:p>
            <w:pPr>
              <w:spacing w:line="264" w:lineRule="auto" w:after="0"/>
              <w:jc w:val="left"/>
            </w:pPr>
            <w:r/>
            <w:r>
              <w:rPr>
                <w:rFonts w:ascii="宋体" w:hAnsi="宋体" w:eastAsia="宋体"/>
                <w:b w:val="0"/>
                <w:color w:val="000000"/>
                <w:sz w:val="20"/>
              </w:rPr>
              <w:t>下降约 17.3%</w:t>
            </w:r>
          </w:p>
        </w:tc>
        <w:tc>
          <w:tcPr>
            <w:tcW w:type="dxa" w:w="2494"/>
            <w:vAlign w:val="center"/>
          </w:tcPr>
          <w:p>
            <w:pPr>
              <w:spacing w:line="264" w:lineRule="auto" w:after="0"/>
              <w:jc w:val="left"/>
            </w:pPr>
            <w:r/>
            <w:r>
              <w:rPr>
                <w:rFonts w:ascii="宋体" w:hAnsi="宋体" w:eastAsia="宋体"/>
                <w:b w:val="0"/>
                <w:color w:val="000000"/>
                <w:sz w:val="20"/>
              </w:rPr>
              <w:t>支撑低碳园区卖点</w:t>
            </w:r>
          </w:p>
        </w:tc>
      </w:tr>
      <w:tr>
        <w:tc>
          <w:tcPr>
            <w:tcW w:type="dxa" w:w="1474"/>
            <w:vAlign w:val="center"/>
          </w:tcPr>
          <w:p>
            <w:pPr>
              <w:spacing w:line="264" w:lineRule="auto" w:after="0"/>
              <w:jc w:val="left"/>
            </w:pPr>
            <w:r/>
            <w:r>
              <w:rPr>
                <w:rFonts w:ascii="宋体" w:hAnsi="宋体" w:eastAsia="宋体"/>
                <w:b w:val="0"/>
                <w:color w:val="000000"/>
                <w:sz w:val="20"/>
              </w:rPr>
              <w:t>充电次数</w:t>
            </w:r>
          </w:p>
        </w:tc>
        <w:tc>
          <w:tcPr>
            <w:tcW w:type="dxa" w:w="1361"/>
            <w:vAlign w:val="center"/>
          </w:tcPr>
          <w:p>
            <w:pPr>
              <w:spacing w:line="264" w:lineRule="auto" w:after="0"/>
              <w:jc w:val="left"/>
            </w:pPr>
            <w:r/>
            <w:r>
              <w:rPr>
                <w:rFonts w:ascii="宋体" w:hAnsi="宋体" w:eastAsia="宋体"/>
                <w:b w:val="0"/>
                <w:color w:val="000000"/>
                <w:sz w:val="20"/>
              </w:rPr>
              <w:t>4 次</w:t>
            </w:r>
          </w:p>
        </w:tc>
        <w:tc>
          <w:tcPr>
            <w:tcW w:type="dxa" w:w="1361"/>
            <w:vAlign w:val="center"/>
          </w:tcPr>
          <w:p>
            <w:pPr>
              <w:spacing w:line="264" w:lineRule="auto" w:after="0"/>
              <w:jc w:val="left"/>
            </w:pPr>
            <w:r/>
            <w:r>
              <w:rPr>
                <w:rFonts w:ascii="宋体" w:hAnsi="宋体" w:eastAsia="宋体"/>
                <w:b w:val="0"/>
                <w:color w:val="000000"/>
                <w:sz w:val="20"/>
              </w:rPr>
              <w:t>0 次</w:t>
            </w:r>
          </w:p>
        </w:tc>
        <w:tc>
          <w:tcPr>
            <w:tcW w:type="dxa" w:w="1587"/>
            <w:vAlign w:val="center"/>
          </w:tcPr>
          <w:p>
            <w:pPr>
              <w:spacing w:line="264" w:lineRule="auto" w:after="0"/>
              <w:jc w:val="left"/>
            </w:pPr>
            <w:r/>
            <w:r>
              <w:rPr>
                <w:rFonts w:ascii="宋体" w:hAnsi="宋体" w:eastAsia="宋体"/>
                <w:b w:val="0"/>
                <w:color w:val="000000"/>
                <w:sz w:val="20"/>
              </w:rPr>
              <w:t>减少停机等待</w:t>
            </w:r>
          </w:p>
        </w:tc>
        <w:tc>
          <w:tcPr>
            <w:tcW w:type="dxa" w:w="2494"/>
            <w:vAlign w:val="center"/>
          </w:tcPr>
          <w:p>
            <w:pPr>
              <w:spacing w:line="264" w:lineRule="auto" w:after="0"/>
              <w:jc w:val="left"/>
            </w:pPr>
            <w:r/>
            <w:r>
              <w:rPr>
                <w:rFonts w:ascii="宋体" w:hAnsi="宋体" w:eastAsia="宋体"/>
                <w:b w:val="0"/>
                <w:color w:val="000000"/>
                <w:sz w:val="20"/>
              </w:rPr>
              <w:t>提高设备周转率</w:t>
            </w:r>
          </w:p>
        </w:tc>
      </w:tr>
    </w:tbl>
    <w:p>
      <w:pPr>
        <w:spacing w:line="300" w:lineRule="auto" w:after="40" w:before="0"/>
        <w:jc w:val="left"/>
      </w:pPr>
      <w:r>
        <w:rPr>
          <w:rFonts w:ascii="宋体" w:hAnsi="宋体" w:eastAsia="宋体"/>
          <w:b w:val="0"/>
          <w:color w:val="000000"/>
          <w:sz w:val="24"/>
        </w:rPr>
      </w:r>
    </w:p>
    <w:p>
      <w:pPr>
        <w:spacing w:line="300" w:lineRule="auto" w:after="0" w:before="0"/>
        <w:ind w:firstLine="480"/>
        <w:jc w:val="left"/>
      </w:pPr>
      <w:r>
        <w:rPr>
          <w:rFonts w:ascii="宋体" w:hAnsi="宋体" w:eastAsia="宋体"/>
          <w:b w:val="0"/>
          <w:color w:val="000000"/>
          <w:sz w:val="24"/>
        </w:rPr>
        <w:t>按校园小件配送每单综合运营成本 3.0 元测算，若系统通过路线优化、等待减少和能耗下降带来每单 0.25—0.60 元降本空间，则日均 3000 单校园场景每年可释放约 27—65 万元运营优化价值。这为平台授权费和按单 SaaS 服务费提供了商业基础。</w:t>
      </w:r>
    </w:p>
    <w:p>
      <w:pPr>
        <w:jc w:val="center"/>
      </w:pPr>
      <w:r>
        <w:drawing>
          <wp:inline xmlns:a="http://schemas.openxmlformats.org/drawingml/2006/main" xmlns:pic="http://schemas.openxmlformats.org/drawingml/2006/picture">
            <wp:extent cx="4860000" cy="3615429"/>
            <wp:docPr id="1" name="Picture 1"/>
            <wp:cNvGraphicFramePr>
              <a:graphicFrameLocks noChangeAspect="1"/>
            </wp:cNvGraphicFramePr>
            <a:graphic>
              <a:graphicData uri="http://schemas.openxmlformats.org/drawingml/2006/picture">
                <pic:pic>
                  <pic:nvPicPr>
                    <pic:cNvPr id="0" name="network_topology.png"/>
                    <pic:cNvPicPr/>
                  </pic:nvPicPr>
                  <pic:blipFill>
                    <a:blip r:embed="rId10"/>
                    <a:stretch>
                      <a:fillRect/>
                    </a:stretch>
                  </pic:blipFill>
                  <pic:spPr>
                    <a:xfrm>
                      <a:off x="0" y="0"/>
                      <a:ext cx="4860000" cy="3615429"/>
                    </a:xfrm>
                    <a:prstGeom prst="rect"/>
                  </pic:spPr>
                </pic:pic>
              </a:graphicData>
            </a:graphic>
          </wp:inline>
        </w:drawing>
      </w:r>
    </w:p>
    <w:p>
      <w:pPr>
        <w:spacing w:line="300" w:lineRule="auto" w:after="40" w:before="0"/>
        <w:jc w:val="center"/>
      </w:pPr>
      <w:r>
        <w:rPr>
          <w:rFonts w:ascii="宋体" w:hAnsi="宋体" w:eastAsia="宋体"/>
          <w:b w:val="0"/>
          <w:color w:val="000000"/>
          <w:sz w:val="21"/>
        </w:rPr>
        <w:t>图 3-1 项目仿真网络拓扑图</w:t>
      </w:r>
    </w:p>
    <w:p>
      <w:pPr>
        <w:jc w:val="center"/>
      </w:pPr>
      <w:r>
        <w:drawing>
          <wp:inline xmlns:a="http://schemas.openxmlformats.org/drawingml/2006/main" xmlns:pic="http://schemas.openxmlformats.org/drawingml/2006/picture">
            <wp:extent cx="5220000" cy="3728571"/>
            <wp:docPr id="2" name="Picture 2"/>
            <wp:cNvGraphicFramePr>
              <a:graphicFrameLocks noChangeAspect="1"/>
            </wp:cNvGraphicFramePr>
            <a:graphic>
              <a:graphicData uri="http://schemas.openxmlformats.org/drawingml/2006/picture">
                <pic:pic>
                  <pic:nvPicPr>
                    <pic:cNvPr id="0" name="trajectory.png"/>
                    <pic:cNvPicPr/>
                  </pic:nvPicPr>
                  <pic:blipFill>
                    <a:blip r:embed="rId11"/>
                    <a:stretch>
                      <a:fillRect/>
                    </a:stretch>
                  </pic:blipFill>
                  <pic:spPr>
                    <a:xfrm>
                      <a:off x="0" y="0"/>
                      <a:ext cx="5220000" cy="3728571"/>
                    </a:xfrm>
                    <a:prstGeom prst="rect"/>
                  </pic:spPr>
                </pic:pic>
              </a:graphicData>
            </a:graphic>
          </wp:inline>
        </w:drawing>
      </w:r>
    </w:p>
    <w:p>
      <w:pPr>
        <w:spacing w:line="300" w:lineRule="auto" w:after="40" w:before="0"/>
        <w:jc w:val="center"/>
      </w:pPr>
      <w:r>
        <w:rPr>
          <w:rFonts w:ascii="宋体" w:hAnsi="宋体" w:eastAsia="宋体"/>
          <w:b w:val="0"/>
          <w:color w:val="000000"/>
          <w:sz w:val="21"/>
        </w:rPr>
        <w:t>图 3-2 UAV-AGV 协同配送轨迹图</w:t>
      </w:r>
    </w:p>
    <w:p>
      <w:pPr>
        <w:jc w:val="center"/>
      </w:pPr>
      <w:r>
        <w:drawing>
          <wp:inline xmlns:a="http://schemas.openxmlformats.org/drawingml/2006/main" xmlns:pic="http://schemas.openxmlformats.org/drawingml/2006/picture">
            <wp:extent cx="4680000" cy="2808000"/>
            <wp:docPr id="3" name="Picture 3"/>
            <wp:cNvGraphicFramePr>
              <a:graphicFrameLocks noChangeAspect="1"/>
            </wp:cNvGraphicFramePr>
            <a:graphic>
              <a:graphicData uri="http://schemas.openxmlformats.org/drawingml/2006/picture">
                <pic:pic>
                  <pic:nvPicPr>
                    <pic:cNvPr id="0" name="avg_energy_per_task_compare.png"/>
                    <pic:cNvPicPr/>
                  </pic:nvPicPr>
                  <pic:blipFill>
                    <a:blip r:embed="rId12"/>
                    <a:stretch>
                      <a:fillRect/>
                    </a:stretch>
                  </pic:blipFill>
                  <pic:spPr>
                    <a:xfrm>
                      <a:off x="0" y="0"/>
                      <a:ext cx="4680000" cy="2808000"/>
                    </a:xfrm>
                    <a:prstGeom prst="rect"/>
                  </pic:spPr>
                </pic:pic>
              </a:graphicData>
            </a:graphic>
          </wp:inline>
        </w:drawing>
      </w:r>
    </w:p>
    <w:p>
      <w:pPr>
        <w:spacing w:line="300" w:lineRule="auto" w:after="40" w:before="0"/>
        <w:jc w:val="center"/>
      </w:pPr>
      <w:r>
        <w:rPr>
          <w:rFonts w:ascii="宋体" w:hAnsi="宋体" w:eastAsia="宋体"/>
          <w:b w:val="0"/>
          <w:color w:val="000000"/>
          <w:sz w:val="21"/>
        </w:rPr>
        <w:t>图 3-3 单任务能耗对比图</w:t>
      </w:r>
    </w:p>
    <w:p>
      <w:pPr>
        <w:jc w:val="center"/>
      </w:pPr>
      <w:r>
        <w:drawing>
          <wp:inline xmlns:a="http://schemas.openxmlformats.org/drawingml/2006/main" xmlns:pic="http://schemas.openxmlformats.org/drawingml/2006/picture">
            <wp:extent cx="4680000" cy="2808000"/>
            <wp:docPr id="4" name="Picture 4"/>
            <wp:cNvGraphicFramePr>
              <a:graphicFrameLocks noChangeAspect="1"/>
            </wp:cNvGraphicFramePr>
            <a:graphic>
              <a:graphicData uri="http://schemas.openxmlformats.org/drawingml/2006/picture">
                <pic:pic>
                  <pic:nvPicPr>
                    <pic:cNvPr id="0" name="energy_per_km_compare.png"/>
                    <pic:cNvPicPr/>
                  </pic:nvPicPr>
                  <pic:blipFill>
                    <a:blip r:embed="rId13"/>
                    <a:stretch>
                      <a:fillRect/>
                    </a:stretch>
                  </pic:blipFill>
                  <pic:spPr>
                    <a:xfrm>
                      <a:off x="0" y="0"/>
                      <a:ext cx="4680000" cy="2808000"/>
                    </a:xfrm>
                    <a:prstGeom prst="rect"/>
                  </pic:spPr>
                </pic:pic>
              </a:graphicData>
            </a:graphic>
          </wp:inline>
        </w:drawing>
      </w:r>
    </w:p>
    <w:p>
      <w:pPr>
        <w:spacing w:line="300" w:lineRule="auto" w:after="40" w:before="0"/>
        <w:jc w:val="center"/>
      </w:pPr>
      <w:r>
        <w:rPr>
          <w:rFonts w:ascii="宋体" w:hAnsi="宋体" w:eastAsia="宋体"/>
          <w:b w:val="0"/>
          <w:color w:val="000000"/>
          <w:sz w:val="21"/>
        </w:rPr>
        <w:t>图 3-4 单位距离能耗对比图</w:t>
      </w:r>
    </w:p>
    <w:p>
      <w:pPr>
        <w:pStyle w:val="Heading2"/>
        <w:jc w:val="left"/>
      </w:pPr>
      <w:r>
        <w:rPr>
          <w:rFonts w:ascii="黑体" w:hAnsi="黑体" w:eastAsia="黑体"/>
          <w:b w:val="0"/>
          <w:color w:val="000000"/>
          <w:sz w:val="28"/>
        </w:rPr>
        <w:t>3.5 产品路线</w:t>
      </w:r>
    </w:p>
    <w:tbl>
      <w:tblPr>
        <w:tblStyle w:val="TableGrid"/>
        <w:tblW w:type="auto" w:w="0"/>
        <w:jc w:val="center"/>
        <w:tblLayout w:type="fixed"/>
        <w:tblLook w:firstColumn="1" w:firstRow="1" w:lastColumn="0" w:lastRow="0" w:noHBand="0" w:noVBand="1" w:val="04A0"/>
      </w:tblPr>
      <w:tblGrid>
        <w:gridCol w:w="2318"/>
        <w:gridCol w:w="2318"/>
        <w:gridCol w:w="2318"/>
        <w:gridCol w:w="2318"/>
      </w:tblGrid>
      <w:tr>
        <w:tc>
          <w:tcPr>
            <w:tcW w:type="dxa" w:w="1587"/>
            <w:vAlign w:val="center"/>
          </w:tcPr>
          <w:p>
            <w:pPr>
              <w:spacing w:line="264" w:lineRule="auto" w:after="0"/>
              <w:jc w:val="center"/>
            </w:pPr>
            <w:r/>
            <w:r>
              <w:rPr>
                <w:rFonts w:ascii="宋体" w:hAnsi="宋体" w:eastAsia="宋体"/>
                <w:b/>
                <w:color w:val="000000"/>
                <w:sz w:val="21"/>
              </w:rPr>
              <w:t>版本</w:t>
            </w:r>
          </w:p>
        </w:tc>
        <w:tc>
          <w:tcPr>
            <w:tcW w:type="dxa" w:w="1474"/>
            <w:vAlign w:val="center"/>
          </w:tcPr>
          <w:p>
            <w:pPr>
              <w:spacing w:line="264" w:lineRule="auto" w:after="0"/>
              <w:jc w:val="center"/>
            </w:pPr>
            <w:r/>
            <w:r>
              <w:rPr>
                <w:rFonts w:ascii="宋体" w:hAnsi="宋体" w:eastAsia="宋体"/>
                <w:b/>
                <w:color w:val="000000"/>
                <w:sz w:val="21"/>
              </w:rPr>
              <w:t>时间</w:t>
            </w:r>
          </w:p>
        </w:tc>
        <w:tc>
          <w:tcPr>
            <w:tcW w:type="dxa" w:w="3118"/>
            <w:vAlign w:val="center"/>
          </w:tcPr>
          <w:p>
            <w:pPr>
              <w:spacing w:line="264" w:lineRule="auto" w:after="0"/>
              <w:jc w:val="center"/>
            </w:pPr>
            <w:r/>
            <w:r>
              <w:rPr>
                <w:rFonts w:ascii="宋体" w:hAnsi="宋体" w:eastAsia="宋体"/>
                <w:b/>
                <w:color w:val="000000"/>
                <w:sz w:val="21"/>
              </w:rPr>
              <w:t>产品能力</w:t>
            </w:r>
          </w:p>
        </w:tc>
        <w:tc>
          <w:tcPr>
            <w:tcW w:type="dxa" w:w="2551"/>
            <w:vAlign w:val="center"/>
          </w:tcPr>
          <w:p>
            <w:pPr>
              <w:spacing w:line="264" w:lineRule="auto" w:after="0"/>
              <w:jc w:val="center"/>
            </w:pPr>
            <w:r/>
            <w:r>
              <w:rPr>
                <w:rFonts w:ascii="宋体" w:hAnsi="宋体" w:eastAsia="宋体"/>
                <w:b/>
                <w:color w:val="000000"/>
                <w:sz w:val="21"/>
              </w:rPr>
              <w:t>商业目标</w:t>
            </w:r>
          </w:p>
        </w:tc>
      </w:tr>
      <w:tr>
        <w:tc>
          <w:tcPr>
            <w:tcW w:type="dxa" w:w="1587"/>
            <w:vAlign w:val="center"/>
          </w:tcPr>
          <w:p>
            <w:pPr>
              <w:spacing w:line="264" w:lineRule="auto" w:after="0"/>
              <w:jc w:val="left"/>
            </w:pPr>
            <w:r/>
            <w:r>
              <w:rPr>
                <w:rFonts w:ascii="宋体" w:hAnsi="宋体" w:eastAsia="宋体"/>
                <w:b w:val="0"/>
                <w:color w:val="000000"/>
                <w:sz w:val="20"/>
              </w:rPr>
              <w:t>V1.0 沙盘版</w:t>
            </w:r>
          </w:p>
        </w:tc>
        <w:tc>
          <w:tcPr>
            <w:tcW w:type="dxa" w:w="1474"/>
            <w:vAlign w:val="center"/>
          </w:tcPr>
          <w:p>
            <w:pPr>
              <w:spacing w:line="264" w:lineRule="auto" w:after="0"/>
              <w:jc w:val="left"/>
            </w:pPr>
            <w:r/>
            <w:r>
              <w:rPr>
                <w:rFonts w:ascii="宋体" w:hAnsi="宋体" w:eastAsia="宋体"/>
                <w:b w:val="0"/>
                <w:color w:val="000000"/>
                <w:sz w:val="20"/>
              </w:rPr>
              <w:t>2026 年</w:t>
            </w:r>
          </w:p>
        </w:tc>
        <w:tc>
          <w:tcPr>
            <w:tcW w:type="dxa" w:w="3118"/>
            <w:vAlign w:val="center"/>
          </w:tcPr>
          <w:p>
            <w:pPr>
              <w:spacing w:line="264" w:lineRule="auto" w:after="0"/>
              <w:jc w:val="left"/>
            </w:pPr>
            <w:r/>
            <w:r>
              <w:rPr>
                <w:rFonts w:ascii="宋体" w:hAnsi="宋体" w:eastAsia="宋体"/>
                <w:b w:val="0"/>
                <w:color w:val="000000"/>
                <w:sz w:val="20"/>
              </w:rPr>
              <w:t>场景建模、策略对比、能耗看板</w:t>
            </w:r>
          </w:p>
        </w:tc>
        <w:tc>
          <w:tcPr>
            <w:tcW w:type="dxa" w:w="2551"/>
            <w:vAlign w:val="center"/>
          </w:tcPr>
          <w:p>
            <w:pPr>
              <w:spacing w:line="264" w:lineRule="auto" w:after="0"/>
              <w:jc w:val="left"/>
            </w:pPr>
            <w:r/>
            <w:r>
              <w:rPr>
                <w:rFonts w:ascii="宋体" w:hAnsi="宋体" w:eastAsia="宋体"/>
                <w:b w:val="0"/>
                <w:color w:val="000000"/>
                <w:sz w:val="20"/>
              </w:rPr>
              <w:t>服务比赛展示和校园样板</w:t>
            </w:r>
          </w:p>
        </w:tc>
      </w:tr>
      <w:tr>
        <w:tc>
          <w:tcPr>
            <w:tcW w:type="dxa" w:w="1587"/>
            <w:vAlign w:val="center"/>
          </w:tcPr>
          <w:p>
            <w:pPr>
              <w:spacing w:line="264" w:lineRule="auto" w:after="0"/>
              <w:jc w:val="left"/>
            </w:pPr>
            <w:r/>
            <w:r>
              <w:rPr>
                <w:rFonts w:ascii="宋体" w:hAnsi="宋体" w:eastAsia="宋体"/>
                <w:b w:val="0"/>
                <w:color w:val="000000"/>
                <w:sz w:val="20"/>
              </w:rPr>
              <w:t>V2.0 决策版</w:t>
            </w:r>
          </w:p>
        </w:tc>
        <w:tc>
          <w:tcPr>
            <w:tcW w:type="dxa" w:w="1474"/>
            <w:vAlign w:val="center"/>
          </w:tcPr>
          <w:p>
            <w:pPr>
              <w:spacing w:line="264" w:lineRule="auto" w:after="0"/>
              <w:jc w:val="left"/>
            </w:pPr>
            <w:r/>
            <w:r>
              <w:rPr>
                <w:rFonts w:ascii="宋体" w:hAnsi="宋体" w:eastAsia="宋体"/>
                <w:b w:val="0"/>
                <w:color w:val="000000"/>
                <w:sz w:val="20"/>
              </w:rPr>
              <w:t>2027 年</w:t>
            </w:r>
          </w:p>
        </w:tc>
        <w:tc>
          <w:tcPr>
            <w:tcW w:type="dxa" w:w="3118"/>
            <w:vAlign w:val="center"/>
          </w:tcPr>
          <w:p>
            <w:pPr>
              <w:spacing w:line="264" w:lineRule="auto" w:after="0"/>
              <w:jc w:val="left"/>
            </w:pPr>
            <w:r/>
            <w:r>
              <w:rPr>
                <w:rFonts w:ascii="宋体" w:hAnsi="宋体" w:eastAsia="宋体"/>
                <w:b w:val="0"/>
                <w:color w:val="000000"/>
                <w:sz w:val="20"/>
              </w:rPr>
              <w:t>ALNS 统一调度、动态回退、候选中继点</w:t>
            </w:r>
          </w:p>
        </w:tc>
        <w:tc>
          <w:tcPr>
            <w:tcW w:type="dxa" w:w="2551"/>
            <w:vAlign w:val="center"/>
          </w:tcPr>
          <w:p>
            <w:pPr>
              <w:spacing w:line="264" w:lineRule="auto" w:after="0"/>
              <w:jc w:val="left"/>
            </w:pPr>
            <w:r/>
            <w:r>
              <w:rPr>
                <w:rFonts w:ascii="宋体" w:hAnsi="宋体" w:eastAsia="宋体"/>
                <w:b w:val="0"/>
                <w:color w:val="000000"/>
                <w:sz w:val="20"/>
              </w:rPr>
              <w:t>支撑园区试点交付</w:t>
            </w:r>
          </w:p>
        </w:tc>
      </w:tr>
      <w:tr>
        <w:tc>
          <w:tcPr>
            <w:tcW w:type="dxa" w:w="1587"/>
            <w:vAlign w:val="center"/>
          </w:tcPr>
          <w:p>
            <w:pPr>
              <w:spacing w:line="264" w:lineRule="auto" w:after="0"/>
              <w:jc w:val="left"/>
            </w:pPr>
            <w:r/>
            <w:r>
              <w:rPr>
                <w:rFonts w:ascii="宋体" w:hAnsi="宋体" w:eastAsia="宋体"/>
                <w:b w:val="0"/>
                <w:color w:val="000000"/>
                <w:sz w:val="20"/>
              </w:rPr>
              <w:t>V3.0 SaaS 版</w:t>
            </w:r>
          </w:p>
        </w:tc>
        <w:tc>
          <w:tcPr>
            <w:tcW w:type="dxa" w:w="1474"/>
            <w:vAlign w:val="center"/>
          </w:tcPr>
          <w:p>
            <w:pPr>
              <w:spacing w:line="264" w:lineRule="auto" w:after="0"/>
              <w:jc w:val="left"/>
            </w:pPr>
            <w:r/>
            <w:r>
              <w:rPr>
                <w:rFonts w:ascii="宋体" w:hAnsi="宋体" w:eastAsia="宋体"/>
                <w:b w:val="0"/>
                <w:color w:val="000000"/>
                <w:sz w:val="20"/>
              </w:rPr>
              <w:t>2028 年</w:t>
            </w:r>
          </w:p>
        </w:tc>
        <w:tc>
          <w:tcPr>
            <w:tcW w:type="dxa" w:w="3118"/>
            <w:vAlign w:val="center"/>
          </w:tcPr>
          <w:p>
            <w:pPr>
              <w:spacing w:line="264" w:lineRule="auto" w:after="0"/>
              <w:jc w:val="left"/>
            </w:pPr>
            <w:r/>
            <w:r>
              <w:rPr>
                <w:rFonts w:ascii="宋体" w:hAnsi="宋体" w:eastAsia="宋体"/>
                <w:b w:val="0"/>
                <w:color w:val="000000"/>
                <w:sz w:val="20"/>
              </w:rPr>
              <w:t>多客户、多场景、按单计费</w:t>
            </w:r>
          </w:p>
        </w:tc>
        <w:tc>
          <w:tcPr>
            <w:tcW w:type="dxa" w:w="2551"/>
            <w:vAlign w:val="center"/>
          </w:tcPr>
          <w:p>
            <w:pPr>
              <w:spacing w:line="264" w:lineRule="auto" w:after="0"/>
              <w:jc w:val="left"/>
            </w:pPr>
            <w:r/>
            <w:r>
              <w:rPr>
                <w:rFonts w:ascii="宋体" w:hAnsi="宋体" w:eastAsia="宋体"/>
                <w:b w:val="0"/>
                <w:color w:val="000000"/>
                <w:sz w:val="20"/>
              </w:rPr>
              <w:t>形成稳定软件收入</w:t>
            </w:r>
          </w:p>
        </w:tc>
      </w:tr>
      <w:tr>
        <w:tc>
          <w:tcPr>
            <w:tcW w:type="dxa" w:w="1587"/>
            <w:vAlign w:val="center"/>
          </w:tcPr>
          <w:p>
            <w:pPr>
              <w:spacing w:line="264" w:lineRule="auto" w:after="0"/>
              <w:jc w:val="left"/>
            </w:pPr>
            <w:r/>
            <w:r>
              <w:rPr>
                <w:rFonts w:ascii="宋体" w:hAnsi="宋体" w:eastAsia="宋体"/>
                <w:b w:val="0"/>
                <w:color w:val="000000"/>
                <w:sz w:val="20"/>
              </w:rPr>
              <w:t>V4.0 生态版</w:t>
            </w:r>
          </w:p>
        </w:tc>
        <w:tc>
          <w:tcPr>
            <w:tcW w:type="dxa" w:w="1474"/>
            <w:vAlign w:val="center"/>
          </w:tcPr>
          <w:p>
            <w:pPr>
              <w:spacing w:line="264" w:lineRule="auto" w:after="0"/>
              <w:jc w:val="left"/>
            </w:pPr>
            <w:r/>
            <w:r>
              <w:rPr>
                <w:rFonts w:ascii="宋体" w:hAnsi="宋体" w:eastAsia="宋体"/>
                <w:b w:val="0"/>
                <w:color w:val="000000"/>
                <w:sz w:val="20"/>
              </w:rPr>
              <w:t>2029 年后</w:t>
            </w:r>
          </w:p>
        </w:tc>
        <w:tc>
          <w:tcPr>
            <w:tcW w:type="dxa" w:w="3118"/>
            <w:vAlign w:val="center"/>
          </w:tcPr>
          <w:p>
            <w:pPr>
              <w:spacing w:line="264" w:lineRule="auto" w:after="0"/>
              <w:jc w:val="left"/>
            </w:pPr>
            <w:r/>
            <w:r>
              <w:rPr>
                <w:rFonts w:ascii="宋体" w:hAnsi="宋体" w:eastAsia="宋体"/>
                <w:b w:val="0"/>
                <w:color w:val="000000"/>
                <w:sz w:val="20"/>
              </w:rPr>
              <w:t>对接 UAV/AGV 厂商和低空平台</w:t>
            </w:r>
          </w:p>
        </w:tc>
        <w:tc>
          <w:tcPr>
            <w:tcW w:type="dxa" w:w="2551"/>
            <w:vAlign w:val="center"/>
          </w:tcPr>
          <w:p>
            <w:pPr>
              <w:spacing w:line="264" w:lineRule="auto" w:after="0"/>
              <w:jc w:val="left"/>
            </w:pPr>
            <w:r/>
            <w:r>
              <w:rPr>
                <w:rFonts w:ascii="宋体" w:hAnsi="宋体" w:eastAsia="宋体"/>
                <w:b w:val="0"/>
                <w:color w:val="000000"/>
                <w:sz w:val="20"/>
              </w:rPr>
              <w:t>形成软硬件联合解决方案</w:t>
            </w:r>
          </w:p>
        </w:tc>
      </w:tr>
    </w:tbl>
    <w:p>
      <w:pPr>
        <w:spacing w:line="300" w:lineRule="auto" w:after="40" w:before="0"/>
        <w:jc w:val="left"/>
      </w:pPr>
      <w:r>
        <w:rPr>
          <w:rFonts w:ascii="宋体" w:hAnsi="宋体" w:eastAsia="宋体"/>
          <w:b w:val="0"/>
          <w:color w:val="000000"/>
          <w:sz w:val="24"/>
        </w:rPr>
      </w:r>
    </w:p>
    <w:p>
      <w:r>
        <w:br w:type="page"/>
      </w:r>
    </w:p>
    <w:p>
      <w:pPr>
        <w:pStyle w:val="Heading1"/>
        <w:jc w:val="center"/>
      </w:pPr>
      <w:r>
        <w:rPr>
          <w:rFonts w:ascii="黑体" w:hAnsi="黑体" w:eastAsia="黑体"/>
          <w:b w:val="0"/>
          <w:color w:val="000000"/>
          <w:sz w:val="32"/>
        </w:rPr>
        <w:t>第 4 章 商业模式</w:t>
      </w:r>
    </w:p>
    <w:p>
      <w:pPr>
        <w:pStyle w:val="Heading2"/>
        <w:jc w:val="left"/>
      </w:pPr>
      <w:r>
        <w:rPr>
          <w:rFonts w:ascii="黑体" w:hAnsi="黑体" w:eastAsia="黑体"/>
          <w:b w:val="0"/>
          <w:color w:val="000000"/>
          <w:sz w:val="28"/>
        </w:rPr>
        <w:t>4.1 收入结构</w:t>
      </w:r>
    </w:p>
    <w:tbl>
      <w:tblPr>
        <w:tblStyle w:val="TableGrid"/>
        <w:tblW w:type="auto" w:w="0"/>
        <w:jc w:val="center"/>
        <w:tblLayout w:type="fixed"/>
        <w:tblLook w:firstColumn="1" w:firstRow="1" w:lastColumn="0" w:lastRow="0" w:noHBand="0" w:noVBand="1" w:val="04A0"/>
      </w:tblPr>
      <w:tblGrid>
        <w:gridCol w:w="2318"/>
        <w:gridCol w:w="2318"/>
        <w:gridCol w:w="2318"/>
        <w:gridCol w:w="2318"/>
      </w:tblGrid>
      <w:tr>
        <w:tc>
          <w:tcPr>
            <w:tcW w:type="dxa" w:w="1814"/>
            <w:vAlign w:val="center"/>
          </w:tcPr>
          <w:p>
            <w:pPr>
              <w:spacing w:line="264" w:lineRule="auto" w:after="0"/>
              <w:jc w:val="center"/>
            </w:pPr>
            <w:r/>
            <w:r>
              <w:rPr>
                <w:rFonts w:ascii="宋体" w:hAnsi="宋体" w:eastAsia="宋体"/>
                <w:b/>
                <w:color w:val="000000"/>
                <w:sz w:val="21"/>
              </w:rPr>
              <w:t>收入类型</w:t>
            </w:r>
          </w:p>
        </w:tc>
        <w:tc>
          <w:tcPr>
            <w:tcW w:type="dxa" w:w="2948"/>
            <w:vAlign w:val="center"/>
          </w:tcPr>
          <w:p>
            <w:pPr>
              <w:spacing w:line="264" w:lineRule="auto" w:after="0"/>
              <w:jc w:val="center"/>
            </w:pPr>
            <w:r/>
            <w:r>
              <w:rPr>
                <w:rFonts w:ascii="宋体" w:hAnsi="宋体" w:eastAsia="宋体"/>
                <w:b/>
                <w:color w:val="000000"/>
                <w:sz w:val="21"/>
              </w:rPr>
              <w:t>收费逻辑</w:t>
            </w:r>
          </w:p>
        </w:tc>
        <w:tc>
          <w:tcPr>
            <w:tcW w:type="dxa" w:w="1814"/>
            <w:vAlign w:val="center"/>
          </w:tcPr>
          <w:p>
            <w:pPr>
              <w:spacing w:line="264" w:lineRule="auto" w:after="0"/>
              <w:jc w:val="center"/>
            </w:pPr>
            <w:r/>
            <w:r>
              <w:rPr>
                <w:rFonts w:ascii="宋体" w:hAnsi="宋体" w:eastAsia="宋体"/>
                <w:b/>
                <w:color w:val="000000"/>
                <w:sz w:val="21"/>
              </w:rPr>
              <w:t>估算价格</w:t>
            </w:r>
          </w:p>
        </w:tc>
        <w:tc>
          <w:tcPr>
            <w:tcW w:type="dxa" w:w="1814"/>
            <w:vAlign w:val="center"/>
          </w:tcPr>
          <w:p>
            <w:pPr>
              <w:spacing w:line="264" w:lineRule="auto" w:after="0"/>
              <w:jc w:val="center"/>
            </w:pPr>
            <w:r/>
            <w:r>
              <w:rPr>
                <w:rFonts w:ascii="宋体" w:hAnsi="宋体" w:eastAsia="宋体"/>
                <w:b/>
                <w:color w:val="000000"/>
                <w:sz w:val="21"/>
              </w:rPr>
              <w:t>适用阶段</w:t>
            </w:r>
          </w:p>
        </w:tc>
      </w:tr>
      <w:tr>
        <w:tc>
          <w:tcPr>
            <w:tcW w:type="dxa" w:w="1814"/>
            <w:vAlign w:val="center"/>
          </w:tcPr>
          <w:p>
            <w:pPr>
              <w:spacing w:line="264" w:lineRule="auto" w:after="0"/>
              <w:jc w:val="left"/>
            </w:pPr>
            <w:r/>
            <w:r>
              <w:rPr>
                <w:rFonts w:ascii="宋体" w:hAnsi="宋体" w:eastAsia="宋体"/>
                <w:b w:val="0"/>
                <w:color w:val="000000"/>
                <w:sz w:val="20"/>
              </w:rPr>
              <w:t>按单 SaaS 服务费</w:t>
            </w:r>
          </w:p>
        </w:tc>
        <w:tc>
          <w:tcPr>
            <w:tcW w:type="dxa" w:w="2948"/>
            <w:vAlign w:val="center"/>
          </w:tcPr>
          <w:p>
            <w:pPr>
              <w:spacing w:line="264" w:lineRule="auto" w:after="0"/>
              <w:jc w:val="left"/>
            </w:pPr>
            <w:r/>
            <w:r>
              <w:rPr>
                <w:rFonts w:ascii="宋体" w:hAnsi="宋体" w:eastAsia="宋体"/>
                <w:b w:val="0"/>
                <w:color w:val="000000"/>
                <w:sz w:val="20"/>
              </w:rPr>
              <w:t>每完成一单收取调度服务费</w:t>
            </w:r>
          </w:p>
        </w:tc>
        <w:tc>
          <w:tcPr>
            <w:tcW w:type="dxa" w:w="1814"/>
            <w:vAlign w:val="center"/>
          </w:tcPr>
          <w:p>
            <w:pPr>
              <w:spacing w:line="264" w:lineRule="auto" w:after="0"/>
              <w:jc w:val="left"/>
            </w:pPr>
            <w:r/>
            <w:r>
              <w:rPr>
                <w:rFonts w:ascii="宋体" w:hAnsi="宋体" w:eastAsia="宋体"/>
                <w:b w:val="0"/>
                <w:color w:val="000000"/>
                <w:sz w:val="20"/>
              </w:rPr>
              <w:t>0.08—0.20 元/单</w:t>
            </w:r>
          </w:p>
        </w:tc>
        <w:tc>
          <w:tcPr>
            <w:tcW w:type="dxa" w:w="1814"/>
            <w:vAlign w:val="center"/>
          </w:tcPr>
          <w:p>
            <w:pPr>
              <w:spacing w:line="264" w:lineRule="auto" w:after="0"/>
              <w:jc w:val="left"/>
            </w:pPr>
            <w:r/>
            <w:r>
              <w:rPr>
                <w:rFonts w:ascii="宋体" w:hAnsi="宋体" w:eastAsia="宋体"/>
                <w:b w:val="0"/>
                <w:color w:val="000000"/>
                <w:sz w:val="20"/>
              </w:rPr>
              <w:t>规模化运营阶段</w:t>
            </w:r>
          </w:p>
        </w:tc>
      </w:tr>
      <w:tr>
        <w:tc>
          <w:tcPr>
            <w:tcW w:type="dxa" w:w="1814"/>
            <w:vAlign w:val="center"/>
          </w:tcPr>
          <w:p>
            <w:pPr>
              <w:spacing w:line="264" w:lineRule="auto" w:after="0"/>
              <w:jc w:val="left"/>
            </w:pPr>
            <w:r/>
            <w:r>
              <w:rPr>
                <w:rFonts w:ascii="宋体" w:hAnsi="宋体" w:eastAsia="宋体"/>
                <w:b w:val="0"/>
                <w:color w:val="000000"/>
                <w:sz w:val="20"/>
              </w:rPr>
              <w:t>平台授权费</w:t>
            </w:r>
          </w:p>
        </w:tc>
        <w:tc>
          <w:tcPr>
            <w:tcW w:type="dxa" w:w="2948"/>
            <w:vAlign w:val="center"/>
          </w:tcPr>
          <w:p>
            <w:pPr>
              <w:spacing w:line="264" w:lineRule="auto" w:after="0"/>
              <w:jc w:val="left"/>
            </w:pPr>
            <w:r/>
            <w:r>
              <w:rPr>
                <w:rFonts w:ascii="宋体" w:hAnsi="宋体" w:eastAsia="宋体"/>
                <w:b w:val="0"/>
                <w:color w:val="000000"/>
                <w:sz w:val="20"/>
              </w:rPr>
              <w:t>向校园/园区客户收取年度平台服务费</w:t>
            </w:r>
          </w:p>
        </w:tc>
        <w:tc>
          <w:tcPr>
            <w:tcW w:type="dxa" w:w="1814"/>
            <w:vAlign w:val="center"/>
          </w:tcPr>
          <w:p>
            <w:pPr>
              <w:spacing w:line="264" w:lineRule="auto" w:after="0"/>
              <w:jc w:val="left"/>
            </w:pPr>
            <w:r/>
            <w:r>
              <w:rPr>
                <w:rFonts w:ascii="宋体" w:hAnsi="宋体" w:eastAsia="宋体"/>
                <w:b w:val="0"/>
                <w:color w:val="000000"/>
                <w:sz w:val="20"/>
              </w:rPr>
              <w:t>5—20 万元/年/场景</w:t>
            </w:r>
          </w:p>
        </w:tc>
        <w:tc>
          <w:tcPr>
            <w:tcW w:type="dxa" w:w="1814"/>
            <w:vAlign w:val="center"/>
          </w:tcPr>
          <w:p>
            <w:pPr>
              <w:spacing w:line="264" w:lineRule="auto" w:after="0"/>
              <w:jc w:val="left"/>
            </w:pPr>
            <w:r/>
            <w:r>
              <w:rPr>
                <w:rFonts w:ascii="宋体" w:hAnsi="宋体" w:eastAsia="宋体"/>
                <w:b w:val="0"/>
                <w:color w:val="000000"/>
                <w:sz w:val="20"/>
              </w:rPr>
              <w:t>试点到复制阶段</w:t>
            </w:r>
          </w:p>
        </w:tc>
      </w:tr>
      <w:tr>
        <w:tc>
          <w:tcPr>
            <w:tcW w:type="dxa" w:w="1814"/>
            <w:vAlign w:val="center"/>
          </w:tcPr>
          <w:p>
            <w:pPr>
              <w:spacing w:line="264" w:lineRule="auto" w:after="0"/>
              <w:jc w:val="left"/>
            </w:pPr>
            <w:r/>
            <w:r>
              <w:rPr>
                <w:rFonts w:ascii="宋体" w:hAnsi="宋体" w:eastAsia="宋体"/>
                <w:b w:val="0"/>
                <w:color w:val="000000"/>
                <w:sz w:val="20"/>
              </w:rPr>
              <w:t>硬件集成交付费</w:t>
            </w:r>
          </w:p>
        </w:tc>
        <w:tc>
          <w:tcPr>
            <w:tcW w:type="dxa" w:w="2948"/>
            <w:vAlign w:val="center"/>
          </w:tcPr>
          <w:p>
            <w:pPr>
              <w:spacing w:line="264" w:lineRule="auto" w:after="0"/>
              <w:jc w:val="left"/>
            </w:pPr>
            <w:r/>
            <w:r>
              <w:rPr>
                <w:rFonts w:ascii="宋体" w:hAnsi="宋体" w:eastAsia="宋体"/>
                <w:b w:val="0"/>
                <w:color w:val="000000"/>
                <w:sz w:val="20"/>
              </w:rPr>
              <w:t>与 UAV/AGV 厂商联合交付项目</w:t>
            </w:r>
          </w:p>
        </w:tc>
        <w:tc>
          <w:tcPr>
            <w:tcW w:type="dxa" w:w="1814"/>
            <w:vAlign w:val="center"/>
          </w:tcPr>
          <w:p>
            <w:pPr>
              <w:spacing w:line="264" w:lineRule="auto" w:after="0"/>
              <w:jc w:val="left"/>
            </w:pPr>
            <w:r/>
            <w:r>
              <w:rPr>
                <w:rFonts w:ascii="宋体" w:hAnsi="宋体" w:eastAsia="宋体"/>
                <w:b w:val="0"/>
                <w:color w:val="000000"/>
                <w:sz w:val="20"/>
              </w:rPr>
              <w:t>20—80 万元/项目</w:t>
            </w:r>
          </w:p>
        </w:tc>
        <w:tc>
          <w:tcPr>
            <w:tcW w:type="dxa" w:w="1814"/>
            <w:vAlign w:val="center"/>
          </w:tcPr>
          <w:p>
            <w:pPr>
              <w:spacing w:line="264" w:lineRule="auto" w:after="0"/>
              <w:jc w:val="left"/>
            </w:pPr>
            <w:r/>
            <w:r>
              <w:rPr>
                <w:rFonts w:ascii="宋体" w:hAnsi="宋体" w:eastAsia="宋体"/>
                <w:b w:val="0"/>
                <w:color w:val="000000"/>
                <w:sz w:val="20"/>
              </w:rPr>
              <w:t>园区和景区项目</w:t>
            </w:r>
          </w:p>
        </w:tc>
      </w:tr>
      <w:tr>
        <w:tc>
          <w:tcPr>
            <w:tcW w:type="dxa" w:w="1814"/>
            <w:vAlign w:val="center"/>
          </w:tcPr>
          <w:p>
            <w:pPr>
              <w:spacing w:line="264" w:lineRule="auto" w:after="0"/>
              <w:jc w:val="left"/>
            </w:pPr>
            <w:r/>
            <w:r>
              <w:rPr>
                <w:rFonts w:ascii="宋体" w:hAnsi="宋体" w:eastAsia="宋体"/>
                <w:b w:val="0"/>
                <w:color w:val="000000"/>
                <w:sz w:val="20"/>
              </w:rPr>
              <w:t>仿真评估咨询费</w:t>
            </w:r>
          </w:p>
        </w:tc>
        <w:tc>
          <w:tcPr>
            <w:tcW w:type="dxa" w:w="2948"/>
            <w:vAlign w:val="center"/>
          </w:tcPr>
          <w:p>
            <w:pPr>
              <w:spacing w:line="264" w:lineRule="auto" w:after="0"/>
              <w:jc w:val="left"/>
            </w:pPr>
            <w:r/>
            <w:r>
              <w:rPr>
                <w:rFonts w:ascii="宋体" w:hAnsi="宋体" w:eastAsia="宋体"/>
                <w:b w:val="0"/>
                <w:color w:val="000000"/>
                <w:sz w:val="20"/>
              </w:rPr>
              <w:t>站点规划、设备测算、路线优化报告</w:t>
            </w:r>
          </w:p>
        </w:tc>
        <w:tc>
          <w:tcPr>
            <w:tcW w:type="dxa" w:w="1814"/>
            <w:vAlign w:val="center"/>
          </w:tcPr>
          <w:p>
            <w:pPr>
              <w:spacing w:line="264" w:lineRule="auto" w:after="0"/>
              <w:jc w:val="left"/>
            </w:pPr>
            <w:r/>
            <w:r>
              <w:rPr>
                <w:rFonts w:ascii="宋体" w:hAnsi="宋体" w:eastAsia="宋体"/>
                <w:b w:val="0"/>
                <w:color w:val="000000"/>
                <w:sz w:val="20"/>
              </w:rPr>
              <w:t>2—10 万元/次</w:t>
            </w:r>
          </w:p>
        </w:tc>
        <w:tc>
          <w:tcPr>
            <w:tcW w:type="dxa" w:w="1814"/>
            <w:vAlign w:val="center"/>
          </w:tcPr>
          <w:p>
            <w:pPr>
              <w:spacing w:line="264" w:lineRule="auto" w:after="0"/>
              <w:jc w:val="left"/>
            </w:pPr>
            <w:r/>
            <w:r>
              <w:rPr>
                <w:rFonts w:ascii="宋体" w:hAnsi="宋体" w:eastAsia="宋体"/>
                <w:b w:val="0"/>
                <w:color w:val="000000"/>
                <w:sz w:val="20"/>
              </w:rPr>
              <w:t>早期切入阶段</w:t>
            </w:r>
          </w:p>
        </w:tc>
      </w:tr>
      <w:tr>
        <w:tc>
          <w:tcPr>
            <w:tcW w:type="dxa" w:w="1814"/>
            <w:vAlign w:val="center"/>
          </w:tcPr>
          <w:p>
            <w:pPr>
              <w:spacing w:line="264" w:lineRule="auto" w:after="0"/>
              <w:jc w:val="left"/>
            </w:pPr>
            <w:r/>
            <w:r>
              <w:rPr>
                <w:rFonts w:ascii="宋体" w:hAnsi="宋体" w:eastAsia="宋体"/>
                <w:b w:val="0"/>
                <w:color w:val="000000"/>
                <w:sz w:val="20"/>
              </w:rPr>
              <w:t>碳积分与绿色报告</w:t>
            </w:r>
          </w:p>
        </w:tc>
        <w:tc>
          <w:tcPr>
            <w:tcW w:type="dxa" w:w="2948"/>
            <w:vAlign w:val="center"/>
          </w:tcPr>
          <w:p>
            <w:pPr>
              <w:spacing w:line="264" w:lineRule="auto" w:after="0"/>
              <w:jc w:val="left"/>
            </w:pPr>
            <w:r/>
            <w:r>
              <w:rPr>
                <w:rFonts w:ascii="宋体" w:hAnsi="宋体" w:eastAsia="宋体"/>
                <w:b w:val="0"/>
                <w:color w:val="000000"/>
                <w:sz w:val="20"/>
              </w:rPr>
              <w:t>输出单票碳减排和绿色运营报告</w:t>
            </w:r>
          </w:p>
        </w:tc>
        <w:tc>
          <w:tcPr>
            <w:tcW w:type="dxa" w:w="1814"/>
            <w:vAlign w:val="center"/>
          </w:tcPr>
          <w:p>
            <w:pPr>
              <w:spacing w:line="264" w:lineRule="auto" w:after="0"/>
              <w:jc w:val="left"/>
            </w:pPr>
            <w:r/>
            <w:r>
              <w:rPr>
                <w:rFonts w:ascii="宋体" w:hAnsi="宋体" w:eastAsia="宋体"/>
                <w:b w:val="0"/>
                <w:color w:val="000000"/>
                <w:sz w:val="20"/>
              </w:rPr>
              <w:t>按项目或年度打包</w:t>
            </w:r>
          </w:p>
        </w:tc>
        <w:tc>
          <w:tcPr>
            <w:tcW w:type="dxa" w:w="1814"/>
            <w:vAlign w:val="center"/>
          </w:tcPr>
          <w:p>
            <w:pPr>
              <w:spacing w:line="264" w:lineRule="auto" w:after="0"/>
              <w:jc w:val="left"/>
            </w:pPr>
            <w:r/>
            <w:r>
              <w:rPr>
                <w:rFonts w:ascii="宋体" w:hAnsi="宋体" w:eastAsia="宋体"/>
                <w:b w:val="0"/>
                <w:color w:val="000000"/>
                <w:sz w:val="20"/>
              </w:rPr>
              <w:t>绿色园区和政府项目</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4.2 单位经济模型</w:t>
      </w:r>
    </w:p>
    <w:p>
      <w:pPr>
        <w:spacing w:line="300" w:lineRule="auto" w:after="0" w:before="0"/>
        <w:ind w:firstLine="480"/>
        <w:jc w:val="left"/>
      </w:pPr>
      <w:r>
        <w:rPr>
          <w:rFonts w:ascii="宋体" w:hAnsi="宋体" w:eastAsia="宋体"/>
          <w:b w:val="0"/>
          <w:color w:val="000000"/>
          <w:sz w:val="24"/>
        </w:rPr>
        <w:t>以校园场景日均 3000 单小件/餐饮配送测算，若平台按 0.12 元/单收取 SaaS 服务费，单校园月收入约 1.08 万元，年收入约 12.96 万元；若叠加 8 万元年度平台授权费和一次性仿真评估服务费，单校园首年收入可达 20 万元以上。</w:t>
      </w:r>
    </w:p>
    <w:tbl>
      <w:tblPr>
        <w:tblStyle w:val="TableGrid"/>
        <w:tblW w:type="auto" w:w="0"/>
        <w:jc w:val="center"/>
        <w:tblLayout w:type="fixed"/>
        <w:tblLook w:firstColumn="1" w:firstRow="1" w:lastColumn="0" w:lastRow="0" w:noHBand="0" w:noVBand="1" w:val="04A0"/>
      </w:tblPr>
      <w:tblGrid>
        <w:gridCol w:w="1855"/>
        <w:gridCol w:w="1855"/>
        <w:gridCol w:w="1855"/>
        <w:gridCol w:w="1855"/>
        <w:gridCol w:w="1855"/>
      </w:tblGrid>
      <w:tr>
        <w:tc>
          <w:tcPr>
            <w:tcW w:type="dxa" w:w="1701"/>
            <w:vAlign w:val="center"/>
          </w:tcPr>
          <w:p>
            <w:pPr>
              <w:spacing w:line="264" w:lineRule="auto" w:after="0"/>
              <w:jc w:val="center"/>
            </w:pPr>
            <w:r/>
            <w:r>
              <w:rPr>
                <w:rFonts w:ascii="宋体" w:hAnsi="宋体" w:eastAsia="宋体"/>
                <w:b/>
                <w:color w:val="000000"/>
                <w:sz w:val="21"/>
              </w:rPr>
              <w:t>订单规模</w:t>
            </w:r>
          </w:p>
        </w:tc>
        <w:tc>
          <w:tcPr>
            <w:tcW w:type="dxa" w:w="1701"/>
            <w:vAlign w:val="center"/>
          </w:tcPr>
          <w:p>
            <w:pPr>
              <w:spacing w:line="264" w:lineRule="auto" w:after="0"/>
              <w:jc w:val="center"/>
            </w:pPr>
            <w:r/>
            <w:r>
              <w:rPr>
                <w:rFonts w:ascii="宋体" w:hAnsi="宋体" w:eastAsia="宋体"/>
                <w:b/>
                <w:color w:val="000000"/>
                <w:sz w:val="21"/>
              </w:rPr>
              <w:t>SaaS 单价</w:t>
            </w:r>
          </w:p>
        </w:tc>
        <w:tc>
          <w:tcPr>
            <w:tcW w:type="dxa" w:w="1701"/>
            <w:vAlign w:val="center"/>
          </w:tcPr>
          <w:p>
            <w:pPr>
              <w:spacing w:line="264" w:lineRule="auto" w:after="0"/>
              <w:jc w:val="center"/>
            </w:pPr>
            <w:r/>
            <w:r>
              <w:rPr>
                <w:rFonts w:ascii="宋体" w:hAnsi="宋体" w:eastAsia="宋体"/>
                <w:b/>
                <w:color w:val="000000"/>
                <w:sz w:val="21"/>
              </w:rPr>
              <w:t>月收入</w:t>
            </w:r>
          </w:p>
        </w:tc>
        <w:tc>
          <w:tcPr>
            <w:tcW w:type="dxa" w:w="1701"/>
            <w:vAlign w:val="center"/>
          </w:tcPr>
          <w:p>
            <w:pPr>
              <w:spacing w:line="264" w:lineRule="auto" w:after="0"/>
              <w:jc w:val="center"/>
            </w:pPr>
            <w:r/>
            <w:r>
              <w:rPr>
                <w:rFonts w:ascii="宋体" w:hAnsi="宋体" w:eastAsia="宋体"/>
                <w:b/>
                <w:color w:val="000000"/>
                <w:sz w:val="21"/>
              </w:rPr>
              <w:t>年收入</w:t>
            </w:r>
          </w:p>
        </w:tc>
        <w:tc>
          <w:tcPr>
            <w:tcW w:type="dxa" w:w="1984"/>
            <w:vAlign w:val="center"/>
          </w:tcPr>
          <w:p>
            <w:pPr>
              <w:spacing w:line="264" w:lineRule="auto" w:after="0"/>
              <w:jc w:val="center"/>
            </w:pPr>
            <w:r/>
            <w:r>
              <w:rPr>
                <w:rFonts w:ascii="宋体" w:hAnsi="宋体" w:eastAsia="宋体"/>
                <w:b/>
                <w:color w:val="000000"/>
                <w:sz w:val="21"/>
              </w:rPr>
              <w:t>叠加授权后首年收入</w:t>
            </w:r>
          </w:p>
        </w:tc>
      </w:tr>
      <w:tr>
        <w:tc>
          <w:tcPr>
            <w:tcW w:type="dxa" w:w="1701"/>
            <w:vAlign w:val="center"/>
          </w:tcPr>
          <w:p>
            <w:pPr>
              <w:spacing w:line="264" w:lineRule="auto" w:after="0"/>
              <w:jc w:val="left"/>
            </w:pPr>
            <w:r/>
            <w:r>
              <w:rPr>
                <w:rFonts w:ascii="宋体" w:hAnsi="宋体" w:eastAsia="宋体"/>
                <w:b w:val="0"/>
                <w:color w:val="000000"/>
                <w:sz w:val="20"/>
              </w:rPr>
              <w:t>1000 单/日</w:t>
            </w:r>
          </w:p>
        </w:tc>
        <w:tc>
          <w:tcPr>
            <w:tcW w:type="dxa" w:w="1701"/>
            <w:vAlign w:val="center"/>
          </w:tcPr>
          <w:p>
            <w:pPr>
              <w:spacing w:line="264" w:lineRule="auto" w:after="0"/>
              <w:jc w:val="left"/>
            </w:pPr>
            <w:r/>
            <w:r>
              <w:rPr>
                <w:rFonts w:ascii="宋体" w:hAnsi="宋体" w:eastAsia="宋体"/>
                <w:b w:val="0"/>
                <w:color w:val="000000"/>
                <w:sz w:val="20"/>
              </w:rPr>
              <w:t>0.12 元/单</w:t>
            </w:r>
          </w:p>
        </w:tc>
        <w:tc>
          <w:tcPr>
            <w:tcW w:type="dxa" w:w="1701"/>
            <w:vAlign w:val="center"/>
          </w:tcPr>
          <w:p>
            <w:pPr>
              <w:spacing w:line="264" w:lineRule="auto" w:after="0"/>
              <w:jc w:val="left"/>
            </w:pPr>
            <w:r/>
            <w:r>
              <w:rPr>
                <w:rFonts w:ascii="宋体" w:hAnsi="宋体" w:eastAsia="宋体"/>
                <w:b w:val="0"/>
                <w:color w:val="000000"/>
                <w:sz w:val="20"/>
              </w:rPr>
              <w:t>0.36 万元</w:t>
            </w:r>
          </w:p>
        </w:tc>
        <w:tc>
          <w:tcPr>
            <w:tcW w:type="dxa" w:w="1701"/>
            <w:vAlign w:val="center"/>
          </w:tcPr>
          <w:p>
            <w:pPr>
              <w:spacing w:line="264" w:lineRule="auto" w:after="0"/>
              <w:jc w:val="left"/>
            </w:pPr>
            <w:r/>
            <w:r>
              <w:rPr>
                <w:rFonts w:ascii="宋体" w:hAnsi="宋体" w:eastAsia="宋体"/>
                <w:b w:val="0"/>
                <w:color w:val="000000"/>
                <w:sz w:val="20"/>
              </w:rPr>
              <w:t>4.32 万元</w:t>
            </w:r>
          </w:p>
        </w:tc>
        <w:tc>
          <w:tcPr>
            <w:tcW w:type="dxa" w:w="1984"/>
            <w:vAlign w:val="center"/>
          </w:tcPr>
          <w:p>
            <w:pPr>
              <w:spacing w:line="264" w:lineRule="auto" w:after="0"/>
              <w:jc w:val="left"/>
            </w:pPr>
            <w:r/>
            <w:r>
              <w:rPr>
                <w:rFonts w:ascii="宋体" w:hAnsi="宋体" w:eastAsia="宋体"/>
                <w:b w:val="0"/>
                <w:color w:val="000000"/>
                <w:sz w:val="20"/>
              </w:rPr>
              <w:t>约 12 万元</w:t>
            </w:r>
          </w:p>
        </w:tc>
      </w:tr>
      <w:tr>
        <w:tc>
          <w:tcPr>
            <w:tcW w:type="dxa" w:w="1701"/>
            <w:vAlign w:val="center"/>
          </w:tcPr>
          <w:p>
            <w:pPr>
              <w:spacing w:line="264" w:lineRule="auto" w:after="0"/>
              <w:jc w:val="left"/>
            </w:pPr>
            <w:r/>
            <w:r>
              <w:rPr>
                <w:rFonts w:ascii="宋体" w:hAnsi="宋体" w:eastAsia="宋体"/>
                <w:b w:val="0"/>
                <w:color w:val="000000"/>
                <w:sz w:val="20"/>
              </w:rPr>
              <w:t>3000 单/日</w:t>
            </w:r>
          </w:p>
        </w:tc>
        <w:tc>
          <w:tcPr>
            <w:tcW w:type="dxa" w:w="1701"/>
            <w:vAlign w:val="center"/>
          </w:tcPr>
          <w:p>
            <w:pPr>
              <w:spacing w:line="264" w:lineRule="auto" w:after="0"/>
              <w:jc w:val="left"/>
            </w:pPr>
            <w:r/>
            <w:r>
              <w:rPr>
                <w:rFonts w:ascii="宋体" w:hAnsi="宋体" w:eastAsia="宋体"/>
                <w:b w:val="0"/>
                <w:color w:val="000000"/>
                <w:sz w:val="20"/>
              </w:rPr>
              <w:t>0.12 元/单</w:t>
            </w:r>
          </w:p>
        </w:tc>
        <w:tc>
          <w:tcPr>
            <w:tcW w:type="dxa" w:w="1701"/>
            <w:vAlign w:val="center"/>
          </w:tcPr>
          <w:p>
            <w:pPr>
              <w:spacing w:line="264" w:lineRule="auto" w:after="0"/>
              <w:jc w:val="left"/>
            </w:pPr>
            <w:r/>
            <w:r>
              <w:rPr>
                <w:rFonts w:ascii="宋体" w:hAnsi="宋体" w:eastAsia="宋体"/>
                <w:b w:val="0"/>
                <w:color w:val="000000"/>
                <w:sz w:val="20"/>
              </w:rPr>
              <w:t>1.08 万元</w:t>
            </w:r>
          </w:p>
        </w:tc>
        <w:tc>
          <w:tcPr>
            <w:tcW w:type="dxa" w:w="1701"/>
            <w:vAlign w:val="center"/>
          </w:tcPr>
          <w:p>
            <w:pPr>
              <w:spacing w:line="264" w:lineRule="auto" w:after="0"/>
              <w:jc w:val="left"/>
            </w:pPr>
            <w:r/>
            <w:r>
              <w:rPr>
                <w:rFonts w:ascii="宋体" w:hAnsi="宋体" w:eastAsia="宋体"/>
                <w:b w:val="0"/>
                <w:color w:val="000000"/>
                <w:sz w:val="20"/>
              </w:rPr>
              <w:t>12.96 万元</w:t>
            </w:r>
          </w:p>
        </w:tc>
        <w:tc>
          <w:tcPr>
            <w:tcW w:type="dxa" w:w="1984"/>
            <w:vAlign w:val="center"/>
          </w:tcPr>
          <w:p>
            <w:pPr>
              <w:spacing w:line="264" w:lineRule="auto" w:after="0"/>
              <w:jc w:val="left"/>
            </w:pPr>
            <w:r/>
            <w:r>
              <w:rPr>
                <w:rFonts w:ascii="宋体" w:hAnsi="宋体" w:eastAsia="宋体"/>
                <w:b w:val="0"/>
                <w:color w:val="000000"/>
                <w:sz w:val="20"/>
              </w:rPr>
              <w:t>约 21 万元</w:t>
            </w:r>
          </w:p>
        </w:tc>
      </w:tr>
      <w:tr>
        <w:tc>
          <w:tcPr>
            <w:tcW w:type="dxa" w:w="1701"/>
            <w:vAlign w:val="center"/>
          </w:tcPr>
          <w:p>
            <w:pPr>
              <w:spacing w:line="264" w:lineRule="auto" w:after="0"/>
              <w:jc w:val="left"/>
            </w:pPr>
            <w:r/>
            <w:r>
              <w:rPr>
                <w:rFonts w:ascii="宋体" w:hAnsi="宋体" w:eastAsia="宋体"/>
                <w:b w:val="0"/>
                <w:color w:val="000000"/>
                <w:sz w:val="20"/>
              </w:rPr>
              <w:t>8000 单/日</w:t>
            </w:r>
          </w:p>
        </w:tc>
        <w:tc>
          <w:tcPr>
            <w:tcW w:type="dxa" w:w="1701"/>
            <w:vAlign w:val="center"/>
          </w:tcPr>
          <w:p>
            <w:pPr>
              <w:spacing w:line="264" w:lineRule="auto" w:after="0"/>
              <w:jc w:val="left"/>
            </w:pPr>
            <w:r/>
            <w:r>
              <w:rPr>
                <w:rFonts w:ascii="宋体" w:hAnsi="宋体" w:eastAsia="宋体"/>
                <w:b w:val="0"/>
                <w:color w:val="000000"/>
                <w:sz w:val="20"/>
              </w:rPr>
              <w:t>0.10 元/单</w:t>
            </w:r>
          </w:p>
        </w:tc>
        <w:tc>
          <w:tcPr>
            <w:tcW w:type="dxa" w:w="1701"/>
            <w:vAlign w:val="center"/>
          </w:tcPr>
          <w:p>
            <w:pPr>
              <w:spacing w:line="264" w:lineRule="auto" w:after="0"/>
              <w:jc w:val="left"/>
            </w:pPr>
            <w:r/>
            <w:r>
              <w:rPr>
                <w:rFonts w:ascii="宋体" w:hAnsi="宋体" w:eastAsia="宋体"/>
                <w:b w:val="0"/>
                <w:color w:val="000000"/>
                <w:sz w:val="20"/>
              </w:rPr>
              <w:t>2.40 万元</w:t>
            </w:r>
          </w:p>
        </w:tc>
        <w:tc>
          <w:tcPr>
            <w:tcW w:type="dxa" w:w="1701"/>
            <w:vAlign w:val="center"/>
          </w:tcPr>
          <w:p>
            <w:pPr>
              <w:spacing w:line="264" w:lineRule="auto" w:after="0"/>
              <w:jc w:val="left"/>
            </w:pPr>
            <w:r/>
            <w:r>
              <w:rPr>
                <w:rFonts w:ascii="宋体" w:hAnsi="宋体" w:eastAsia="宋体"/>
                <w:b w:val="0"/>
                <w:color w:val="000000"/>
                <w:sz w:val="20"/>
              </w:rPr>
              <w:t>28.80 万元</w:t>
            </w:r>
          </w:p>
        </w:tc>
        <w:tc>
          <w:tcPr>
            <w:tcW w:type="dxa" w:w="1984"/>
            <w:vAlign w:val="center"/>
          </w:tcPr>
          <w:p>
            <w:pPr>
              <w:spacing w:line="264" w:lineRule="auto" w:after="0"/>
              <w:jc w:val="left"/>
            </w:pPr>
            <w:r/>
            <w:r>
              <w:rPr>
                <w:rFonts w:ascii="宋体" w:hAnsi="宋体" w:eastAsia="宋体"/>
                <w:b w:val="0"/>
                <w:color w:val="000000"/>
                <w:sz w:val="20"/>
              </w:rPr>
              <w:t>约 45 万元</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4.3 合作模式</w:t>
      </w:r>
    </w:p>
    <w:p>
      <w:pPr>
        <w:pStyle w:val="ListBullet"/>
        <w:spacing w:after="0"/>
      </w:pPr>
      <w:r>
        <w:rPr>
          <w:rFonts w:ascii="宋体" w:hAnsi="宋体" w:eastAsia="宋体"/>
          <w:b w:val="0"/>
          <w:color w:val="000000"/>
          <w:sz w:val="24"/>
        </w:rPr>
        <w:t>校园/园区直签：客户采购平台授权、仿真评估和运维服务。</w:t>
      </w:r>
    </w:p>
    <w:p>
      <w:pPr>
        <w:pStyle w:val="ListBullet"/>
        <w:spacing w:after="0"/>
      </w:pPr>
      <w:r>
        <w:rPr>
          <w:rFonts w:ascii="宋体" w:hAnsi="宋体" w:eastAsia="宋体"/>
          <w:b w:val="0"/>
          <w:color w:val="000000"/>
          <w:sz w:val="24"/>
        </w:rPr>
        <w:t>硬件厂商联合交付：厂商提供 UAV/AGV，平台提供调度大脑和运营看板。</w:t>
      </w:r>
    </w:p>
    <w:p>
      <w:pPr>
        <w:pStyle w:val="ListBullet"/>
        <w:spacing w:after="0"/>
      </w:pPr>
      <w:r>
        <w:rPr>
          <w:rFonts w:ascii="宋体" w:hAnsi="宋体" w:eastAsia="宋体"/>
          <w:b w:val="0"/>
          <w:color w:val="000000"/>
          <w:sz w:val="24"/>
        </w:rPr>
        <w:t>政府示范项目：围绕低空经济、绿色园区和智慧物流申报试点资金。</w:t>
      </w:r>
    </w:p>
    <w:p>
      <w:pPr>
        <w:pStyle w:val="ListBullet"/>
        <w:spacing w:after="0"/>
      </w:pPr>
      <w:r>
        <w:rPr>
          <w:rFonts w:ascii="宋体" w:hAnsi="宋体" w:eastAsia="宋体"/>
          <w:b w:val="0"/>
          <w:color w:val="000000"/>
          <w:sz w:val="24"/>
        </w:rPr>
        <w:t>数据服务合作：沉淀订单、路线、能耗和碳排数据，形成行业评估报告。</w:t>
      </w:r>
    </w:p>
    <w:p>
      <w:pPr>
        <w:pStyle w:val="Heading2"/>
        <w:jc w:val="left"/>
      </w:pPr>
      <w:r>
        <w:rPr>
          <w:rFonts w:ascii="黑体" w:hAnsi="黑体" w:eastAsia="黑体"/>
          <w:b w:val="0"/>
          <w:color w:val="000000"/>
          <w:sz w:val="28"/>
        </w:rPr>
        <w:t>4.4 商业闭环</w:t>
      </w:r>
    </w:p>
    <w:p>
      <w:pPr>
        <w:spacing w:line="300" w:lineRule="auto" w:after="0" w:before="0"/>
        <w:ind w:firstLine="480"/>
        <w:jc w:val="left"/>
      </w:pPr>
      <w:r>
        <w:rPr>
          <w:rFonts w:ascii="宋体" w:hAnsi="宋体" w:eastAsia="宋体"/>
          <w:b w:val="0"/>
          <w:color w:val="000000"/>
          <w:sz w:val="24"/>
        </w:rPr>
        <w:t>项目商业闭环为：免费/低价仿真评估获取种子客户 → 输出校园或园区样板 → 收取平台授权费和项目交付费 → 积累真实订单数据 → 推出按单 SaaS 服务 → 与硬件厂商联合扩张。该路径避免早期重资产投入，适合大学生团队从轻量软件服务起步。</w:t>
      </w:r>
    </w:p>
    <w:p>
      <w:r>
        <w:br w:type="page"/>
      </w:r>
    </w:p>
    <w:p>
      <w:pPr>
        <w:pStyle w:val="Heading1"/>
        <w:jc w:val="center"/>
      </w:pPr>
      <w:r>
        <w:rPr>
          <w:rFonts w:ascii="黑体" w:hAnsi="黑体" w:eastAsia="黑体"/>
          <w:b w:val="0"/>
          <w:color w:val="000000"/>
          <w:sz w:val="32"/>
        </w:rPr>
        <w:t>第 5 章 营销与落地</w:t>
      </w:r>
    </w:p>
    <w:p>
      <w:pPr>
        <w:pStyle w:val="Heading2"/>
        <w:jc w:val="left"/>
      </w:pPr>
      <w:r>
        <w:rPr>
          <w:rFonts w:ascii="黑体" w:hAnsi="黑体" w:eastAsia="黑体"/>
          <w:b w:val="0"/>
          <w:color w:val="000000"/>
          <w:sz w:val="28"/>
        </w:rPr>
        <w:t>5.1 种子用户策略</w:t>
      </w:r>
    </w:p>
    <w:p>
      <w:pPr>
        <w:spacing w:line="300" w:lineRule="auto" w:after="0" w:before="0"/>
        <w:ind w:firstLine="480"/>
        <w:jc w:val="left"/>
      </w:pPr>
      <w:r>
        <w:rPr>
          <w:rFonts w:ascii="宋体" w:hAnsi="宋体" w:eastAsia="宋体"/>
          <w:b w:val="0"/>
          <w:color w:val="000000"/>
          <w:sz w:val="24"/>
        </w:rPr>
        <w:t>第一批种子用户建议选择湖南科技大学校内场景、周边大学科技园、湘潭本地产业园或景区。原因是团队熟悉场景，沟通成本低，试点可控，且便于形成“从校园出发，服务地方低空经济”的参赛叙事。</w:t>
      </w:r>
    </w:p>
    <w:p>
      <w:pPr>
        <w:pStyle w:val="Heading2"/>
        <w:jc w:val="left"/>
      </w:pPr>
      <w:r>
        <w:rPr>
          <w:rFonts w:ascii="黑体" w:hAnsi="黑体" w:eastAsia="黑体"/>
          <w:b w:val="0"/>
          <w:color w:val="000000"/>
          <w:sz w:val="28"/>
        </w:rPr>
        <w:t>5.2 标杆案例打造</w:t>
      </w:r>
    </w:p>
    <w:p>
      <w:pPr>
        <w:spacing w:line="300" w:lineRule="auto" w:after="0" w:before="0"/>
        <w:ind w:firstLine="480"/>
        <w:jc w:val="left"/>
      </w:pPr>
      <w:r>
        <w:rPr>
          <w:rFonts w:ascii="宋体" w:hAnsi="宋体" w:eastAsia="宋体"/>
          <w:b w:val="0"/>
          <w:color w:val="000000"/>
          <w:sz w:val="24"/>
        </w:rPr>
        <w:t>第一阶段打造 1 个校园样板：以快递驿站—宿舍区—教学区为路线，进行订单聚类、候选中继点生成、UAV/AGV 协同调度和碳排测算。第二阶段复制到 2—3 个园区或景区，形成可对外展示的案例包。</w:t>
      </w:r>
    </w:p>
    <w:p>
      <w:pPr>
        <w:pStyle w:val="Heading2"/>
        <w:jc w:val="left"/>
      </w:pPr>
      <w:r>
        <w:rPr>
          <w:rFonts w:ascii="黑体" w:hAnsi="黑体" w:eastAsia="黑体"/>
          <w:b w:val="0"/>
          <w:color w:val="000000"/>
          <w:sz w:val="28"/>
        </w:rPr>
        <w:t>5.3 渠道策略</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701"/>
            <w:vAlign w:val="center"/>
          </w:tcPr>
          <w:p>
            <w:pPr>
              <w:spacing w:line="264" w:lineRule="auto" w:after="0"/>
              <w:jc w:val="center"/>
            </w:pPr>
            <w:r/>
            <w:r>
              <w:rPr>
                <w:rFonts w:ascii="宋体" w:hAnsi="宋体" w:eastAsia="宋体"/>
                <w:b/>
                <w:color w:val="000000"/>
                <w:sz w:val="21"/>
              </w:rPr>
              <w:t>渠道</w:t>
            </w:r>
          </w:p>
        </w:tc>
        <w:tc>
          <w:tcPr>
            <w:tcW w:type="dxa" w:w="3118"/>
            <w:vAlign w:val="center"/>
          </w:tcPr>
          <w:p>
            <w:pPr>
              <w:spacing w:line="264" w:lineRule="auto" w:after="0"/>
              <w:jc w:val="center"/>
            </w:pPr>
            <w:r/>
            <w:r>
              <w:rPr>
                <w:rFonts w:ascii="宋体" w:hAnsi="宋体" w:eastAsia="宋体"/>
                <w:b/>
                <w:color w:val="000000"/>
                <w:sz w:val="21"/>
              </w:rPr>
              <w:t>资源来源</w:t>
            </w:r>
          </w:p>
        </w:tc>
        <w:tc>
          <w:tcPr>
            <w:tcW w:type="dxa" w:w="3231"/>
            <w:vAlign w:val="center"/>
          </w:tcPr>
          <w:p>
            <w:pPr>
              <w:spacing w:line="264" w:lineRule="auto" w:after="0"/>
              <w:jc w:val="center"/>
            </w:pPr>
            <w:r/>
            <w:r>
              <w:rPr>
                <w:rFonts w:ascii="宋体" w:hAnsi="宋体" w:eastAsia="宋体"/>
                <w:b/>
                <w:color w:val="000000"/>
                <w:sz w:val="21"/>
              </w:rPr>
              <w:t>目标</w:t>
            </w:r>
          </w:p>
        </w:tc>
      </w:tr>
      <w:tr>
        <w:tc>
          <w:tcPr>
            <w:tcW w:type="dxa" w:w="1701"/>
            <w:vAlign w:val="center"/>
          </w:tcPr>
          <w:p>
            <w:pPr>
              <w:spacing w:line="264" w:lineRule="auto" w:after="0"/>
              <w:jc w:val="left"/>
            </w:pPr>
            <w:r/>
            <w:r>
              <w:rPr>
                <w:rFonts w:ascii="宋体" w:hAnsi="宋体" w:eastAsia="宋体"/>
                <w:b w:val="0"/>
                <w:color w:val="000000"/>
                <w:sz w:val="20"/>
              </w:rPr>
              <w:t>校内渠道</w:t>
            </w:r>
          </w:p>
        </w:tc>
        <w:tc>
          <w:tcPr>
            <w:tcW w:type="dxa" w:w="3118"/>
            <w:vAlign w:val="center"/>
          </w:tcPr>
          <w:p>
            <w:pPr>
              <w:spacing w:line="264" w:lineRule="auto" w:after="0"/>
              <w:jc w:val="left"/>
            </w:pPr>
            <w:r/>
            <w:r>
              <w:rPr>
                <w:rFonts w:ascii="宋体" w:hAnsi="宋体" w:eastAsia="宋体"/>
                <w:b w:val="0"/>
                <w:color w:val="000000"/>
                <w:sz w:val="20"/>
              </w:rPr>
              <w:t>创新创业学院、计算机学院、后勤集团</w:t>
            </w:r>
          </w:p>
        </w:tc>
        <w:tc>
          <w:tcPr>
            <w:tcW w:type="dxa" w:w="3231"/>
            <w:vAlign w:val="center"/>
          </w:tcPr>
          <w:p>
            <w:pPr>
              <w:spacing w:line="264" w:lineRule="auto" w:after="0"/>
              <w:jc w:val="left"/>
            </w:pPr>
            <w:r/>
            <w:r>
              <w:rPr>
                <w:rFonts w:ascii="宋体" w:hAnsi="宋体" w:eastAsia="宋体"/>
                <w:b w:val="0"/>
                <w:color w:val="000000"/>
                <w:sz w:val="20"/>
              </w:rPr>
              <w:t>完成校园样板和数据积累</w:t>
            </w:r>
          </w:p>
        </w:tc>
      </w:tr>
      <w:tr>
        <w:tc>
          <w:tcPr>
            <w:tcW w:type="dxa" w:w="1701"/>
            <w:vAlign w:val="center"/>
          </w:tcPr>
          <w:p>
            <w:pPr>
              <w:spacing w:line="264" w:lineRule="auto" w:after="0"/>
              <w:jc w:val="left"/>
            </w:pPr>
            <w:r/>
            <w:r>
              <w:rPr>
                <w:rFonts w:ascii="宋体" w:hAnsi="宋体" w:eastAsia="宋体"/>
                <w:b w:val="0"/>
                <w:color w:val="000000"/>
                <w:sz w:val="20"/>
              </w:rPr>
              <w:t>企业渠道</w:t>
            </w:r>
          </w:p>
        </w:tc>
        <w:tc>
          <w:tcPr>
            <w:tcW w:type="dxa" w:w="3118"/>
            <w:vAlign w:val="center"/>
          </w:tcPr>
          <w:p>
            <w:pPr>
              <w:spacing w:line="264" w:lineRule="auto" w:after="0"/>
              <w:jc w:val="left"/>
            </w:pPr>
            <w:r/>
            <w:r>
              <w:rPr>
                <w:rFonts w:ascii="宋体" w:hAnsi="宋体" w:eastAsia="宋体"/>
                <w:b w:val="0"/>
                <w:color w:val="000000"/>
                <w:sz w:val="20"/>
              </w:rPr>
              <w:t>无人机、无人车、智慧物流企业</w:t>
            </w:r>
          </w:p>
        </w:tc>
        <w:tc>
          <w:tcPr>
            <w:tcW w:type="dxa" w:w="3231"/>
            <w:vAlign w:val="center"/>
          </w:tcPr>
          <w:p>
            <w:pPr>
              <w:spacing w:line="264" w:lineRule="auto" w:after="0"/>
              <w:jc w:val="left"/>
            </w:pPr>
            <w:r/>
            <w:r>
              <w:rPr>
                <w:rFonts w:ascii="宋体" w:hAnsi="宋体" w:eastAsia="宋体"/>
                <w:b w:val="0"/>
                <w:color w:val="000000"/>
                <w:sz w:val="20"/>
              </w:rPr>
              <w:t>嵌入硬件解决方案</w:t>
            </w:r>
          </w:p>
        </w:tc>
      </w:tr>
      <w:tr>
        <w:tc>
          <w:tcPr>
            <w:tcW w:type="dxa" w:w="1701"/>
            <w:vAlign w:val="center"/>
          </w:tcPr>
          <w:p>
            <w:pPr>
              <w:spacing w:line="264" w:lineRule="auto" w:after="0"/>
              <w:jc w:val="left"/>
            </w:pPr>
            <w:r/>
            <w:r>
              <w:rPr>
                <w:rFonts w:ascii="宋体" w:hAnsi="宋体" w:eastAsia="宋体"/>
                <w:b w:val="0"/>
                <w:color w:val="000000"/>
                <w:sz w:val="20"/>
              </w:rPr>
              <w:t>政府渠道</w:t>
            </w:r>
          </w:p>
        </w:tc>
        <w:tc>
          <w:tcPr>
            <w:tcW w:type="dxa" w:w="3118"/>
            <w:vAlign w:val="center"/>
          </w:tcPr>
          <w:p>
            <w:pPr>
              <w:spacing w:line="264" w:lineRule="auto" w:after="0"/>
              <w:jc w:val="left"/>
            </w:pPr>
            <w:r/>
            <w:r>
              <w:rPr>
                <w:rFonts w:ascii="宋体" w:hAnsi="宋体" w:eastAsia="宋体"/>
                <w:b w:val="0"/>
                <w:color w:val="000000"/>
                <w:sz w:val="20"/>
              </w:rPr>
              <w:t>低空经济示范区、绿色园区、智慧城市项目</w:t>
            </w:r>
          </w:p>
        </w:tc>
        <w:tc>
          <w:tcPr>
            <w:tcW w:type="dxa" w:w="3231"/>
            <w:vAlign w:val="center"/>
          </w:tcPr>
          <w:p>
            <w:pPr>
              <w:spacing w:line="264" w:lineRule="auto" w:after="0"/>
              <w:jc w:val="left"/>
            </w:pPr>
            <w:r/>
            <w:r>
              <w:rPr>
                <w:rFonts w:ascii="宋体" w:hAnsi="宋体" w:eastAsia="宋体"/>
                <w:b w:val="0"/>
                <w:color w:val="000000"/>
                <w:sz w:val="20"/>
              </w:rPr>
              <w:t>争取项目制资金</w:t>
            </w:r>
          </w:p>
        </w:tc>
      </w:tr>
      <w:tr>
        <w:tc>
          <w:tcPr>
            <w:tcW w:type="dxa" w:w="1701"/>
            <w:vAlign w:val="center"/>
          </w:tcPr>
          <w:p>
            <w:pPr>
              <w:spacing w:line="264" w:lineRule="auto" w:after="0"/>
              <w:jc w:val="left"/>
            </w:pPr>
            <w:r/>
            <w:r>
              <w:rPr>
                <w:rFonts w:ascii="宋体" w:hAnsi="宋体" w:eastAsia="宋体"/>
                <w:b w:val="0"/>
                <w:color w:val="000000"/>
                <w:sz w:val="20"/>
              </w:rPr>
              <w:t>竞赛渠道</w:t>
            </w:r>
          </w:p>
        </w:tc>
        <w:tc>
          <w:tcPr>
            <w:tcW w:type="dxa" w:w="3118"/>
            <w:vAlign w:val="center"/>
          </w:tcPr>
          <w:p>
            <w:pPr>
              <w:spacing w:line="264" w:lineRule="auto" w:after="0"/>
              <w:jc w:val="left"/>
            </w:pPr>
            <w:r/>
            <w:r>
              <w:rPr>
                <w:rFonts w:ascii="宋体" w:hAnsi="宋体" w:eastAsia="宋体"/>
                <w:b w:val="0"/>
                <w:color w:val="000000"/>
                <w:sz w:val="20"/>
              </w:rPr>
              <w:t>中国国际大学生创新大赛</w:t>
            </w:r>
          </w:p>
        </w:tc>
        <w:tc>
          <w:tcPr>
            <w:tcW w:type="dxa" w:w="3231"/>
            <w:vAlign w:val="center"/>
          </w:tcPr>
          <w:p>
            <w:pPr>
              <w:spacing w:line="264" w:lineRule="auto" w:after="0"/>
              <w:jc w:val="left"/>
            </w:pPr>
            <w:r/>
            <w:r>
              <w:rPr>
                <w:rFonts w:ascii="宋体" w:hAnsi="宋体" w:eastAsia="宋体"/>
                <w:b w:val="0"/>
                <w:color w:val="000000"/>
                <w:sz w:val="20"/>
              </w:rPr>
              <w:t>获得曝光、专家反馈和资源对接</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5.4 品牌表达</w:t>
      </w:r>
    </w:p>
    <w:p>
      <w:pPr>
        <w:spacing w:line="300" w:lineRule="auto" w:after="0" w:before="0"/>
        <w:ind w:firstLine="480"/>
        <w:jc w:val="left"/>
      </w:pPr>
      <w:r>
        <w:rPr>
          <w:rFonts w:ascii="宋体" w:hAnsi="宋体" w:eastAsia="宋体"/>
          <w:b w:val="0"/>
          <w:color w:val="000000"/>
          <w:sz w:val="24"/>
        </w:rPr>
        <w:t>项目品牌关键词为“低空经济、绿色物流、空地协同、智能调度”。对外表达不强调算法难度，而强调客户价值：让配送更快、让设备更省、让碳排可算、让低空试点敢落地。</w:t>
      </w:r>
    </w:p>
    <w:p>
      <w:pPr>
        <w:pStyle w:val="Heading1"/>
        <w:jc w:val="center"/>
      </w:pPr>
      <w:r>
        <w:rPr>
          <w:rFonts w:ascii="黑体" w:hAnsi="黑体" w:eastAsia="黑体"/>
          <w:b w:val="0"/>
          <w:color w:val="000000"/>
          <w:sz w:val="32"/>
        </w:rPr>
        <w:t>第 6 章 财务分析</w:t>
      </w:r>
    </w:p>
    <w:p>
      <w:pPr>
        <w:pStyle w:val="Heading2"/>
        <w:jc w:val="left"/>
      </w:pPr>
      <w:r>
        <w:rPr>
          <w:rFonts w:ascii="黑体" w:hAnsi="黑体" w:eastAsia="黑体"/>
          <w:b w:val="0"/>
          <w:color w:val="000000"/>
          <w:sz w:val="28"/>
        </w:rPr>
        <w:t>6.1 三年营收预测</w:t>
      </w:r>
    </w:p>
    <w:tbl>
      <w:tblPr>
        <w:tblStyle w:val="TableGrid"/>
        <w:tblW w:type="auto" w:w="0"/>
        <w:jc w:val="center"/>
        <w:tblLayout w:type="fixed"/>
        <w:tblLook w:firstColumn="1" w:firstRow="1" w:lastColumn="0" w:lastRow="0" w:noHBand="0" w:noVBand="1" w:val="04A0"/>
      </w:tblPr>
      <w:tblGrid>
        <w:gridCol w:w="1855"/>
        <w:gridCol w:w="1855"/>
        <w:gridCol w:w="1855"/>
        <w:gridCol w:w="1855"/>
        <w:gridCol w:w="1855"/>
      </w:tblGrid>
      <w:tr>
        <w:tc>
          <w:tcPr>
            <w:tcW w:type="dxa" w:w="1247"/>
            <w:vAlign w:val="center"/>
          </w:tcPr>
          <w:p>
            <w:pPr>
              <w:spacing w:line="264" w:lineRule="auto" w:after="0"/>
              <w:jc w:val="center"/>
            </w:pPr>
            <w:r/>
            <w:r>
              <w:rPr>
                <w:rFonts w:ascii="宋体" w:hAnsi="宋体" w:eastAsia="宋体"/>
                <w:b/>
                <w:color w:val="000000"/>
                <w:sz w:val="21"/>
              </w:rPr>
              <w:t>年份</w:t>
            </w:r>
          </w:p>
        </w:tc>
        <w:tc>
          <w:tcPr>
            <w:tcW w:type="dxa" w:w="3288"/>
            <w:vAlign w:val="center"/>
          </w:tcPr>
          <w:p>
            <w:pPr>
              <w:spacing w:line="264" w:lineRule="auto" w:after="0"/>
              <w:jc w:val="center"/>
            </w:pPr>
            <w:r/>
            <w:r>
              <w:rPr>
                <w:rFonts w:ascii="宋体" w:hAnsi="宋体" w:eastAsia="宋体"/>
                <w:b/>
                <w:color w:val="000000"/>
                <w:sz w:val="21"/>
              </w:rPr>
              <w:t>主要收入来源</w:t>
            </w:r>
          </w:p>
        </w:tc>
        <w:tc>
          <w:tcPr>
            <w:tcW w:type="dxa" w:w="2268"/>
            <w:vAlign w:val="center"/>
          </w:tcPr>
          <w:p>
            <w:pPr>
              <w:spacing w:line="264" w:lineRule="auto" w:after="0"/>
              <w:jc w:val="center"/>
            </w:pPr>
            <w:r/>
            <w:r>
              <w:rPr>
                <w:rFonts w:ascii="宋体" w:hAnsi="宋体" w:eastAsia="宋体"/>
                <w:b/>
                <w:color w:val="000000"/>
                <w:sz w:val="21"/>
              </w:rPr>
              <w:t>客户/项目数量假设</w:t>
            </w:r>
          </w:p>
        </w:tc>
        <w:tc>
          <w:tcPr>
            <w:tcW w:type="dxa" w:w="1417"/>
            <w:vAlign w:val="center"/>
          </w:tcPr>
          <w:p>
            <w:pPr>
              <w:spacing w:line="264" w:lineRule="auto" w:after="0"/>
              <w:jc w:val="center"/>
            </w:pPr>
            <w:r/>
            <w:r>
              <w:rPr>
                <w:rFonts w:ascii="宋体" w:hAnsi="宋体" w:eastAsia="宋体"/>
                <w:b/>
                <w:color w:val="000000"/>
                <w:sz w:val="21"/>
              </w:rPr>
              <w:t>预计收入</w:t>
            </w:r>
          </w:p>
        </w:tc>
        <w:tc>
          <w:tcPr>
            <w:tcW w:type="dxa" w:w="1134"/>
            <w:vAlign w:val="center"/>
          </w:tcPr>
          <w:p>
            <w:pPr>
              <w:spacing w:line="264" w:lineRule="auto" w:after="0"/>
              <w:jc w:val="center"/>
            </w:pPr>
            <w:r/>
            <w:r>
              <w:rPr>
                <w:rFonts w:ascii="宋体" w:hAnsi="宋体" w:eastAsia="宋体"/>
                <w:b/>
                <w:color w:val="000000"/>
                <w:sz w:val="21"/>
              </w:rPr>
              <w:t>毛利率</w:t>
            </w:r>
          </w:p>
        </w:tc>
      </w:tr>
      <w:tr>
        <w:tc>
          <w:tcPr>
            <w:tcW w:type="dxa" w:w="1247"/>
            <w:vAlign w:val="center"/>
          </w:tcPr>
          <w:p>
            <w:pPr>
              <w:spacing w:line="264" w:lineRule="auto" w:after="0"/>
              <w:jc w:val="left"/>
            </w:pPr>
            <w:r/>
            <w:r>
              <w:rPr>
                <w:rFonts w:ascii="宋体" w:hAnsi="宋体" w:eastAsia="宋体"/>
                <w:b w:val="0"/>
                <w:color w:val="000000"/>
                <w:sz w:val="20"/>
              </w:rPr>
              <w:t>第 1 年</w:t>
            </w:r>
          </w:p>
        </w:tc>
        <w:tc>
          <w:tcPr>
            <w:tcW w:type="dxa" w:w="3288"/>
            <w:vAlign w:val="center"/>
          </w:tcPr>
          <w:p>
            <w:pPr>
              <w:spacing w:line="264" w:lineRule="auto" w:after="0"/>
              <w:jc w:val="left"/>
            </w:pPr>
            <w:r/>
            <w:r>
              <w:rPr>
                <w:rFonts w:ascii="宋体" w:hAnsi="宋体" w:eastAsia="宋体"/>
                <w:b w:val="0"/>
                <w:color w:val="000000"/>
                <w:sz w:val="20"/>
              </w:rPr>
              <w:t>校内试点、政府/学校补贴、仿真评估</w:t>
            </w:r>
          </w:p>
        </w:tc>
        <w:tc>
          <w:tcPr>
            <w:tcW w:type="dxa" w:w="2268"/>
            <w:vAlign w:val="center"/>
          </w:tcPr>
          <w:p>
            <w:pPr>
              <w:spacing w:line="264" w:lineRule="auto" w:after="0"/>
              <w:jc w:val="left"/>
            </w:pPr>
            <w:r/>
            <w:r>
              <w:rPr>
                <w:rFonts w:ascii="宋体" w:hAnsi="宋体" w:eastAsia="宋体"/>
                <w:b w:val="0"/>
                <w:color w:val="000000"/>
                <w:sz w:val="20"/>
              </w:rPr>
              <w:t>2 个试点 + 3 次评估</w:t>
            </w:r>
          </w:p>
        </w:tc>
        <w:tc>
          <w:tcPr>
            <w:tcW w:type="dxa" w:w="1417"/>
            <w:vAlign w:val="center"/>
          </w:tcPr>
          <w:p>
            <w:pPr>
              <w:spacing w:line="264" w:lineRule="auto" w:after="0"/>
              <w:jc w:val="left"/>
            </w:pPr>
            <w:r/>
            <w:r>
              <w:rPr>
                <w:rFonts w:ascii="宋体" w:hAnsi="宋体" w:eastAsia="宋体"/>
                <w:b w:val="0"/>
                <w:color w:val="000000"/>
                <w:sz w:val="20"/>
              </w:rPr>
              <w:t>50 万元</w:t>
            </w:r>
          </w:p>
        </w:tc>
        <w:tc>
          <w:tcPr>
            <w:tcW w:type="dxa" w:w="1134"/>
            <w:vAlign w:val="center"/>
          </w:tcPr>
          <w:p>
            <w:pPr>
              <w:spacing w:line="264" w:lineRule="auto" w:after="0"/>
              <w:jc w:val="left"/>
            </w:pPr>
            <w:r/>
            <w:r>
              <w:rPr>
                <w:rFonts w:ascii="宋体" w:hAnsi="宋体" w:eastAsia="宋体"/>
                <w:b w:val="0"/>
                <w:color w:val="000000"/>
                <w:sz w:val="20"/>
              </w:rPr>
              <w:t>55%</w:t>
            </w:r>
          </w:p>
        </w:tc>
      </w:tr>
      <w:tr>
        <w:tc>
          <w:tcPr>
            <w:tcW w:type="dxa" w:w="1247"/>
            <w:vAlign w:val="center"/>
          </w:tcPr>
          <w:p>
            <w:pPr>
              <w:spacing w:line="264" w:lineRule="auto" w:after="0"/>
              <w:jc w:val="left"/>
            </w:pPr>
            <w:r/>
            <w:r>
              <w:rPr>
                <w:rFonts w:ascii="宋体" w:hAnsi="宋体" w:eastAsia="宋体"/>
                <w:b w:val="0"/>
                <w:color w:val="000000"/>
                <w:sz w:val="20"/>
              </w:rPr>
              <w:t>第 2 年</w:t>
            </w:r>
          </w:p>
        </w:tc>
        <w:tc>
          <w:tcPr>
            <w:tcW w:type="dxa" w:w="3288"/>
            <w:vAlign w:val="center"/>
          </w:tcPr>
          <w:p>
            <w:pPr>
              <w:spacing w:line="264" w:lineRule="auto" w:after="0"/>
              <w:jc w:val="left"/>
            </w:pPr>
            <w:r/>
            <w:r>
              <w:rPr>
                <w:rFonts w:ascii="宋体" w:hAnsi="宋体" w:eastAsia="宋体"/>
                <w:b w:val="0"/>
                <w:color w:val="000000"/>
                <w:sz w:val="20"/>
              </w:rPr>
              <w:t>园区项目、平台授权、硬件联合交付</w:t>
            </w:r>
          </w:p>
        </w:tc>
        <w:tc>
          <w:tcPr>
            <w:tcW w:type="dxa" w:w="2268"/>
            <w:vAlign w:val="center"/>
          </w:tcPr>
          <w:p>
            <w:pPr>
              <w:spacing w:line="264" w:lineRule="auto" w:after="0"/>
              <w:jc w:val="left"/>
            </w:pPr>
            <w:r/>
            <w:r>
              <w:rPr>
                <w:rFonts w:ascii="宋体" w:hAnsi="宋体" w:eastAsia="宋体"/>
                <w:b w:val="0"/>
                <w:color w:val="000000"/>
                <w:sz w:val="20"/>
              </w:rPr>
              <w:t>5 个园区 + 2 个集成项目</w:t>
            </w:r>
          </w:p>
        </w:tc>
        <w:tc>
          <w:tcPr>
            <w:tcW w:type="dxa" w:w="1417"/>
            <w:vAlign w:val="center"/>
          </w:tcPr>
          <w:p>
            <w:pPr>
              <w:spacing w:line="264" w:lineRule="auto" w:after="0"/>
              <w:jc w:val="left"/>
            </w:pPr>
            <w:r/>
            <w:r>
              <w:rPr>
                <w:rFonts w:ascii="宋体" w:hAnsi="宋体" w:eastAsia="宋体"/>
                <w:b w:val="0"/>
                <w:color w:val="000000"/>
                <w:sz w:val="20"/>
              </w:rPr>
              <w:t>200 万元</w:t>
            </w:r>
          </w:p>
        </w:tc>
        <w:tc>
          <w:tcPr>
            <w:tcW w:type="dxa" w:w="1134"/>
            <w:vAlign w:val="center"/>
          </w:tcPr>
          <w:p>
            <w:pPr>
              <w:spacing w:line="264" w:lineRule="auto" w:after="0"/>
              <w:jc w:val="left"/>
            </w:pPr>
            <w:r/>
            <w:r>
              <w:rPr>
                <w:rFonts w:ascii="宋体" w:hAnsi="宋体" w:eastAsia="宋体"/>
                <w:b w:val="0"/>
                <w:color w:val="000000"/>
                <w:sz w:val="20"/>
              </w:rPr>
              <w:t>62%</w:t>
            </w:r>
          </w:p>
        </w:tc>
      </w:tr>
      <w:tr>
        <w:tc>
          <w:tcPr>
            <w:tcW w:type="dxa" w:w="1247"/>
            <w:vAlign w:val="center"/>
          </w:tcPr>
          <w:p>
            <w:pPr>
              <w:spacing w:line="264" w:lineRule="auto" w:after="0"/>
              <w:jc w:val="left"/>
            </w:pPr>
            <w:r/>
            <w:r>
              <w:rPr>
                <w:rFonts w:ascii="宋体" w:hAnsi="宋体" w:eastAsia="宋体"/>
                <w:b w:val="0"/>
                <w:color w:val="000000"/>
                <w:sz w:val="20"/>
              </w:rPr>
              <w:t>第 3 年</w:t>
            </w:r>
          </w:p>
        </w:tc>
        <w:tc>
          <w:tcPr>
            <w:tcW w:type="dxa" w:w="3288"/>
            <w:vAlign w:val="center"/>
          </w:tcPr>
          <w:p>
            <w:pPr>
              <w:spacing w:line="264" w:lineRule="auto" w:after="0"/>
              <w:jc w:val="left"/>
            </w:pPr>
            <w:r/>
            <w:r>
              <w:rPr>
                <w:rFonts w:ascii="宋体" w:hAnsi="宋体" w:eastAsia="宋体"/>
                <w:b w:val="0"/>
                <w:color w:val="000000"/>
                <w:sz w:val="20"/>
              </w:rPr>
              <w:t>SaaS 按单收费、私有化部署、碳报告服务</w:t>
            </w:r>
          </w:p>
        </w:tc>
        <w:tc>
          <w:tcPr>
            <w:tcW w:type="dxa" w:w="2268"/>
            <w:vAlign w:val="center"/>
          </w:tcPr>
          <w:p>
            <w:pPr>
              <w:spacing w:line="264" w:lineRule="auto" w:after="0"/>
              <w:jc w:val="left"/>
            </w:pPr>
            <w:r/>
            <w:r>
              <w:rPr>
                <w:rFonts w:ascii="宋体" w:hAnsi="宋体" w:eastAsia="宋体"/>
                <w:b w:val="0"/>
                <w:color w:val="000000"/>
                <w:sz w:val="20"/>
              </w:rPr>
              <w:t>15 个场景 + 6 个项目</w:t>
            </w:r>
          </w:p>
        </w:tc>
        <w:tc>
          <w:tcPr>
            <w:tcW w:type="dxa" w:w="1417"/>
            <w:vAlign w:val="center"/>
          </w:tcPr>
          <w:p>
            <w:pPr>
              <w:spacing w:line="264" w:lineRule="auto" w:after="0"/>
              <w:jc w:val="left"/>
            </w:pPr>
            <w:r/>
            <w:r>
              <w:rPr>
                <w:rFonts w:ascii="宋体" w:hAnsi="宋体" w:eastAsia="宋体"/>
                <w:b w:val="0"/>
                <w:color w:val="000000"/>
                <w:sz w:val="20"/>
              </w:rPr>
              <w:t>650 万元</w:t>
            </w:r>
          </w:p>
        </w:tc>
        <w:tc>
          <w:tcPr>
            <w:tcW w:type="dxa" w:w="1134"/>
            <w:vAlign w:val="center"/>
          </w:tcPr>
          <w:p>
            <w:pPr>
              <w:spacing w:line="264" w:lineRule="auto" w:after="0"/>
              <w:jc w:val="left"/>
            </w:pPr>
            <w:r/>
            <w:r>
              <w:rPr>
                <w:rFonts w:ascii="宋体" w:hAnsi="宋体" w:eastAsia="宋体"/>
                <w:b w:val="0"/>
                <w:color w:val="000000"/>
                <w:sz w:val="20"/>
              </w:rPr>
              <w:t>68%</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6.2 成本费用预测</w:t>
      </w:r>
    </w:p>
    <w:tbl>
      <w:tblPr>
        <w:tblStyle w:val="TableGrid"/>
        <w:tblW w:type="auto" w:w="0"/>
        <w:jc w:val="center"/>
        <w:tblLayout w:type="fixed"/>
        <w:tblLook w:firstColumn="1" w:firstRow="1" w:lastColumn="0" w:lastRow="0" w:noHBand="0" w:noVBand="1" w:val="04A0"/>
      </w:tblPr>
      <w:tblGrid>
        <w:gridCol w:w="1855"/>
        <w:gridCol w:w="1855"/>
        <w:gridCol w:w="1855"/>
        <w:gridCol w:w="1855"/>
        <w:gridCol w:w="1855"/>
      </w:tblGrid>
      <w:tr>
        <w:tc>
          <w:tcPr>
            <w:tcW w:type="dxa" w:w="1587"/>
            <w:vAlign w:val="center"/>
          </w:tcPr>
          <w:p>
            <w:pPr>
              <w:spacing w:line="264" w:lineRule="auto" w:after="0"/>
              <w:jc w:val="center"/>
            </w:pPr>
            <w:r/>
            <w:r>
              <w:rPr>
                <w:rFonts w:ascii="宋体" w:hAnsi="宋体" w:eastAsia="宋体"/>
                <w:b/>
                <w:color w:val="000000"/>
                <w:sz w:val="21"/>
              </w:rPr>
              <w:t>费用项</w:t>
            </w:r>
          </w:p>
        </w:tc>
        <w:tc>
          <w:tcPr>
            <w:tcW w:type="dxa" w:w="1247"/>
            <w:vAlign w:val="center"/>
          </w:tcPr>
          <w:p>
            <w:pPr>
              <w:spacing w:line="264" w:lineRule="auto" w:after="0"/>
              <w:jc w:val="center"/>
            </w:pPr>
            <w:r/>
            <w:r>
              <w:rPr>
                <w:rFonts w:ascii="宋体" w:hAnsi="宋体" w:eastAsia="宋体"/>
                <w:b/>
                <w:color w:val="000000"/>
                <w:sz w:val="21"/>
              </w:rPr>
              <w:t>第 1 年</w:t>
            </w:r>
          </w:p>
        </w:tc>
        <w:tc>
          <w:tcPr>
            <w:tcW w:type="dxa" w:w="1247"/>
            <w:vAlign w:val="center"/>
          </w:tcPr>
          <w:p>
            <w:pPr>
              <w:spacing w:line="264" w:lineRule="auto" w:after="0"/>
              <w:jc w:val="center"/>
            </w:pPr>
            <w:r/>
            <w:r>
              <w:rPr>
                <w:rFonts w:ascii="宋体" w:hAnsi="宋体" w:eastAsia="宋体"/>
                <w:b/>
                <w:color w:val="000000"/>
                <w:sz w:val="21"/>
              </w:rPr>
              <w:t>第 2 年</w:t>
            </w:r>
          </w:p>
        </w:tc>
        <w:tc>
          <w:tcPr>
            <w:tcW w:type="dxa" w:w="1247"/>
            <w:vAlign w:val="center"/>
          </w:tcPr>
          <w:p>
            <w:pPr>
              <w:spacing w:line="264" w:lineRule="auto" w:after="0"/>
              <w:jc w:val="center"/>
            </w:pPr>
            <w:r/>
            <w:r>
              <w:rPr>
                <w:rFonts w:ascii="宋体" w:hAnsi="宋体" w:eastAsia="宋体"/>
                <w:b/>
                <w:color w:val="000000"/>
                <w:sz w:val="21"/>
              </w:rPr>
              <w:t>第 3 年</w:t>
            </w:r>
          </w:p>
        </w:tc>
        <w:tc>
          <w:tcPr>
            <w:tcW w:type="dxa" w:w="2948"/>
            <w:vAlign w:val="center"/>
          </w:tcPr>
          <w:p>
            <w:pPr>
              <w:spacing w:line="264" w:lineRule="auto" w:after="0"/>
              <w:jc w:val="center"/>
            </w:pPr>
            <w:r/>
            <w:r>
              <w:rPr>
                <w:rFonts w:ascii="宋体" w:hAnsi="宋体" w:eastAsia="宋体"/>
                <w:b/>
                <w:color w:val="000000"/>
                <w:sz w:val="21"/>
              </w:rPr>
              <w:t>说明</w:t>
            </w:r>
          </w:p>
        </w:tc>
      </w:tr>
      <w:tr>
        <w:tc>
          <w:tcPr>
            <w:tcW w:type="dxa" w:w="1587"/>
            <w:vAlign w:val="center"/>
          </w:tcPr>
          <w:p>
            <w:pPr>
              <w:spacing w:line="264" w:lineRule="auto" w:after="0"/>
              <w:jc w:val="left"/>
            </w:pPr>
            <w:r/>
            <w:r>
              <w:rPr>
                <w:rFonts w:ascii="宋体" w:hAnsi="宋体" w:eastAsia="宋体"/>
                <w:b w:val="0"/>
                <w:color w:val="000000"/>
                <w:sz w:val="20"/>
              </w:rPr>
              <w:t>研发费用</w:t>
            </w:r>
          </w:p>
        </w:tc>
        <w:tc>
          <w:tcPr>
            <w:tcW w:type="dxa" w:w="1247"/>
            <w:vAlign w:val="center"/>
          </w:tcPr>
          <w:p>
            <w:pPr>
              <w:spacing w:line="264" w:lineRule="auto" w:after="0"/>
              <w:jc w:val="left"/>
            </w:pPr>
            <w:r/>
            <w:r>
              <w:rPr>
                <w:rFonts w:ascii="宋体" w:hAnsi="宋体" w:eastAsia="宋体"/>
                <w:b w:val="0"/>
                <w:color w:val="000000"/>
                <w:sz w:val="20"/>
              </w:rPr>
              <w:t>20 万元</w:t>
            </w:r>
          </w:p>
        </w:tc>
        <w:tc>
          <w:tcPr>
            <w:tcW w:type="dxa" w:w="1247"/>
            <w:vAlign w:val="center"/>
          </w:tcPr>
          <w:p>
            <w:pPr>
              <w:spacing w:line="264" w:lineRule="auto" w:after="0"/>
              <w:jc w:val="left"/>
            </w:pPr>
            <w:r/>
            <w:r>
              <w:rPr>
                <w:rFonts w:ascii="宋体" w:hAnsi="宋体" w:eastAsia="宋体"/>
                <w:b w:val="0"/>
                <w:color w:val="000000"/>
                <w:sz w:val="20"/>
              </w:rPr>
              <w:t>60 万元</w:t>
            </w:r>
          </w:p>
        </w:tc>
        <w:tc>
          <w:tcPr>
            <w:tcW w:type="dxa" w:w="1247"/>
            <w:vAlign w:val="center"/>
          </w:tcPr>
          <w:p>
            <w:pPr>
              <w:spacing w:line="264" w:lineRule="auto" w:after="0"/>
              <w:jc w:val="left"/>
            </w:pPr>
            <w:r/>
            <w:r>
              <w:rPr>
                <w:rFonts w:ascii="宋体" w:hAnsi="宋体" w:eastAsia="宋体"/>
                <w:b w:val="0"/>
                <w:color w:val="000000"/>
                <w:sz w:val="20"/>
              </w:rPr>
              <w:t>150 万元</w:t>
            </w:r>
          </w:p>
        </w:tc>
        <w:tc>
          <w:tcPr>
            <w:tcW w:type="dxa" w:w="2948"/>
            <w:vAlign w:val="center"/>
          </w:tcPr>
          <w:p>
            <w:pPr>
              <w:spacing w:line="264" w:lineRule="auto" w:after="0"/>
              <w:jc w:val="left"/>
            </w:pPr>
            <w:r/>
            <w:r>
              <w:rPr>
                <w:rFonts w:ascii="宋体" w:hAnsi="宋体" w:eastAsia="宋体"/>
                <w:b w:val="0"/>
                <w:color w:val="000000"/>
                <w:sz w:val="20"/>
              </w:rPr>
              <w:t>算法、平台、数据和云资源</w:t>
            </w:r>
          </w:p>
        </w:tc>
      </w:tr>
      <w:tr>
        <w:tc>
          <w:tcPr>
            <w:tcW w:type="dxa" w:w="1587"/>
            <w:vAlign w:val="center"/>
          </w:tcPr>
          <w:p>
            <w:pPr>
              <w:spacing w:line="264" w:lineRule="auto" w:after="0"/>
              <w:jc w:val="left"/>
            </w:pPr>
            <w:r/>
            <w:r>
              <w:rPr>
                <w:rFonts w:ascii="宋体" w:hAnsi="宋体" w:eastAsia="宋体"/>
                <w:b w:val="0"/>
                <w:color w:val="000000"/>
                <w:sz w:val="20"/>
              </w:rPr>
              <w:t>市场费用</w:t>
            </w:r>
          </w:p>
        </w:tc>
        <w:tc>
          <w:tcPr>
            <w:tcW w:type="dxa" w:w="1247"/>
            <w:vAlign w:val="center"/>
          </w:tcPr>
          <w:p>
            <w:pPr>
              <w:spacing w:line="264" w:lineRule="auto" w:after="0"/>
              <w:jc w:val="left"/>
            </w:pPr>
            <w:r/>
            <w:r>
              <w:rPr>
                <w:rFonts w:ascii="宋体" w:hAnsi="宋体" w:eastAsia="宋体"/>
                <w:b w:val="0"/>
                <w:color w:val="000000"/>
                <w:sz w:val="20"/>
              </w:rPr>
              <w:t>8 万元</w:t>
            </w:r>
          </w:p>
        </w:tc>
        <w:tc>
          <w:tcPr>
            <w:tcW w:type="dxa" w:w="1247"/>
            <w:vAlign w:val="center"/>
          </w:tcPr>
          <w:p>
            <w:pPr>
              <w:spacing w:line="264" w:lineRule="auto" w:after="0"/>
              <w:jc w:val="left"/>
            </w:pPr>
            <w:r/>
            <w:r>
              <w:rPr>
                <w:rFonts w:ascii="宋体" w:hAnsi="宋体" w:eastAsia="宋体"/>
                <w:b w:val="0"/>
                <w:color w:val="000000"/>
                <w:sz w:val="20"/>
              </w:rPr>
              <w:t>35 万元</w:t>
            </w:r>
          </w:p>
        </w:tc>
        <w:tc>
          <w:tcPr>
            <w:tcW w:type="dxa" w:w="1247"/>
            <w:vAlign w:val="center"/>
          </w:tcPr>
          <w:p>
            <w:pPr>
              <w:spacing w:line="264" w:lineRule="auto" w:after="0"/>
              <w:jc w:val="left"/>
            </w:pPr>
            <w:r/>
            <w:r>
              <w:rPr>
                <w:rFonts w:ascii="宋体" w:hAnsi="宋体" w:eastAsia="宋体"/>
                <w:b w:val="0"/>
                <w:color w:val="000000"/>
                <w:sz w:val="20"/>
              </w:rPr>
              <w:t>90 万元</w:t>
            </w:r>
          </w:p>
        </w:tc>
        <w:tc>
          <w:tcPr>
            <w:tcW w:type="dxa" w:w="2948"/>
            <w:vAlign w:val="center"/>
          </w:tcPr>
          <w:p>
            <w:pPr>
              <w:spacing w:line="264" w:lineRule="auto" w:after="0"/>
              <w:jc w:val="left"/>
            </w:pPr>
            <w:r/>
            <w:r>
              <w:rPr>
                <w:rFonts w:ascii="宋体" w:hAnsi="宋体" w:eastAsia="宋体"/>
                <w:b w:val="0"/>
                <w:color w:val="000000"/>
                <w:sz w:val="20"/>
              </w:rPr>
              <w:t>试点拓展、路演、展会和客户拜访</w:t>
            </w:r>
          </w:p>
        </w:tc>
      </w:tr>
      <w:tr>
        <w:tc>
          <w:tcPr>
            <w:tcW w:type="dxa" w:w="1587"/>
            <w:vAlign w:val="center"/>
          </w:tcPr>
          <w:p>
            <w:pPr>
              <w:spacing w:line="264" w:lineRule="auto" w:after="0"/>
              <w:jc w:val="left"/>
            </w:pPr>
            <w:r/>
            <w:r>
              <w:rPr>
                <w:rFonts w:ascii="宋体" w:hAnsi="宋体" w:eastAsia="宋体"/>
                <w:b w:val="0"/>
                <w:color w:val="000000"/>
                <w:sz w:val="20"/>
              </w:rPr>
              <w:t>交付费用</w:t>
            </w:r>
          </w:p>
        </w:tc>
        <w:tc>
          <w:tcPr>
            <w:tcW w:type="dxa" w:w="1247"/>
            <w:vAlign w:val="center"/>
          </w:tcPr>
          <w:p>
            <w:pPr>
              <w:spacing w:line="264" w:lineRule="auto" w:after="0"/>
              <w:jc w:val="left"/>
            </w:pPr>
            <w:r/>
            <w:r>
              <w:rPr>
                <w:rFonts w:ascii="宋体" w:hAnsi="宋体" w:eastAsia="宋体"/>
                <w:b w:val="0"/>
                <w:color w:val="000000"/>
                <w:sz w:val="20"/>
              </w:rPr>
              <w:t>10 万元</w:t>
            </w:r>
          </w:p>
        </w:tc>
        <w:tc>
          <w:tcPr>
            <w:tcW w:type="dxa" w:w="1247"/>
            <w:vAlign w:val="center"/>
          </w:tcPr>
          <w:p>
            <w:pPr>
              <w:spacing w:line="264" w:lineRule="auto" w:after="0"/>
              <w:jc w:val="left"/>
            </w:pPr>
            <w:r/>
            <w:r>
              <w:rPr>
                <w:rFonts w:ascii="宋体" w:hAnsi="宋体" w:eastAsia="宋体"/>
                <w:b w:val="0"/>
                <w:color w:val="000000"/>
                <w:sz w:val="20"/>
              </w:rPr>
              <w:t>55 万元</w:t>
            </w:r>
          </w:p>
        </w:tc>
        <w:tc>
          <w:tcPr>
            <w:tcW w:type="dxa" w:w="1247"/>
            <w:vAlign w:val="center"/>
          </w:tcPr>
          <w:p>
            <w:pPr>
              <w:spacing w:line="264" w:lineRule="auto" w:after="0"/>
              <w:jc w:val="left"/>
            </w:pPr>
            <w:r/>
            <w:r>
              <w:rPr>
                <w:rFonts w:ascii="宋体" w:hAnsi="宋体" w:eastAsia="宋体"/>
                <w:b w:val="0"/>
                <w:color w:val="000000"/>
                <w:sz w:val="20"/>
              </w:rPr>
              <w:t>140 万元</w:t>
            </w:r>
          </w:p>
        </w:tc>
        <w:tc>
          <w:tcPr>
            <w:tcW w:type="dxa" w:w="2948"/>
            <w:vAlign w:val="center"/>
          </w:tcPr>
          <w:p>
            <w:pPr>
              <w:spacing w:line="264" w:lineRule="auto" w:after="0"/>
              <w:jc w:val="left"/>
            </w:pPr>
            <w:r/>
            <w:r>
              <w:rPr>
                <w:rFonts w:ascii="宋体" w:hAnsi="宋体" w:eastAsia="宋体"/>
                <w:b w:val="0"/>
                <w:color w:val="000000"/>
                <w:sz w:val="20"/>
              </w:rPr>
              <w:t>地图建模、硬件适配、项目实施</w:t>
            </w:r>
          </w:p>
        </w:tc>
      </w:tr>
      <w:tr>
        <w:tc>
          <w:tcPr>
            <w:tcW w:type="dxa" w:w="1587"/>
            <w:vAlign w:val="center"/>
          </w:tcPr>
          <w:p>
            <w:pPr>
              <w:spacing w:line="264" w:lineRule="auto" w:after="0"/>
              <w:jc w:val="left"/>
            </w:pPr>
            <w:r/>
            <w:r>
              <w:rPr>
                <w:rFonts w:ascii="宋体" w:hAnsi="宋体" w:eastAsia="宋体"/>
                <w:b w:val="0"/>
                <w:color w:val="000000"/>
                <w:sz w:val="20"/>
              </w:rPr>
              <w:t>管理费用</w:t>
            </w:r>
          </w:p>
        </w:tc>
        <w:tc>
          <w:tcPr>
            <w:tcW w:type="dxa" w:w="1247"/>
            <w:vAlign w:val="center"/>
          </w:tcPr>
          <w:p>
            <w:pPr>
              <w:spacing w:line="264" w:lineRule="auto" w:after="0"/>
              <w:jc w:val="left"/>
            </w:pPr>
            <w:r/>
            <w:r>
              <w:rPr>
                <w:rFonts w:ascii="宋体" w:hAnsi="宋体" w:eastAsia="宋体"/>
                <w:b w:val="0"/>
                <w:color w:val="000000"/>
                <w:sz w:val="20"/>
              </w:rPr>
              <w:t>5 万元</w:t>
            </w:r>
          </w:p>
        </w:tc>
        <w:tc>
          <w:tcPr>
            <w:tcW w:type="dxa" w:w="1247"/>
            <w:vAlign w:val="center"/>
          </w:tcPr>
          <w:p>
            <w:pPr>
              <w:spacing w:line="264" w:lineRule="auto" w:after="0"/>
              <w:jc w:val="left"/>
            </w:pPr>
            <w:r/>
            <w:r>
              <w:rPr>
                <w:rFonts w:ascii="宋体" w:hAnsi="宋体" w:eastAsia="宋体"/>
                <w:b w:val="0"/>
                <w:color w:val="000000"/>
                <w:sz w:val="20"/>
              </w:rPr>
              <w:t>20 万元</w:t>
            </w:r>
          </w:p>
        </w:tc>
        <w:tc>
          <w:tcPr>
            <w:tcW w:type="dxa" w:w="1247"/>
            <w:vAlign w:val="center"/>
          </w:tcPr>
          <w:p>
            <w:pPr>
              <w:spacing w:line="264" w:lineRule="auto" w:after="0"/>
              <w:jc w:val="left"/>
            </w:pPr>
            <w:r/>
            <w:r>
              <w:rPr>
                <w:rFonts w:ascii="宋体" w:hAnsi="宋体" w:eastAsia="宋体"/>
                <w:b w:val="0"/>
                <w:color w:val="000000"/>
                <w:sz w:val="20"/>
              </w:rPr>
              <w:t>55 万元</w:t>
            </w:r>
          </w:p>
        </w:tc>
        <w:tc>
          <w:tcPr>
            <w:tcW w:type="dxa" w:w="2948"/>
            <w:vAlign w:val="center"/>
          </w:tcPr>
          <w:p>
            <w:pPr>
              <w:spacing w:line="264" w:lineRule="auto" w:after="0"/>
              <w:jc w:val="left"/>
            </w:pPr>
            <w:r/>
            <w:r>
              <w:rPr>
                <w:rFonts w:ascii="宋体" w:hAnsi="宋体" w:eastAsia="宋体"/>
                <w:b w:val="0"/>
                <w:color w:val="000000"/>
                <w:sz w:val="20"/>
              </w:rPr>
              <w:t>团队运营、财务、法务和知识产权</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6.3 利润预测</w:t>
      </w:r>
    </w:p>
    <w:tbl>
      <w:tblPr>
        <w:tblStyle w:val="TableGrid"/>
        <w:tblW w:type="auto" w:w="0"/>
        <w:jc w:val="center"/>
        <w:tblLayout w:type="fixed"/>
        <w:tblLook w:firstColumn="1" w:firstRow="1" w:lastColumn="0" w:lastRow="0" w:noHBand="0" w:noVBand="1" w:val="04A0"/>
      </w:tblPr>
      <w:tblGrid>
        <w:gridCol w:w="1855"/>
        <w:gridCol w:w="1855"/>
        <w:gridCol w:w="1855"/>
        <w:gridCol w:w="1855"/>
        <w:gridCol w:w="1855"/>
      </w:tblGrid>
      <w:tr>
        <w:tc>
          <w:tcPr>
            <w:tcW w:type="dxa" w:w="1361"/>
            <w:vAlign w:val="center"/>
          </w:tcPr>
          <w:p>
            <w:pPr>
              <w:spacing w:line="264" w:lineRule="auto" w:after="0"/>
              <w:jc w:val="center"/>
            </w:pPr>
            <w:r/>
            <w:r>
              <w:rPr>
                <w:rFonts w:ascii="宋体" w:hAnsi="宋体" w:eastAsia="宋体"/>
                <w:b/>
                <w:color w:val="000000"/>
                <w:sz w:val="21"/>
              </w:rPr>
              <w:t>年份</w:t>
            </w:r>
          </w:p>
        </w:tc>
        <w:tc>
          <w:tcPr>
            <w:tcW w:type="dxa" w:w="1361"/>
            <w:vAlign w:val="center"/>
          </w:tcPr>
          <w:p>
            <w:pPr>
              <w:spacing w:line="264" w:lineRule="auto" w:after="0"/>
              <w:jc w:val="center"/>
            </w:pPr>
            <w:r/>
            <w:r>
              <w:rPr>
                <w:rFonts w:ascii="宋体" w:hAnsi="宋体" w:eastAsia="宋体"/>
                <w:b/>
                <w:color w:val="000000"/>
                <w:sz w:val="21"/>
              </w:rPr>
              <w:t>收入</w:t>
            </w:r>
          </w:p>
        </w:tc>
        <w:tc>
          <w:tcPr>
            <w:tcW w:type="dxa" w:w="1587"/>
            <w:vAlign w:val="center"/>
          </w:tcPr>
          <w:p>
            <w:pPr>
              <w:spacing w:line="264" w:lineRule="auto" w:after="0"/>
              <w:jc w:val="center"/>
            </w:pPr>
            <w:r/>
            <w:r>
              <w:rPr>
                <w:rFonts w:ascii="宋体" w:hAnsi="宋体" w:eastAsia="宋体"/>
                <w:b/>
                <w:color w:val="000000"/>
                <w:sz w:val="21"/>
              </w:rPr>
              <w:t>总成本费用</w:t>
            </w:r>
          </w:p>
        </w:tc>
        <w:tc>
          <w:tcPr>
            <w:tcW w:type="dxa" w:w="1587"/>
            <w:vAlign w:val="center"/>
          </w:tcPr>
          <w:p>
            <w:pPr>
              <w:spacing w:line="264" w:lineRule="auto" w:after="0"/>
              <w:jc w:val="center"/>
            </w:pPr>
            <w:r/>
            <w:r>
              <w:rPr>
                <w:rFonts w:ascii="宋体" w:hAnsi="宋体" w:eastAsia="宋体"/>
                <w:b/>
                <w:color w:val="000000"/>
                <w:sz w:val="21"/>
              </w:rPr>
              <w:t>预计净利润</w:t>
            </w:r>
          </w:p>
        </w:tc>
        <w:tc>
          <w:tcPr>
            <w:tcW w:type="dxa" w:w="2835"/>
            <w:vAlign w:val="center"/>
          </w:tcPr>
          <w:p>
            <w:pPr>
              <w:spacing w:line="264" w:lineRule="auto" w:after="0"/>
              <w:jc w:val="center"/>
            </w:pPr>
            <w:r/>
            <w:r>
              <w:rPr>
                <w:rFonts w:ascii="宋体" w:hAnsi="宋体" w:eastAsia="宋体"/>
                <w:b/>
                <w:color w:val="000000"/>
                <w:sz w:val="21"/>
              </w:rPr>
              <w:t>经营判断</w:t>
            </w:r>
          </w:p>
        </w:tc>
      </w:tr>
      <w:tr>
        <w:tc>
          <w:tcPr>
            <w:tcW w:type="dxa" w:w="1361"/>
            <w:vAlign w:val="center"/>
          </w:tcPr>
          <w:p>
            <w:pPr>
              <w:spacing w:line="264" w:lineRule="auto" w:after="0"/>
              <w:jc w:val="left"/>
            </w:pPr>
            <w:r/>
            <w:r>
              <w:rPr>
                <w:rFonts w:ascii="宋体" w:hAnsi="宋体" w:eastAsia="宋体"/>
                <w:b w:val="0"/>
                <w:color w:val="000000"/>
                <w:sz w:val="20"/>
              </w:rPr>
              <w:t>第 1 年</w:t>
            </w:r>
          </w:p>
        </w:tc>
        <w:tc>
          <w:tcPr>
            <w:tcW w:type="dxa" w:w="1361"/>
            <w:vAlign w:val="center"/>
          </w:tcPr>
          <w:p>
            <w:pPr>
              <w:spacing w:line="264" w:lineRule="auto" w:after="0"/>
              <w:jc w:val="left"/>
            </w:pPr>
            <w:r/>
            <w:r>
              <w:rPr>
                <w:rFonts w:ascii="宋体" w:hAnsi="宋体" w:eastAsia="宋体"/>
                <w:b w:val="0"/>
                <w:color w:val="000000"/>
                <w:sz w:val="20"/>
              </w:rPr>
              <w:t>50 万元</w:t>
            </w:r>
          </w:p>
        </w:tc>
        <w:tc>
          <w:tcPr>
            <w:tcW w:type="dxa" w:w="1587"/>
            <w:vAlign w:val="center"/>
          </w:tcPr>
          <w:p>
            <w:pPr>
              <w:spacing w:line="264" w:lineRule="auto" w:after="0"/>
              <w:jc w:val="left"/>
            </w:pPr>
            <w:r/>
            <w:r>
              <w:rPr>
                <w:rFonts w:ascii="宋体" w:hAnsi="宋体" w:eastAsia="宋体"/>
                <w:b w:val="0"/>
                <w:color w:val="000000"/>
                <w:sz w:val="20"/>
              </w:rPr>
              <w:t>43 万元</w:t>
            </w:r>
          </w:p>
        </w:tc>
        <w:tc>
          <w:tcPr>
            <w:tcW w:type="dxa" w:w="1587"/>
            <w:vAlign w:val="center"/>
          </w:tcPr>
          <w:p>
            <w:pPr>
              <w:spacing w:line="264" w:lineRule="auto" w:after="0"/>
              <w:jc w:val="left"/>
            </w:pPr>
            <w:r/>
            <w:r>
              <w:rPr>
                <w:rFonts w:ascii="宋体" w:hAnsi="宋体" w:eastAsia="宋体"/>
                <w:b w:val="0"/>
                <w:color w:val="000000"/>
                <w:sz w:val="20"/>
              </w:rPr>
              <w:t>7 万元</w:t>
            </w:r>
          </w:p>
        </w:tc>
        <w:tc>
          <w:tcPr>
            <w:tcW w:type="dxa" w:w="2835"/>
            <w:vAlign w:val="center"/>
          </w:tcPr>
          <w:p>
            <w:pPr>
              <w:spacing w:line="264" w:lineRule="auto" w:after="0"/>
              <w:jc w:val="left"/>
            </w:pPr>
            <w:r/>
            <w:r>
              <w:rPr>
                <w:rFonts w:ascii="宋体" w:hAnsi="宋体" w:eastAsia="宋体"/>
                <w:b w:val="0"/>
                <w:color w:val="000000"/>
                <w:sz w:val="20"/>
              </w:rPr>
              <w:t>完成样板验证，保持轻资产运行</w:t>
            </w:r>
          </w:p>
        </w:tc>
      </w:tr>
      <w:tr>
        <w:tc>
          <w:tcPr>
            <w:tcW w:type="dxa" w:w="1361"/>
            <w:vAlign w:val="center"/>
          </w:tcPr>
          <w:p>
            <w:pPr>
              <w:spacing w:line="264" w:lineRule="auto" w:after="0"/>
              <w:jc w:val="left"/>
            </w:pPr>
            <w:r/>
            <w:r>
              <w:rPr>
                <w:rFonts w:ascii="宋体" w:hAnsi="宋体" w:eastAsia="宋体"/>
                <w:b w:val="0"/>
                <w:color w:val="000000"/>
                <w:sz w:val="20"/>
              </w:rPr>
              <w:t>第 2 年</w:t>
            </w:r>
          </w:p>
        </w:tc>
        <w:tc>
          <w:tcPr>
            <w:tcW w:type="dxa" w:w="1361"/>
            <w:vAlign w:val="center"/>
          </w:tcPr>
          <w:p>
            <w:pPr>
              <w:spacing w:line="264" w:lineRule="auto" w:after="0"/>
              <w:jc w:val="left"/>
            </w:pPr>
            <w:r/>
            <w:r>
              <w:rPr>
                <w:rFonts w:ascii="宋体" w:hAnsi="宋体" w:eastAsia="宋体"/>
                <w:b w:val="0"/>
                <w:color w:val="000000"/>
                <w:sz w:val="20"/>
              </w:rPr>
              <w:t>200 万元</w:t>
            </w:r>
          </w:p>
        </w:tc>
        <w:tc>
          <w:tcPr>
            <w:tcW w:type="dxa" w:w="1587"/>
            <w:vAlign w:val="center"/>
          </w:tcPr>
          <w:p>
            <w:pPr>
              <w:spacing w:line="264" w:lineRule="auto" w:after="0"/>
              <w:jc w:val="left"/>
            </w:pPr>
            <w:r/>
            <w:r>
              <w:rPr>
                <w:rFonts w:ascii="宋体" w:hAnsi="宋体" w:eastAsia="宋体"/>
                <w:b w:val="0"/>
                <w:color w:val="000000"/>
                <w:sz w:val="20"/>
              </w:rPr>
              <w:t>170 万元</w:t>
            </w:r>
          </w:p>
        </w:tc>
        <w:tc>
          <w:tcPr>
            <w:tcW w:type="dxa" w:w="1587"/>
            <w:vAlign w:val="center"/>
          </w:tcPr>
          <w:p>
            <w:pPr>
              <w:spacing w:line="264" w:lineRule="auto" w:after="0"/>
              <w:jc w:val="left"/>
            </w:pPr>
            <w:r/>
            <w:r>
              <w:rPr>
                <w:rFonts w:ascii="宋体" w:hAnsi="宋体" w:eastAsia="宋体"/>
                <w:b w:val="0"/>
                <w:color w:val="000000"/>
                <w:sz w:val="20"/>
              </w:rPr>
              <w:t>30 万元</w:t>
            </w:r>
          </w:p>
        </w:tc>
        <w:tc>
          <w:tcPr>
            <w:tcW w:type="dxa" w:w="2835"/>
            <w:vAlign w:val="center"/>
          </w:tcPr>
          <w:p>
            <w:pPr>
              <w:spacing w:line="264" w:lineRule="auto" w:after="0"/>
              <w:jc w:val="left"/>
            </w:pPr>
            <w:r/>
            <w:r>
              <w:rPr>
                <w:rFonts w:ascii="宋体" w:hAnsi="宋体" w:eastAsia="宋体"/>
                <w:b w:val="0"/>
                <w:color w:val="000000"/>
                <w:sz w:val="20"/>
              </w:rPr>
              <w:t>形成区域复制能力</w:t>
            </w:r>
          </w:p>
        </w:tc>
      </w:tr>
      <w:tr>
        <w:tc>
          <w:tcPr>
            <w:tcW w:type="dxa" w:w="1361"/>
            <w:vAlign w:val="center"/>
          </w:tcPr>
          <w:p>
            <w:pPr>
              <w:spacing w:line="264" w:lineRule="auto" w:after="0"/>
              <w:jc w:val="left"/>
            </w:pPr>
            <w:r/>
            <w:r>
              <w:rPr>
                <w:rFonts w:ascii="宋体" w:hAnsi="宋体" w:eastAsia="宋体"/>
                <w:b w:val="0"/>
                <w:color w:val="000000"/>
                <w:sz w:val="20"/>
              </w:rPr>
              <w:t>第 3 年</w:t>
            </w:r>
          </w:p>
        </w:tc>
        <w:tc>
          <w:tcPr>
            <w:tcW w:type="dxa" w:w="1361"/>
            <w:vAlign w:val="center"/>
          </w:tcPr>
          <w:p>
            <w:pPr>
              <w:spacing w:line="264" w:lineRule="auto" w:after="0"/>
              <w:jc w:val="left"/>
            </w:pPr>
            <w:r/>
            <w:r>
              <w:rPr>
                <w:rFonts w:ascii="宋体" w:hAnsi="宋体" w:eastAsia="宋体"/>
                <w:b w:val="0"/>
                <w:color w:val="000000"/>
                <w:sz w:val="20"/>
              </w:rPr>
              <w:t>650 万元</w:t>
            </w:r>
          </w:p>
        </w:tc>
        <w:tc>
          <w:tcPr>
            <w:tcW w:type="dxa" w:w="1587"/>
            <w:vAlign w:val="center"/>
          </w:tcPr>
          <w:p>
            <w:pPr>
              <w:spacing w:line="264" w:lineRule="auto" w:after="0"/>
              <w:jc w:val="left"/>
            </w:pPr>
            <w:r/>
            <w:r>
              <w:rPr>
                <w:rFonts w:ascii="宋体" w:hAnsi="宋体" w:eastAsia="宋体"/>
                <w:b w:val="0"/>
                <w:color w:val="000000"/>
                <w:sz w:val="20"/>
              </w:rPr>
              <w:t>435 万元</w:t>
            </w:r>
          </w:p>
        </w:tc>
        <w:tc>
          <w:tcPr>
            <w:tcW w:type="dxa" w:w="1587"/>
            <w:vAlign w:val="center"/>
          </w:tcPr>
          <w:p>
            <w:pPr>
              <w:spacing w:line="264" w:lineRule="auto" w:after="0"/>
              <w:jc w:val="left"/>
            </w:pPr>
            <w:r/>
            <w:r>
              <w:rPr>
                <w:rFonts w:ascii="宋体" w:hAnsi="宋体" w:eastAsia="宋体"/>
                <w:b w:val="0"/>
                <w:color w:val="000000"/>
                <w:sz w:val="20"/>
              </w:rPr>
              <w:t>215 万元</w:t>
            </w:r>
          </w:p>
        </w:tc>
        <w:tc>
          <w:tcPr>
            <w:tcW w:type="dxa" w:w="2835"/>
            <w:vAlign w:val="center"/>
          </w:tcPr>
          <w:p>
            <w:pPr>
              <w:spacing w:line="264" w:lineRule="auto" w:after="0"/>
              <w:jc w:val="left"/>
            </w:pPr>
            <w:r/>
            <w:r>
              <w:rPr>
                <w:rFonts w:ascii="宋体" w:hAnsi="宋体" w:eastAsia="宋体"/>
                <w:b w:val="0"/>
                <w:color w:val="000000"/>
                <w:sz w:val="20"/>
              </w:rPr>
              <w:t>SaaS 化后利润率提升</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6.4 资金需求与使用计划</w:t>
      </w:r>
    </w:p>
    <w:tbl>
      <w:tblPr>
        <w:tblStyle w:val="TableGrid"/>
        <w:tblW w:type="auto" w:w="0"/>
        <w:jc w:val="center"/>
        <w:tblLayout w:type="fixed"/>
        <w:tblLook w:firstColumn="1" w:firstRow="1" w:lastColumn="0" w:lastRow="0" w:noHBand="0" w:noVBand="1" w:val="04A0"/>
      </w:tblPr>
      <w:tblGrid>
        <w:gridCol w:w="2318"/>
        <w:gridCol w:w="2318"/>
        <w:gridCol w:w="2318"/>
        <w:gridCol w:w="2318"/>
      </w:tblGrid>
      <w:tr>
        <w:tc>
          <w:tcPr>
            <w:tcW w:type="dxa" w:w="1814"/>
            <w:vAlign w:val="center"/>
          </w:tcPr>
          <w:p>
            <w:pPr>
              <w:spacing w:line="264" w:lineRule="auto" w:after="0"/>
              <w:jc w:val="center"/>
            </w:pPr>
            <w:r/>
            <w:r>
              <w:rPr>
                <w:rFonts w:ascii="宋体" w:hAnsi="宋体" w:eastAsia="宋体"/>
                <w:b/>
                <w:color w:val="000000"/>
                <w:sz w:val="21"/>
              </w:rPr>
              <w:t>用途</w:t>
            </w:r>
          </w:p>
        </w:tc>
        <w:tc>
          <w:tcPr>
            <w:tcW w:type="dxa" w:w="1361"/>
            <w:vAlign w:val="center"/>
          </w:tcPr>
          <w:p>
            <w:pPr>
              <w:spacing w:line="264" w:lineRule="auto" w:after="0"/>
              <w:jc w:val="center"/>
            </w:pPr>
            <w:r/>
            <w:r>
              <w:rPr>
                <w:rFonts w:ascii="宋体" w:hAnsi="宋体" w:eastAsia="宋体"/>
                <w:b/>
                <w:color w:val="000000"/>
                <w:sz w:val="21"/>
              </w:rPr>
              <w:t>金额</w:t>
            </w:r>
          </w:p>
        </w:tc>
        <w:tc>
          <w:tcPr>
            <w:tcW w:type="dxa" w:w="1361"/>
            <w:vAlign w:val="center"/>
          </w:tcPr>
          <w:p>
            <w:pPr>
              <w:spacing w:line="264" w:lineRule="auto" w:after="0"/>
              <w:jc w:val="center"/>
            </w:pPr>
            <w:r/>
            <w:r>
              <w:rPr>
                <w:rFonts w:ascii="宋体" w:hAnsi="宋体" w:eastAsia="宋体"/>
                <w:b/>
                <w:color w:val="000000"/>
                <w:sz w:val="21"/>
              </w:rPr>
              <w:t>占比</w:t>
            </w:r>
          </w:p>
        </w:tc>
        <w:tc>
          <w:tcPr>
            <w:tcW w:type="dxa" w:w="3969"/>
            <w:vAlign w:val="center"/>
          </w:tcPr>
          <w:p>
            <w:pPr>
              <w:spacing w:line="264" w:lineRule="auto" w:after="0"/>
              <w:jc w:val="center"/>
            </w:pPr>
            <w:r/>
            <w:r>
              <w:rPr>
                <w:rFonts w:ascii="宋体" w:hAnsi="宋体" w:eastAsia="宋体"/>
                <w:b/>
                <w:color w:val="000000"/>
                <w:sz w:val="21"/>
              </w:rPr>
              <w:t>说明</w:t>
            </w:r>
          </w:p>
        </w:tc>
      </w:tr>
      <w:tr>
        <w:tc>
          <w:tcPr>
            <w:tcW w:type="dxa" w:w="1814"/>
            <w:vAlign w:val="center"/>
          </w:tcPr>
          <w:p>
            <w:pPr>
              <w:spacing w:line="264" w:lineRule="auto" w:after="0"/>
              <w:jc w:val="left"/>
            </w:pPr>
            <w:r/>
            <w:r>
              <w:rPr>
                <w:rFonts w:ascii="宋体" w:hAnsi="宋体" w:eastAsia="宋体"/>
                <w:b w:val="0"/>
                <w:color w:val="000000"/>
                <w:sz w:val="20"/>
              </w:rPr>
              <w:t>算法研发</w:t>
            </w:r>
          </w:p>
        </w:tc>
        <w:tc>
          <w:tcPr>
            <w:tcW w:type="dxa" w:w="1361"/>
            <w:vAlign w:val="center"/>
          </w:tcPr>
          <w:p>
            <w:pPr>
              <w:spacing w:line="264" w:lineRule="auto" w:after="0"/>
              <w:jc w:val="left"/>
            </w:pPr>
            <w:r/>
            <w:r>
              <w:rPr>
                <w:rFonts w:ascii="宋体" w:hAnsi="宋体" w:eastAsia="宋体"/>
                <w:b w:val="0"/>
                <w:color w:val="000000"/>
                <w:sz w:val="20"/>
              </w:rPr>
              <w:t>25 万元</w:t>
            </w:r>
          </w:p>
        </w:tc>
        <w:tc>
          <w:tcPr>
            <w:tcW w:type="dxa" w:w="1361"/>
            <w:vAlign w:val="center"/>
          </w:tcPr>
          <w:p>
            <w:pPr>
              <w:spacing w:line="264" w:lineRule="auto" w:after="0"/>
              <w:jc w:val="left"/>
            </w:pPr>
            <w:r/>
            <w:r>
              <w:rPr>
                <w:rFonts w:ascii="宋体" w:hAnsi="宋体" w:eastAsia="宋体"/>
                <w:b w:val="0"/>
                <w:color w:val="000000"/>
                <w:sz w:val="20"/>
              </w:rPr>
              <w:t>31.25%</w:t>
            </w:r>
          </w:p>
        </w:tc>
        <w:tc>
          <w:tcPr>
            <w:tcW w:type="dxa" w:w="3969"/>
            <w:vAlign w:val="center"/>
          </w:tcPr>
          <w:p>
            <w:pPr>
              <w:spacing w:line="264" w:lineRule="auto" w:after="0"/>
              <w:jc w:val="left"/>
            </w:pPr>
            <w:r/>
            <w:r>
              <w:rPr>
                <w:rFonts w:ascii="宋体" w:hAnsi="宋体" w:eastAsia="宋体"/>
                <w:b w:val="0"/>
                <w:color w:val="000000"/>
                <w:sz w:val="20"/>
              </w:rPr>
              <w:t>ALNS、动态回退、候选中继点引擎</w:t>
            </w:r>
          </w:p>
        </w:tc>
      </w:tr>
      <w:tr>
        <w:tc>
          <w:tcPr>
            <w:tcW w:type="dxa" w:w="1814"/>
            <w:vAlign w:val="center"/>
          </w:tcPr>
          <w:p>
            <w:pPr>
              <w:spacing w:line="264" w:lineRule="auto" w:after="0"/>
              <w:jc w:val="left"/>
            </w:pPr>
            <w:r/>
            <w:r>
              <w:rPr>
                <w:rFonts w:ascii="宋体" w:hAnsi="宋体" w:eastAsia="宋体"/>
                <w:b w:val="0"/>
                <w:color w:val="000000"/>
                <w:sz w:val="20"/>
              </w:rPr>
              <w:t>数据与测试</w:t>
            </w:r>
          </w:p>
        </w:tc>
        <w:tc>
          <w:tcPr>
            <w:tcW w:type="dxa" w:w="1361"/>
            <w:vAlign w:val="center"/>
          </w:tcPr>
          <w:p>
            <w:pPr>
              <w:spacing w:line="264" w:lineRule="auto" w:after="0"/>
              <w:jc w:val="left"/>
            </w:pPr>
            <w:r/>
            <w:r>
              <w:rPr>
                <w:rFonts w:ascii="宋体" w:hAnsi="宋体" w:eastAsia="宋体"/>
                <w:b w:val="0"/>
                <w:color w:val="000000"/>
                <w:sz w:val="20"/>
              </w:rPr>
              <w:t>15 万元</w:t>
            </w:r>
          </w:p>
        </w:tc>
        <w:tc>
          <w:tcPr>
            <w:tcW w:type="dxa" w:w="1361"/>
            <w:vAlign w:val="center"/>
          </w:tcPr>
          <w:p>
            <w:pPr>
              <w:spacing w:line="264" w:lineRule="auto" w:after="0"/>
              <w:jc w:val="left"/>
            </w:pPr>
            <w:r/>
            <w:r>
              <w:rPr>
                <w:rFonts w:ascii="宋体" w:hAnsi="宋体" w:eastAsia="宋体"/>
                <w:b w:val="0"/>
                <w:color w:val="000000"/>
                <w:sz w:val="20"/>
              </w:rPr>
              <w:t>18.75%</w:t>
            </w:r>
          </w:p>
        </w:tc>
        <w:tc>
          <w:tcPr>
            <w:tcW w:type="dxa" w:w="3969"/>
            <w:vAlign w:val="center"/>
          </w:tcPr>
          <w:p>
            <w:pPr>
              <w:spacing w:line="264" w:lineRule="auto" w:after="0"/>
              <w:jc w:val="left"/>
            </w:pPr>
            <w:r/>
            <w:r>
              <w:rPr>
                <w:rFonts w:ascii="宋体" w:hAnsi="宋体" w:eastAsia="宋体"/>
                <w:b w:val="0"/>
                <w:color w:val="000000"/>
                <w:sz w:val="20"/>
              </w:rPr>
              <w:t>地图、订单、仿真场景和测试</w:t>
            </w:r>
          </w:p>
        </w:tc>
      </w:tr>
      <w:tr>
        <w:tc>
          <w:tcPr>
            <w:tcW w:type="dxa" w:w="1814"/>
            <w:vAlign w:val="center"/>
          </w:tcPr>
          <w:p>
            <w:pPr>
              <w:spacing w:line="264" w:lineRule="auto" w:after="0"/>
              <w:jc w:val="left"/>
            </w:pPr>
            <w:r/>
            <w:r>
              <w:rPr>
                <w:rFonts w:ascii="宋体" w:hAnsi="宋体" w:eastAsia="宋体"/>
                <w:b w:val="0"/>
                <w:color w:val="000000"/>
                <w:sz w:val="20"/>
              </w:rPr>
              <w:t>服务器与工具</w:t>
            </w:r>
          </w:p>
        </w:tc>
        <w:tc>
          <w:tcPr>
            <w:tcW w:type="dxa" w:w="1361"/>
            <w:vAlign w:val="center"/>
          </w:tcPr>
          <w:p>
            <w:pPr>
              <w:spacing w:line="264" w:lineRule="auto" w:after="0"/>
              <w:jc w:val="left"/>
            </w:pPr>
            <w:r/>
            <w:r>
              <w:rPr>
                <w:rFonts w:ascii="宋体" w:hAnsi="宋体" w:eastAsia="宋体"/>
                <w:b w:val="0"/>
                <w:color w:val="000000"/>
                <w:sz w:val="20"/>
              </w:rPr>
              <w:t>10 万元</w:t>
            </w:r>
          </w:p>
        </w:tc>
        <w:tc>
          <w:tcPr>
            <w:tcW w:type="dxa" w:w="1361"/>
            <w:vAlign w:val="center"/>
          </w:tcPr>
          <w:p>
            <w:pPr>
              <w:spacing w:line="264" w:lineRule="auto" w:after="0"/>
              <w:jc w:val="left"/>
            </w:pPr>
            <w:r/>
            <w:r>
              <w:rPr>
                <w:rFonts w:ascii="宋体" w:hAnsi="宋体" w:eastAsia="宋体"/>
                <w:b w:val="0"/>
                <w:color w:val="000000"/>
                <w:sz w:val="20"/>
              </w:rPr>
              <w:t>12.50%</w:t>
            </w:r>
          </w:p>
        </w:tc>
        <w:tc>
          <w:tcPr>
            <w:tcW w:type="dxa" w:w="3969"/>
            <w:vAlign w:val="center"/>
          </w:tcPr>
          <w:p>
            <w:pPr>
              <w:spacing w:line="264" w:lineRule="auto" w:after="0"/>
              <w:jc w:val="left"/>
            </w:pPr>
            <w:r/>
            <w:r>
              <w:rPr>
                <w:rFonts w:ascii="宋体" w:hAnsi="宋体" w:eastAsia="宋体"/>
                <w:b w:val="0"/>
                <w:color w:val="000000"/>
                <w:sz w:val="20"/>
              </w:rPr>
              <w:t>云资源、可视化部署、开发工具</w:t>
            </w:r>
          </w:p>
        </w:tc>
      </w:tr>
      <w:tr>
        <w:tc>
          <w:tcPr>
            <w:tcW w:type="dxa" w:w="1814"/>
            <w:vAlign w:val="center"/>
          </w:tcPr>
          <w:p>
            <w:pPr>
              <w:spacing w:line="264" w:lineRule="auto" w:after="0"/>
              <w:jc w:val="left"/>
            </w:pPr>
            <w:r/>
            <w:r>
              <w:rPr>
                <w:rFonts w:ascii="宋体" w:hAnsi="宋体" w:eastAsia="宋体"/>
                <w:b w:val="0"/>
                <w:color w:val="000000"/>
                <w:sz w:val="20"/>
              </w:rPr>
              <w:t>试点推广</w:t>
            </w:r>
          </w:p>
        </w:tc>
        <w:tc>
          <w:tcPr>
            <w:tcW w:type="dxa" w:w="1361"/>
            <w:vAlign w:val="center"/>
          </w:tcPr>
          <w:p>
            <w:pPr>
              <w:spacing w:line="264" w:lineRule="auto" w:after="0"/>
              <w:jc w:val="left"/>
            </w:pPr>
            <w:r/>
            <w:r>
              <w:rPr>
                <w:rFonts w:ascii="宋体" w:hAnsi="宋体" w:eastAsia="宋体"/>
                <w:b w:val="0"/>
                <w:color w:val="000000"/>
                <w:sz w:val="20"/>
              </w:rPr>
              <w:t>20 万元</w:t>
            </w:r>
          </w:p>
        </w:tc>
        <w:tc>
          <w:tcPr>
            <w:tcW w:type="dxa" w:w="1361"/>
            <w:vAlign w:val="center"/>
          </w:tcPr>
          <w:p>
            <w:pPr>
              <w:spacing w:line="264" w:lineRule="auto" w:after="0"/>
              <w:jc w:val="left"/>
            </w:pPr>
            <w:r/>
            <w:r>
              <w:rPr>
                <w:rFonts w:ascii="宋体" w:hAnsi="宋体" w:eastAsia="宋体"/>
                <w:b w:val="0"/>
                <w:color w:val="000000"/>
                <w:sz w:val="20"/>
              </w:rPr>
              <w:t>25.00%</w:t>
            </w:r>
          </w:p>
        </w:tc>
        <w:tc>
          <w:tcPr>
            <w:tcW w:type="dxa" w:w="3969"/>
            <w:vAlign w:val="center"/>
          </w:tcPr>
          <w:p>
            <w:pPr>
              <w:spacing w:line="264" w:lineRule="auto" w:after="0"/>
              <w:jc w:val="left"/>
            </w:pPr>
            <w:r/>
            <w:r>
              <w:rPr>
                <w:rFonts w:ascii="宋体" w:hAnsi="宋体" w:eastAsia="宋体"/>
                <w:b w:val="0"/>
                <w:color w:val="000000"/>
                <w:sz w:val="20"/>
              </w:rPr>
              <w:t>校园/园区样板、路演、客户调研</w:t>
            </w:r>
          </w:p>
        </w:tc>
      </w:tr>
      <w:tr>
        <w:tc>
          <w:tcPr>
            <w:tcW w:type="dxa" w:w="1814"/>
            <w:vAlign w:val="center"/>
          </w:tcPr>
          <w:p>
            <w:pPr>
              <w:spacing w:line="264" w:lineRule="auto" w:after="0"/>
              <w:jc w:val="left"/>
            </w:pPr>
            <w:r/>
            <w:r>
              <w:rPr>
                <w:rFonts w:ascii="宋体" w:hAnsi="宋体" w:eastAsia="宋体"/>
                <w:b w:val="0"/>
                <w:color w:val="000000"/>
                <w:sz w:val="20"/>
              </w:rPr>
              <w:t>知识产权与竞赛</w:t>
            </w:r>
          </w:p>
        </w:tc>
        <w:tc>
          <w:tcPr>
            <w:tcW w:type="dxa" w:w="1361"/>
            <w:vAlign w:val="center"/>
          </w:tcPr>
          <w:p>
            <w:pPr>
              <w:spacing w:line="264" w:lineRule="auto" w:after="0"/>
              <w:jc w:val="left"/>
            </w:pPr>
            <w:r/>
            <w:r>
              <w:rPr>
                <w:rFonts w:ascii="宋体" w:hAnsi="宋体" w:eastAsia="宋体"/>
                <w:b w:val="0"/>
                <w:color w:val="000000"/>
                <w:sz w:val="20"/>
              </w:rPr>
              <w:t>10 万元</w:t>
            </w:r>
          </w:p>
        </w:tc>
        <w:tc>
          <w:tcPr>
            <w:tcW w:type="dxa" w:w="1361"/>
            <w:vAlign w:val="center"/>
          </w:tcPr>
          <w:p>
            <w:pPr>
              <w:spacing w:line="264" w:lineRule="auto" w:after="0"/>
              <w:jc w:val="left"/>
            </w:pPr>
            <w:r/>
            <w:r>
              <w:rPr>
                <w:rFonts w:ascii="宋体" w:hAnsi="宋体" w:eastAsia="宋体"/>
                <w:b w:val="0"/>
                <w:color w:val="000000"/>
                <w:sz w:val="20"/>
              </w:rPr>
              <w:t>12.50%</w:t>
            </w:r>
          </w:p>
        </w:tc>
        <w:tc>
          <w:tcPr>
            <w:tcW w:type="dxa" w:w="3969"/>
            <w:vAlign w:val="center"/>
          </w:tcPr>
          <w:p>
            <w:pPr>
              <w:spacing w:line="264" w:lineRule="auto" w:after="0"/>
              <w:jc w:val="left"/>
            </w:pPr>
            <w:r/>
            <w:r>
              <w:rPr>
                <w:rFonts w:ascii="宋体" w:hAnsi="宋体" w:eastAsia="宋体"/>
                <w:b w:val="0"/>
                <w:color w:val="000000"/>
                <w:sz w:val="20"/>
              </w:rPr>
              <w:t>软著、专利材料、PPT、视频</w:t>
            </w:r>
          </w:p>
        </w:tc>
      </w:tr>
    </w:tbl>
    <w:p>
      <w:pPr>
        <w:spacing w:line="300" w:lineRule="auto" w:after="40" w:before="0"/>
        <w:jc w:val="left"/>
      </w:pPr>
      <w:r>
        <w:rPr>
          <w:rFonts w:ascii="宋体" w:hAnsi="宋体" w:eastAsia="宋体"/>
          <w:b w:val="0"/>
          <w:color w:val="000000"/>
          <w:sz w:val="24"/>
        </w:rPr>
      </w:r>
    </w:p>
    <w:p>
      <w:pPr>
        <w:spacing w:line="300" w:lineRule="auto" w:after="0" w:before="0"/>
        <w:ind w:firstLine="480"/>
        <w:jc w:val="left"/>
      </w:pPr>
      <w:r>
        <w:rPr>
          <w:rFonts w:ascii="宋体" w:hAnsi="宋体" w:eastAsia="宋体"/>
          <w:b w:val="0"/>
          <w:color w:val="000000"/>
          <w:sz w:val="24"/>
        </w:rPr>
        <w:t>资金来源以学校创新创业项目、竞赛奖金、政府补贴、校企合作和团队自筹为主。项目目前暂无实际融资行为，如后续进行天使轮融资，将以真实试点数据、客户合作意向和软件产品成熟度作为依据。</w:t>
      </w:r>
    </w:p>
    <w:p>
      <w:r>
        <w:br w:type="page"/>
      </w:r>
    </w:p>
    <w:p>
      <w:pPr>
        <w:pStyle w:val="Heading1"/>
        <w:jc w:val="center"/>
      </w:pPr>
      <w:r>
        <w:rPr>
          <w:rFonts w:ascii="黑体" w:hAnsi="黑体" w:eastAsia="黑体"/>
          <w:b w:val="0"/>
          <w:color w:val="000000"/>
          <w:sz w:val="32"/>
        </w:rPr>
        <w:t>第 7 章 风险控制</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417"/>
            <w:vAlign w:val="center"/>
          </w:tcPr>
          <w:p>
            <w:pPr>
              <w:spacing w:line="264" w:lineRule="auto" w:after="0"/>
              <w:jc w:val="center"/>
            </w:pPr>
            <w:r/>
            <w:r>
              <w:rPr>
                <w:rFonts w:ascii="宋体" w:hAnsi="宋体" w:eastAsia="宋体"/>
                <w:b/>
                <w:color w:val="000000"/>
                <w:sz w:val="21"/>
              </w:rPr>
              <w:t>风险</w:t>
            </w:r>
          </w:p>
        </w:tc>
        <w:tc>
          <w:tcPr>
            <w:tcW w:type="dxa" w:w="2948"/>
            <w:vAlign w:val="center"/>
          </w:tcPr>
          <w:p>
            <w:pPr>
              <w:spacing w:line="264" w:lineRule="auto" w:after="0"/>
              <w:jc w:val="center"/>
            </w:pPr>
            <w:r/>
            <w:r>
              <w:rPr>
                <w:rFonts w:ascii="宋体" w:hAnsi="宋体" w:eastAsia="宋体"/>
                <w:b/>
                <w:color w:val="000000"/>
                <w:sz w:val="21"/>
              </w:rPr>
              <w:t>表现</w:t>
            </w:r>
          </w:p>
        </w:tc>
        <w:tc>
          <w:tcPr>
            <w:tcW w:type="dxa" w:w="3969"/>
            <w:vAlign w:val="center"/>
          </w:tcPr>
          <w:p>
            <w:pPr>
              <w:spacing w:line="264" w:lineRule="auto" w:after="0"/>
              <w:jc w:val="center"/>
            </w:pPr>
            <w:r/>
            <w:r>
              <w:rPr>
                <w:rFonts w:ascii="宋体" w:hAnsi="宋体" w:eastAsia="宋体"/>
                <w:b/>
                <w:color w:val="000000"/>
                <w:sz w:val="21"/>
              </w:rPr>
              <w:t>应对措施</w:t>
            </w:r>
          </w:p>
        </w:tc>
      </w:tr>
      <w:tr>
        <w:tc>
          <w:tcPr>
            <w:tcW w:type="dxa" w:w="1417"/>
            <w:vAlign w:val="center"/>
          </w:tcPr>
          <w:p>
            <w:pPr>
              <w:spacing w:line="264" w:lineRule="auto" w:after="0"/>
              <w:jc w:val="left"/>
            </w:pPr>
            <w:r/>
            <w:r>
              <w:rPr>
                <w:rFonts w:ascii="宋体" w:hAnsi="宋体" w:eastAsia="宋体"/>
                <w:b w:val="0"/>
                <w:color w:val="000000"/>
                <w:sz w:val="20"/>
              </w:rPr>
              <w:t>技术风险</w:t>
            </w:r>
          </w:p>
        </w:tc>
        <w:tc>
          <w:tcPr>
            <w:tcW w:type="dxa" w:w="2948"/>
            <w:vAlign w:val="center"/>
          </w:tcPr>
          <w:p>
            <w:pPr>
              <w:spacing w:line="264" w:lineRule="auto" w:after="0"/>
              <w:jc w:val="left"/>
            </w:pPr>
            <w:r/>
            <w:r>
              <w:rPr>
                <w:rFonts w:ascii="宋体" w:hAnsi="宋体" w:eastAsia="宋体"/>
                <w:b w:val="0"/>
                <w:color w:val="000000"/>
                <w:sz w:val="20"/>
              </w:rPr>
              <w:t>ALNS 在大规模场景下计算时间增加</w:t>
            </w:r>
          </w:p>
        </w:tc>
        <w:tc>
          <w:tcPr>
            <w:tcW w:type="dxa" w:w="3969"/>
            <w:vAlign w:val="center"/>
          </w:tcPr>
          <w:p>
            <w:pPr>
              <w:spacing w:line="264" w:lineRule="auto" w:after="0"/>
              <w:jc w:val="left"/>
            </w:pPr>
            <w:r/>
            <w:r>
              <w:rPr>
                <w:rFonts w:ascii="宋体" w:hAnsi="宋体" w:eastAsia="宋体"/>
                <w:b w:val="0"/>
                <w:color w:val="000000"/>
                <w:sz w:val="20"/>
              </w:rPr>
              <w:t>采用启发式初始解、分区优化和局部重优化</w:t>
            </w:r>
          </w:p>
        </w:tc>
      </w:tr>
      <w:tr>
        <w:tc>
          <w:tcPr>
            <w:tcW w:type="dxa" w:w="1417"/>
            <w:vAlign w:val="center"/>
          </w:tcPr>
          <w:p>
            <w:pPr>
              <w:spacing w:line="264" w:lineRule="auto" w:after="0"/>
              <w:jc w:val="left"/>
            </w:pPr>
            <w:r/>
            <w:r>
              <w:rPr>
                <w:rFonts w:ascii="宋体" w:hAnsi="宋体" w:eastAsia="宋体"/>
                <w:b w:val="0"/>
                <w:color w:val="000000"/>
                <w:sz w:val="20"/>
              </w:rPr>
              <w:t>政策风险</w:t>
            </w:r>
          </w:p>
        </w:tc>
        <w:tc>
          <w:tcPr>
            <w:tcW w:type="dxa" w:w="2948"/>
            <w:vAlign w:val="center"/>
          </w:tcPr>
          <w:p>
            <w:pPr>
              <w:spacing w:line="264" w:lineRule="auto" w:after="0"/>
              <w:jc w:val="left"/>
            </w:pPr>
            <w:r/>
            <w:r>
              <w:rPr>
                <w:rFonts w:ascii="宋体" w:hAnsi="宋体" w:eastAsia="宋体"/>
                <w:b w:val="0"/>
                <w:color w:val="000000"/>
                <w:sz w:val="20"/>
              </w:rPr>
              <w:t>低空飞行审批和监管变化</w:t>
            </w:r>
          </w:p>
        </w:tc>
        <w:tc>
          <w:tcPr>
            <w:tcW w:type="dxa" w:w="3969"/>
            <w:vAlign w:val="center"/>
          </w:tcPr>
          <w:p>
            <w:pPr>
              <w:spacing w:line="264" w:lineRule="auto" w:after="0"/>
              <w:jc w:val="left"/>
            </w:pPr>
            <w:r/>
            <w:r>
              <w:rPr>
                <w:rFonts w:ascii="宋体" w:hAnsi="宋体" w:eastAsia="宋体"/>
                <w:b w:val="0"/>
                <w:color w:val="000000"/>
                <w:sz w:val="20"/>
              </w:rPr>
              <w:t>先做仿真和半封闭试点，真实飞行与持证企业合作</w:t>
            </w:r>
          </w:p>
        </w:tc>
      </w:tr>
      <w:tr>
        <w:tc>
          <w:tcPr>
            <w:tcW w:type="dxa" w:w="1417"/>
            <w:vAlign w:val="center"/>
          </w:tcPr>
          <w:p>
            <w:pPr>
              <w:spacing w:line="264" w:lineRule="auto" w:after="0"/>
              <w:jc w:val="left"/>
            </w:pPr>
            <w:r/>
            <w:r>
              <w:rPr>
                <w:rFonts w:ascii="宋体" w:hAnsi="宋体" w:eastAsia="宋体"/>
                <w:b w:val="0"/>
                <w:color w:val="000000"/>
                <w:sz w:val="20"/>
              </w:rPr>
              <w:t>市场风险</w:t>
            </w:r>
          </w:p>
        </w:tc>
        <w:tc>
          <w:tcPr>
            <w:tcW w:type="dxa" w:w="2948"/>
            <w:vAlign w:val="center"/>
          </w:tcPr>
          <w:p>
            <w:pPr>
              <w:spacing w:line="264" w:lineRule="auto" w:after="0"/>
              <w:jc w:val="left"/>
            </w:pPr>
            <w:r/>
            <w:r>
              <w:rPr>
                <w:rFonts w:ascii="宋体" w:hAnsi="宋体" w:eastAsia="宋体"/>
                <w:b w:val="0"/>
                <w:color w:val="000000"/>
                <w:sz w:val="20"/>
              </w:rPr>
              <w:t>客户对低空配送 ROI 存疑</w:t>
            </w:r>
          </w:p>
        </w:tc>
        <w:tc>
          <w:tcPr>
            <w:tcW w:type="dxa" w:w="3969"/>
            <w:vAlign w:val="center"/>
          </w:tcPr>
          <w:p>
            <w:pPr>
              <w:spacing w:line="264" w:lineRule="auto" w:after="0"/>
              <w:jc w:val="left"/>
            </w:pPr>
            <w:r/>
            <w:r>
              <w:rPr>
                <w:rFonts w:ascii="宋体" w:hAnsi="宋体" w:eastAsia="宋体"/>
                <w:b w:val="0"/>
                <w:color w:val="000000"/>
                <w:sz w:val="20"/>
              </w:rPr>
              <w:t>用仿真报告和单票成本测算降低决策门槛</w:t>
            </w:r>
          </w:p>
        </w:tc>
      </w:tr>
      <w:tr>
        <w:tc>
          <w:tcPr>
            <w:tcW w:type="dxa" w:w="1417"/>
            <w:vAlign w:val="center"/>
          </w:tcPr>
          <w:p>
            <w:pPr>
              <w:spacing w:line="264" w:lineRule="auto" w:after="0"/>
              <w:jc w:val="left"/>
            </w:pPr>
            <w:r/>
            <w:r>
              <w:rPr>
                <w:rFonts w:ascii="宋体" w:hAnsi="宋体" w:eastAsia="宋体"/>
                <w:b w:val="0"/>
                <w:color w:val="000000"/>
                <w:sz w:val="20"/>
              </w:rPr>
              <w:t>团队风险</w:t>
            </w:r>
          </w:p>
        </w:tc>
        <w:tc>
          <w:tcPr>
            <w:tcW w:type="dxa" w:w="2948"/>
            <w:vAlign w:val="center"/>
          </w:tcPr>
          <w:p>
            <w:pPr>
              <w:spacing w:line="264" w:lineRule="auto" w:after="0"/>
              <w:jc w:val="left"/>
            </w:pPr>
            <w:r/>
            <w:r>
              <w:rPr>
                <w:rFonts w:ascii="宋体" w:hAnsi="宋体" w:eastAsia="宋体"/>
                <w:b w:val="0"/>
                <w:color w:val="000000"/>
                <w:sz w:val="20"/>
              </w:rPr>
              <w:t>本科团队经验不足</w:t>
            </w:r>
          </w:p>
        </w:tc>
        <w:tc>
          <w:tcPr>
            <w:tcW w:type="dxa" w:w="3969"/>
            <w:vAlign w:val="center"/>
          </w:tcPr>
          <w:p>
            <w:pPr>
              <w:spacing w:line="264" w:lineRule="auto" w:after="0"/>
              <w:jc w:val="left"/>
            </w:pPr>
            <w:r/>
            <w:r>
              <w:rPr>
                <w:rFonts w:ascii="宋体" w:hAnsi="宋体" w:eastAsia="宋体"/>
                <w:b w:val="0"/>
                <w:color w:val="000000"/>
                <w:sz w:val="20"/>
              </w:rPr>
              <w:t>导师指导、周迭代管理、引入企业顾问</w:t>
            </w:r>
          </w:p>
        </w:tc>
      </w:tr>
      <w:tr>
        <w:tc>
          <w:tcPr>
            <w:tcW w:type="dxa" w:w="1417"/>
            <w:vAlign w:val="center"/>
          </w:tcPr>
          <w:p>
            <w:pPr>
              <w:spacing w:line="264" w:lineRule="auto" w:after="0"/>
              <w:jc w:val="left"/>
            </w:pPr>
            <w:r/>
            <w:r>
              <w:rPr>
                <w:rFonts w:ascii="宋体" w:hAnsi="宋体" w:eastAsia="宋体"/>
                <w:b w:val="0"/>
                <w:color w:val="000000"/>
                <w:sz w:val="20"/>
              </w:rPr>
              <w:t>数据风险</w:t>
            </w:r>
          </w:p>
        </w:tc>
        <w:tc>
          <w:tcPr>
            <w:tcW w:type="dxa" w:w="2948"/>
            <w:vAlign w:val="center"/>
          </w:tcPr>
          <w:p>
            <w:pPr>
              <w:spacing w:line="264" w:lineRule="auto" w:after="0"/>
              <w:jc w:val="left"/>
            </w:pPr>
            <w:r/>
            <w:r>
              <w:rPr>
                <w:rFonts w:ascii="宋体" w:hAnsi="宋体" w:eastAsia="宋体"/>
                <w:b w:val="0"/>
                <w:color w:val="000000"/>
                <w:sz w:val="20"/>
              </w:rPr>
              <w:t>真实订单和地图数据不足</w:t>
            </w:r>
          </w:p>
        </w:tc>
        <w:tc>
          <w:tcPr>
            <w:tcW w:type="dxa" w:w="3969"/>
            <w:vAlign w:val="center"/>
          </w:tcPr>
          <w:p>
            <w:pPr>
              <w:spacing w:line="264" w:lineRule="auto" w:after="0"/>
              <w:jc w:val="left"/>
            </w:pPr>
            <w:r/>
            <w:r>
              <w:rPr>
                <w:rFonts w:ascii="宋体" w:hAnsi="宋体" w:eastAsia="宋体"/>
                <w:b w:val="0"/>
                <w:color w:val="000000"/>
                <w:sz w:val="20"/>
              </w:rPr>
              <w:t>先用校内场景采集，再逐步接入园区数据</w:t>
            </w:r>
          </w:p>
        </w:tc>
      </w:tr>
      <w:tr>
        <w:tc>
          <w:tcPr>
            <w:tcW w:type="dxa" w:w="1417"/>
            <w:vAlign w:val="center"/>
          </w:tcPr>
          <w:p>
            <w:pPr>
              <w:spacing w:line="264" w:lineRule="auto" w:after="0"/>
              <w:jc w:val="left"/>
            </w:pPr>
            <w:r/>
            <w:r>
              <w:rPr>
                <w:rFonts w:ascii="宋体" w:hAnsi="宋体" w:eastAsia="宋体"/>
                <w:b w:val="0"/>
                <w:color w:val="000000"/>
                <w:sz w:val="20"/>
              </w:rPr>
              <w:t>资金风险</w:t>
            </w:r>
          </w:p>
        </w:tc>
        <w:tc>
          <w:tcPr>
            <w:tcW w:type="dxa" w:w="2948"/>
            <w:vAlign w:val="center"/>
          </w:tcPr>
          <w:p>
            <w:pPr>
              <w:spacing w:line="264" w:lineRule="auto" w:after="0"/>
              <w:jc w:val="left"/>
            </w:pPr>
            <w:r/>
            <w:r>
              <w:rPr>
                <w:rFonts w:ascii="宋体" w:hAnsi="宋体" w:eastAsia="宋体"/>
                <w:b w:val="0"/>
                <w:color w:val="000000"/>
                <w:sz w:val="20"/>
              </w:rPr>
              <w:t>早期收入不稳定</w:t>
            </w:r>
          </w:p>
        </w:tc>
        <w:tc>
          <w:tcPr>
            <w:tcW w:type="dxa" w:w="3969"/>
            <w:vAlign w:val="center"/>
          </w:tcPr>
          <w:p>
            <w:pPr>
              <w:spacing w:line="264" w:lineRule="auto" w:after="0"/>
              <w:jc w:val="left"/>
            </w:pPr>
            <w:r/>
            <w:r>
              <w:rPr>
                <w:rFonts w:ascii="宋体" w:hAnsi="宋体" w:eastAsia="宋体"/>
                <w:b w:val="0"/>
                <w:color w:val="000000"/>
                <w:sz w:val="20"/>
              </w:rPr>
              <w:t>轻资产启动，先卖评估和软件授权，再做硬件集成</w:t>
            </w:r>
          </w:p>
        </w:tc>
      </w:tr>
    </w:tbl>
    <w:p>
      <w:pPr>
        <w:spacing w:line="300" w:lineRule="auto" w:after="40" w:before="0"/>
        <w:jc w:val="left"/>
      </w:pPr>
      <w:r>
        <w:rPr>
          <w:rFonts w:ascii="宋体" w:hAnsi="宋体" w:eastAsia="宋体"/>
          <w:b w:val="0"/>
          <w:color w:val="000000"/>
          <w:sz w:val="24"/>
        </w:rPr>
      </w:r>
    </w:p>
    <w:p>
      <w:pPr>
        <w:spacing w:line="300" w:lineRule="auto" w:after="0" w:before="0"/>
        <w:ind w:firstLine="480"/>
        <w:jc w:val="left"/>
      </w:pPr>
      <w:r>
        <w:rPr>
          <w:rFonts w:ascii="宋体" w:hAnsi="宋体" w:eastAsia="宋体"/>
          <w:b w:val="0"/>
          <w:color w:val="000000"/>
          <w:sz w:val="24"/>
        </w:rPr>
        <w:t>总体来看，本项目风险可控。它不是重资产硬件创业，而是先以软件和仿真评估切入；不是直接做开放城市飞行，而是先从校园、园区、景区等可控场景试点；不是空喊低空经济，而是用单票成本、能耗和碳排数据证明价值。</w:t>
      </w:r>
    </w:p>
    <w:p>
      <w:pPr>
        <w:pStyle w:val="Heading1"/>
        <w:jc w:val="center"/>
      </w:pPr>
      <w:r>
        <w:rPr>
          <w:rFonts w:ascii="黑体" w:hAnsi="黑体" w:eastAsia="黑体"/>
          <w:b w:val="0"/>
          <w:color w:val="000000"/>
          <w:sz w:val="32"/>
        </w:rPr>
        <w:t>第 8 章 项目团队</w:t>
      </w:r>
    </w:p>
    <w:p>
      <w:pPr>
        <w:pStyle w:val="Heading2"/>
        <w:jc w:val="left"/>
      </w:pPr>
      <w:r>
        <w:rPr>
          <w:rFonts w:ascii="黑体" w:hAnsi="黑体" w:eastAsia="黑体"/>
          <w:b w:val="0"/>
          <w:color w:val="000000"/>
          <w:sz w:val="28"/>
        </w:rPr>
        <w:t>8.1 团队简介</w:t>
      </w:r>
    </w:p>
    <w:p>
      <w:pPr>
        <w:spacing w:line="300" w:lineRule="auto" w:after="0" w:before="0"/>
        <w:ind w:firstLine="480"/>
        <w:jc w:val="left"/>
      </w:pPr>
      <w:r>
        <w:rPr>
          <w:rFonts w:ascii="宋体" w:hAnsi="宋体" w:eastAsia="宋体"/>
          <w:b w:val="0"/>
          <w:color w:val="000000"/>
          <w:sz w:val="24"/>
        </w:rPr>
        <w:t>本团队来自湖南科技大学计算机科学与工程学院，由 1 名大二学生和 5 名大一学生组成。团队年级低，但这不是短板，而是优势：学习快、执行快、迭代快，有足够长的成长周期把项目从比赛作品打磨成真实产品。</w:t>
      </w:r>
    </w:p>
    <w:p>
      <w:pPr>
        <w:spacing w:line="300" w:lineRule="auto" w:after="0" w:before="0"/>
        <w:ind w:firstLine="480"/>
        <w:jc w:val="left"/>
      </w:pPr>
      <w:r>
        <w:rPr>
          <w:rFonts w:ascii="宋体" w:hAnsi="宋体" w:eastAsia="宋体"/>
          <w:b w:val="0"/>
          <w:color w:val="000000"/>
          <w:sz w:val="24"/>
        </w:rPr>
        <w:t>在舒红梅老师指导下，团队已完成从代码原型、策略对比、实验结果到商业计划书的多轮迭代，体现出强执行力和跨任务协作能力。项目不是临时拼凑的概念，而是已经有仿真系统、有数据、有下一步算法规划的持续型项目。</w:t>
      </w:r>
    </w:p>
    <w:p>
      <w:pPr>
        <w:pStyle w:val="Heading2"/>
        <w:jc w:val="left"/>
      </w:pPr>
      <w:r>
        <w:rPr>
          <w:rFonts w:ascii="黑体" w:hAnsi="黑体" w:eastAsia="黑体"/>
          <w:b w:val="0"/>
          <w:color w:val="000000"/>
          <w:sz w:val="28"/>
        </w:rPr>
        <w:t>8.2 团队人设标签</w:t>
      </w:r>
    </w:p>
    <w:tbl>
      <w:tblPr>
        <w:tblStyle w:val="TableGrid"/>
        <w:tblW w:type="auto" w:w="0"/>
        <w:jc w:val="center"/>
        <w:tblLayout w:type="fixed"/>
        <w:tblLook w:firstColumn="1" w:firstRow="1" w:lastColumn="0" w:lastRow="0" w:noHBand="0" w:noVBand="1" w:val="04A0"/>
      </w:tblPr>
      <w:tblGrid>
        <w:gridCol w:w="3091"/>
        <w:gridCol w:w="3091"/>
        <w:gridCol w:w="3091"/>
      </w:tblGrid>
      <w:tr>
        <w:tc>
          <w:tcPr>
            <w:tcW w:type="dxa" w:w="1701"/>
            <w:vAlign w:val="center"/>
          </w:tcPr>
          <w:p>
            <w:pPr>
              <w:spacing w:line="264" w:lineRule="auto" w:after="0"/>
              <w:jc w:val="center"/>
            </w:pPr>
            <w:r/>
            <w:r>
              <w:rPr>
                <w:rFonts w:ascii="宋体" w:hAnsi="宋体" w:eastAsia="宋体"/>
                <w:b/>
                <w:color w:val="000000"/>
                <w:sz w:val="21"/>
              </w:rPr>
              <w:t>角色</w:t>
            </w:r>
          </w:p>
        </w:tc>
        <w:tc>
          <w:tcPr>
            <w:tcW w:type="dxa" w:w="2381"/>
            <w:vAlign w:val="center"/>
          </w:tcPr>
          <w:p>
            <w:pPr>
              <w:spacing w:line="264" w:lineRule="auto" w:after="0"/>
              <w:jc w:val="center"/>
            </w:pPr>
            <w:r/>
            <w:r>
              <w:rPr>
                <w:rFonts w:ascii="宋体" w:hAnsi="宋体" w:eastAsia="宋体"/>
                <w:b/>
                <w:color w:val="000000"/>
                <w:sz w:val="21"/>
              </w:rPr>
              <w:t>人设标签</w:t>
            </w:r>
          </w:p>
        </w:tc>
        <w:tc>
          <w:tcPr>
            <w:tcW w:type="dxa" w:w="4195"/>
            <w:vAlign w:val="center"/>
          </w:tcPr>
          <w:p>
            <w:pPr>
              <w:spacing w:line="264" w:lineRule="auto" w:after="0"/>
              <w:jc w:val="center"/>
            </w:pPr>
            <w:r/>
            <w:r>
              <w:rPr>
                <w:rFonts w:ascii="宋体" w:hAnsi="宋体" w:eastAsia="宋体"/>
                <w:b/>
                <w:color w:val="000000"/>
                <w:sz w:val="21"/>
              </w:rPr>
              <w:t>核心职责</w:t>
            </w:r>
          </w:p>
        </w:tc>
      </w:tr>
      <w:tr>
        <w:tc>
          <w:tcPr>
            <w:tcW w:type="dxa" w:w="1701"/>
            <w:vAlign w:val="center"/>
          </w:tcPr>
          <w:p>
            <w:pPr>
              <w:spacing w:line="264" w:lineRule="auto" w:after="0"/>
              <w:jc w:val="left"/>
            </w:pPr>
            <w:r/>
            <w:r>
              <w:rPr>
                <w:rFonts w:ascii="宋体" w:hAnsi="宋体" w:eastAsia="宋体"/>
                <w:b w:val="0"/>
                <w:color w:val="000000"/>
                <w:sz w:val="20"/>
              </w:rPr>
              <w:t>王港辉</w:t>
            </w:r>
          </w:p>
        </w:tc>
        <w:tc>
          <w:tcPr>
            <w:tcW w:type="dxa" w:w="2381"/>
            <w:vAlign w:val="center"/>
          </w:tcPr>
          <w:p>
            <w:pPr>
              <w:spacing w:line="264" w:lineRule="auto" w:after="0"/>
              <w:jc w:val="left"/>
            </w:pPr>
            <w:r/>
            <w:r>
              <w:rPr>
                <w:rFonts w:ascii="宋体" w:hAnsi="宋体" w:eastAsia="宋体"/>
                <w:b w:val="0"/>
                <w:color w:val="000000"/>
                <w:sz w:val="20"/>
              </w:rPr>
              <w:t>项目统筹者 / 技术路线负责人</w:t>
            </w:r>
          </w:p>
        </w:tc>
        <w:tc>
          <w:tcPr>
            <w:tcW w:type="dxa" w:w="4195"/>
            <w:vAlign w:val="center"/>
          </w:tcPr>
          <w:p>
            <w:pPr>
              <w:spacing w:line="264" w:lineRule="auto" w:after="0"/>
              <w:jc w:val="left"/>
            </w:pPr>
            <w:r/>
            <w:r>
              <w:rPr>
                <w:rFonts w:ascii="宋体" w:hAnsi="宋体" w:eastAsia="宋体"/>
                <w:b w:val="0"/>
                <w:color w:val="000000"/>
                <w:sz w:val="20"/>
              </w:rPr>
              <w:t>把握项目方向、算法逻辑、答辩表达和资源协调</w:t>
            </w:r>
          </w:p>
        </w:tc>
      </w:tr>
      <w:tr>
        <w:tc>
          <w:tcPr>
            <w:tcW w:type="dxa" w:w="1701"/>
            <w:vAlign w:val="center"/>
          </w:tcPr>
          <w:p>
            <w:pPr>
              <w:spacing w:line="264" w:lineRule="auto" w:after="0"/>
              <w:jc w:val="left"/>
            </w:pPr>
            <w:r/>
            <w:r>
              <w:rPr>
                <w:rFonts w:ascii="宋体" w:hAnsi="宋体" w:eastAsia="宋体"/>
                <w:b w:val="0"/>
                <w:color w:val="000000"/>
                <w:sz w:val="20"/>
              </w:rPr>
              <w:t>算法研发成员</w:t>
            </w:r>
          </w:p>
        </w:tc>
        <w:tc>
          <w:tcPr>
            <w:tcW w:type="dxa" w:w="2381"/>
            <w:vAlign w:val="center"/>
          </w:tcPr>
          <w:p>
            <w:pPr>
              <w:spacing w:line="264" w:lineRule="auto" w:after="0"/>
              <w:jc w:val="left"/>
            </w:pPr>
            <w:r/>
            <w:r>
              <w:rPr>
                <w:rFonts w:ascii="宋体" w:hAnsi="宋体" w:eastAsia="宋体"/>
                <w:b w:val="0"/>
                <w:color w:val="000000"/>
                <w:sz w:val="20"/>
              </w:rPr>
              <w:t>技术大牛预备队</w:t>
            </w:r>
          </w:p>
        </w:tc>
        <w:tc>
          <w:tcPr>
            <w:tcW w:type="dxa" w:w="4195"/>
            <w:vAlign w:val="center"/>
          </w:tcPr>
          <w:p>
            <w:pPr>
              <w:spacing w:line="264" w:lineRule="auto" w:after="0"/>
              <w:jc w:val="left"/>
            </w:pPr>
            <w:r/>
            <w:r>
              <w:rPr>
                <w:rFonts w:ascii="宋体" w:hAnsi="宋体" w:eastAsia="宋体"/>
                <w:b w:val="0"/>
                <w:color w:val="000000"/>
                <w:sz w:val="20"/>
              </w:rPr>
              <w:t>负责 ALNS、候选中继点、路径优化和动态回退</w:t>
            </w:r>
          </w:p>
        </w:tc>
      </w:tr>
      <w:tr>
        <w:tc>
          <w:tcPr>
            <w:tcW w:type="dxa" w:w="1701"/>
            <w:vAlign w:val="center"/>
          </w:tcPr>
          <w:p>
            <w:pPr>
              <w:spacing w:line="264" w:lineRule="auto" w:after="0"/>
              <w:jc w:val="left"/>
            </w:pPr>
            <w:r/>
            <w:r>
              <w:rPr>
                <w:rFonts w:ascii="宋体" w:hAnsi="宋体" w:eastAsia="宋体"/>
                <w:b w:val="0"/>
                <w:color w:val="000000"/>
                <w:sz w:val="20"/>
              </w:rPr>
              <w:t>仿真验证成员</w:t>
            </w:r>
          </w:p>
        </w:tc>
        <w:tc>
          <w:tcPr>
            <w:tcW w:type="dxa" w:w="2381"/>
            <w:vAlign w:val="center"/>
          </w:tcPr>
          <w:p>
            <w:pPr>
              <w:spacing w:line="264" w:lineRule="auto" w:after="0"/>
              <w:jc w:val="left"/>
            </w:pPr>
            <w:r/>
            <w:r>
              <w:rPr>
                <w:rFonts w:ascii="宋体" w:hAnsi="宋体" w:eastAsia="宋体"/>
                <w:b w:val="0"/>
                <w:color w:val="000000"/>
                <w:sz w:val="20"/>
              </w:rPr>
              <w:t>数据猎手</w:t>
            </w:r>
          </w:p>
        </w:tc>
        <w:tc>
          <w:tcPr>
            <w:tcW w:type="dxa" w:w="4195"/>
            <w:vAlign w:val="center"/>
          </w:tcPr>
          <w:p>
            <w:pPr>
              <w:spacing w:line="264" w:lineRule="auto" w:after="0"/>
              <w:jc w:val="left"/>
            </w:pPr>
            <w:r/>
            <w:r>
              <w:rPr>
                <w:rFonts w:ascii="宋体" w:hAnsi="宋体" w:eastAsia="宋体"/>
                <w:b w:val="0"/>
                <w:color w:val="000000"/>
                <w:sz w:val="20"/>
              </w:rPr>
              <w:t>负责场景配置、指标统计、图表输出和复现实验</w:t>
            </w:r>
          </w:p>
        </w:tc>
      </w:tr>
      <w:tr>
        <w:tc>
          <w:tcPr>
            <w:tcW w:type="dxa" w:w="1701"/>
            <w:vAlign w:val="center"/>
          </w:tcPr>
          <w:p>
            <w:pPr>
              <w:spacing w:line="264" w:lineRule="auto" w:after="0"/>
              <w:jc w:val="left"/>
            </w:pPr>
            <w:r/>
            <w:r>
              <w:rPr>
                <w:rFonts w:ascii="宋体" w:hAnsi="宋体" w:eastAsia="宋体"/>
                <w:b w:val="0"/>
                <w:color w:val="000000"/>
                <w:sz w:val="20"/>
              </w:rPr>
              <w:t>商业策划成员</w:t>
            </w:r>
          </w:p>
        </w:tc>
        <w:tc>
          <w:tcPr>
            <w:tcW w:type="dxa" w:w="2381"/>
            <w:vAlign w:val="center"/>
          </w:tcPr>
          <w:p>
            <w:pPr>
              <w:spacing w:line="264" w:lineRule="auto" w:after="0"/>
              <w:jc w:val="left"/>
            </w:pPr>
            <w:r/>
            <w:r>
              <w:rPr>
                <w:rFonts w:ascii="宋体" w:hAnsi="宋体" w:eastAsia="宋体"/>
                <w:b w:val="0"/>
                <w:color w:val="000000"/>
                <w:sz w:val="20"/>
              </w:rPr>
              <w:t>商业敏锐担当</w:t>
            </w:r>
          </w:p>
        </w:tc>
        <w:tc>
          <w:tcPr>
            <w:tcW w:type="dxa" w:w="4195"/>
            <w:vAlign w:val="center"/>
          </w:tcPr>
          <w:p>
            <w:pPr>
              <w:spacing w:line="264" w:lineRule="auto" w:after="0"/>
              <w:jc w:val="left"/>
            </w:pPr>
            <w:r/>
            <w:r>
              <w:rPr>
                <w:rFonts w:ascii="宋体" w:hAnsi="宋体" w:eastAsia="宋体"/>
                <w:b w:val="0"/>
                <w:color w:val="000000"/>
                <w:sz w:val="20"/>
              </w:rPr>
              <w:t>负责客户画像、竞品分析、财务预测和商业模式</w:t>
            </w:r>
          </w:p>
        </w:tc>
      </w:tr>
      <w:tr>
        <w:tc>
          <w:tcPr>
            <w:tcW w:type="dxa" w:w="1701"/>
            <w:vAlign w:val="center"/>
          </w:tcPr>
          <w:p>
            <w:pPr>
              <w:spacing w:line="264" w:lineRule="auto" w:after="0"/>
              <w:jc w:val="left"/>
            </w:pPr>
            <w:r/>
            <w:r>
              <w:rPr>
                <w:rFonts w:ascii="宋体" w:hAnsi="宋体" w:eastAsia="宋体"/>
                <w:b w:val="0"/>
                <w:color w:val="000000"/>
                <w:sz w:val="20"/>
              </w:rPr>
              <w:t>展示材料成员</w:t>
            </w:r>
          </w:p>
        </w:tc>
        <w:tc>
          <w:tcPr>
            <w:tcW w:type="dxa" w:w="2381"/>
            <w:vAlign w:val="center"/>
          </w:tcPr>
          <w:p>
            <w:pPr>
              <w:spacing w:line="264" w:lineRule="auto" w:after="0"/>
              <w:jc w:val="left"/>
            </w:pPr>
            <w:r/>
            <w:r>
              <w:rPr>
                <w:rFonts w:ascii="宋体" w:hAnsi="宋体" w:eastAsia="宋体"/>
                <w:b w:val="0"/>
                <w:color w:val="000000"/>
                <w:sz w:val="20"/>
              </w:rPr>
              <w:t>路演表达官</w:t>
            </w:r>
          </w:p>
        </w:tc>
        <w:tc>
          <w:tcPr>
            <w:tcW w:type="dxa" w:w="4195"/>
            <w:vAlign w:val="center"/>
          </w:tcPr>
          <w:p>
            <w:pPr>
              <w:spacing w:line="264" w:lineRule="auto" w:after="0"/>
              <w:jc w:val="left"/>
            </w:pPr>
            <w:r/>
            <w:r>
              <w:rPr>
                <w:rFonts w:ascii="宋体" w:hAnsi="宋体" w:eastAsia="宋体"/>
                <w:b w:val="0"/>
                <w:color w:val="000000"/>
                <w:sz w:val="20"/>
              </w:rPr>
              <w:t>负责 PPT、视频、计划书排版和答辩故事线</w:t>
            </w:r>
          </w:p>
        </w:tc>
      </w:tr>
    </w:tbl>
    <w:p>
      <w:pPr>
        <w:spacing w:line="300" w:lineRule="auto" w:after="40" w:before="0"/>
        <w:jc w:val="left"/>
      </w:pPr>
      <w:r>
        <w:rPr>
          <w:rFonts w:ascii="宋体" w:hAnsi="宋体" w:eastAsia="宋体"/>
          <w:b w:val="0"/>
          <w:color w:val="000000"/>
          <w:sz w:val="24"/>
        </w:rPr>
      </w:r>
    </w:p>
    <w:p>
      <w:pPr>
        <w:pStyle w:val="Heading2"/>
        <w:jc w:val="left"/>
      </w:pPr>
      <w:r>
        <w:rPr>
          <w:rFonts w:ascii="黑体" w:hAnsi="黑体" w:eastAsia="黑体"/>
          <w:b w:val="0"/>
          <w:color w:val="000000"/>
          <w:sz w:val="28"/>
        </w:rPr>
        <w:t>8.3 团队优势</w:t>
      </w:r>
    </w:p>
    <w:p>
      <w:pPr>
        <w:pStyle w:val="ListBullet"/>
        <w:spacing w:after="0"/>
      </w:pPr>
      <w:r>
        <w:rPr>
          <w:rFonts w:ascii="宋体" w:hAnsi="宋体" w:eastAsia="宋体"/>
          <w:b w:val="0"/>
          <w:color w:val="000000"/>
          <w:sz w:val="24"/>
        </w:rPr>
        <w:t>专业匹配：团队来自计算机科学与工程学院，项目核心正是算法、仿真和系统开发。</w:t>
      </w:r>
    </w:p>
    <w:p>
      <w:pPr>
        <w:pStyle w:val="ListBullet"/>
        <w:spacing w:after="0"/>
      </w:pPr>
      <w:r>
        <w:rPr>
          <w:rFonts w:ascii="宋体" w:hAnsi="宋体" w:eastAsia="宋体"/>
          <w:b w:val="0"/>
          <w:color w:val="000000"/>
          <w:sz w:val="24"/>
        </w:rPr>
        <w:t>执行力强：已完成可运行仿真系统和多轮文档迭代，能够快速响应评审反馈。</w:t>
      </w:r>
    </w:p>
    <w:p>
      <w:pPr>
        <w:pStyle w:val="ListBullet"/>
        <w:spacing w:after="0"/>
      </w:pPr>
      <w:r>
        <w:rPr>
          <w:rFonts w:ascii="宋体" w:hAnsi="宋体" w:eastAsia="宋体"/>
          <w:b w:val="0"/>
          <w:color w:val="000000"/>
          <w:sz w:val="24"/>
        </w:rPr>
        <w:t>导师支撑：舒红梅老师提供技术路线、竞赛表达和项目规范指导。</w:t>
      </w:r>
    </w:p>
    <w:p>
      <w:pPr>
        <w:pStyle w:val="ListBullet"/>
        <w:spacing w:after="0"/>
      </w:pPr>
      <w:r>
        <w:rPr>
          <w:rFonts w:ascii="宋体" w:hAnsi="宋体" w:eastAsia="宋体"/>
          <w:b w:val="0"/>
          <w:color w:val="000000"/>
          <w:sz w:val="24"/>
        </w:rPr>
        <w:t>成长周期长：成员以大一、大二为主，后续仍有充足时间持续参赛、迭代和落地。</w:t>
      </w:r>
    </w:p>
    <w:p>
      <w:pPr>
        <w:pStyle w:val="Heading1"/>
        <w:jc w:val="center"/>
      </w:pPr>
      <w:r>
        <w:rPr>
          <w:rFonts w:ascii="黑体" w:hAnsi="黑体" w:eastAsia="黑体"/>
          <w:b w:val="0"/>
          <w:color w:val="000000"/>
          <w:sz w:val="32"/>
        </w:rPr>
        <w:t>第 9 章 发展规划</w:t>
      </w:r>
    </w:p>
    <w:p>
      <w:pPr>
        <w:pStyle w:val="Heading2"/>
        <w:jc w:val="left"/>
      </w:pPr>
      <w:r>
        <w:rPr>
          <w:rFonts w:ascii="黑体" w:hAnsi="黑体" w:eastAsia="黑体"/>
          <w:b w:val="0"/>
          <w:color w:val="000000"/>
          <w:sz w:val="28"/>
        </w:rPr>
        <w:t>9.1 短期计划（2026—2027）</w:t>
      </w:r>
    </w:p>
    <w:p>
      <w:pPr>
        <w:spacing w:line="300" w:lineRule="auto" w:after="0" w:before="0"/>
        <w:ind w:firstLine="480"/>
        <w:jc w:val="left"/>
      </w:pPr>
      <w:r>
        <w:rPr>
          <w:rFonts w:ascii="宋体" w:hAnsi="宋体" w:eastAsia="宋体"/>
          <w:b w:val="0"/>
          <w:color w:val="000000"/>
          <w:sz w:val="24"/>
        </w:rPr>
        <w:t>完成 ALNS 主算法、候选中继点生成与筛选、动态回退机制和校园样板场景。形成可演示系统、商业计划书、路演 PPT、演示视频和阶段性软著材料。争取在湖南科技大学校内完成至少 1 个低空绿色物流仿真样板。</w:t>
      </w:r>
    </w:p>
    <w:p>
      <w:pPr>
        <w:pStyle w:val="Heading2"/>
        <w:jc w:val="left"/>
      </w:pPr>
      <w:r>
        <w:rPr>
          <w:rFonts w:ascii="黑体" w:hAnsi="黑体" w:eastAsia="黑体"/>
          <w:b w:val="0"/>
          <w:color w:val="000000"/>
          <w:sz w:val="28"/>
        </w:rPr>
        <w:t>9.2 中期计划（2027—2029）</w:t>
      </w:r>
    </w:p>
    <w:p>
      <w:pPr>
        <w:spacing w:line="300" w:lineRule="auto" w:after="0" w:before="0"/>
        <w:ind w:firstLine="480"/>
        <w:jc w:val="left"/>
      </w:pPr>
      <w:r>
        <w:rPr>
          <w:rFonts w:ascii="宋体" w:hAnsi="宋体" w:eastAsia="宋体"/>
          <w:b w:val="0"/>
          <w:color w:val="000000"/>
          <w:sz w:val="24"/>
        </w:rPr>
        <w:t>拓展 5—10 个校园、园区或景区试点，形成标准化部署流程和 SaaS 收费模型。与 UAV/AGV 厂商合作，完成至少 2 个软硬件联合交付项目，形成区域示范案例。</w:t>
      </w:r>
    </w:p>
    <w:p>
      <w:pPr>
        <w:pStyle w:val="Heading2"/>
        <w:jc w:val="left"/>
      </w:pPr>
      <w:r>
        <w:rPr>
          <w:rFonts w:ascii="黑体" w:hAnsi="黑体" w:eastAsia="黑体"/>
          <w:b w:val="0"/>
          <w:color w:val="000000"/>
          <w:sz w:val="28"/>
        </w:rPr>
        <w:t>9.3 长期计划（2029 以后）</w:t>
      </w:r>
    </w:p>
    <w:p>
      <w:pPr>
        <w:spacing w:line="300" w:lineRule="auto" w:after="0" w:before="0"/>
        <w:ind w:firstLine="480"/>
        <w:jc w:val="left"/>
      </w:pPr>
      <w:r>
        <w:rPr>
          <w:rFonts w:ascii="宋体" w:hAnsi="宋体" w:eastAsia="宋体"/>
          <w:b w:val="0"/>
          <w:color w:val="000000"/>
          <w:sz w:val="24"/>
        </w:rPr>
        <w:t>构建面向低空绿色物流的智能调度平台，从校园和园区配送延伸到应急物资、景区补给、医疗小件、工业园区巡检等场景，形成可持续、可复制、可量化减碳的低空物流基础软件。</w:t>
      </w:r>
    </w:p>
    <w:p>
      <w:pPr>
        <w:pStyle w:val="Heading2"/>
        <w:jc w:val="left"/>
      </w:pPr>
      <w:r>
        <w:rPr>
          <w:rFonts w:ascii="黑体" w:hAnsi="黑体" w:eastAsia="黑体"/>
          <w:b w:val="0"/>
          <w:color w:val="000000"/>
          <w:sz w:val="28"/>
        </w:rPr>
        <w:t>9.4 项目愿景</w:t>
      </w:r>
    </w:p>
    <w:p>
      <w:pPr>
        <w:spacing w:line="300" w:lineRule="auto" w:after="0" w:before="0"/>
        <w:ind w:firstLine="480"/>
        <w:jc w:val="left"/>
      </w:pPr>
      <w:r>
        <w:rPr>
          <w:rFonts w:ascii="宋体" w:hAnsi="宋体" w:eastAsia="宋体"/>
          <w:b w:val="0"/>
          <w:color w:val="000000"/>
          <w:sz w:val="24"/>
        </w:rPr>
        <w:t>未来三年，我们希望让“空地绿配智控平台”成为低空配送试点前必用的决策工具；未来五年，我们希望它成为连接无人机、无人车、园区和订单系统的低空物流操作系统。</w:t>
      </w:r>
    </w:p>
    <w:p>
      <w:r>
        <w:br w:type="page"/>
      </w:r>
    </w:p>
    <w:p>
      <w:pPr>
        <w:pStyle w:val="Heading1"/>
        <w:jc w:val="center"/>
      </w:pPr>
      <w:r>
        <w:rPr>
          <w:rFonts w:ascii="黑体" w:hAnsi="黑体" w:eastAsia="黑体"/>
          <w:b w:val="0"/>
          <w:sz w:val="32"/>
        </w:rPr>
        <w:t>附录 A 政策依据与评审对标</w:t>
      </w:r>
    </w:p>
    <w:p>
      <w:pPr>
        <w:pStyle w:val="Heading2"/>
        <w:jc w:val="left"/>
      </w:pPr>
      <w:r>
        <w:rPr>
          <w:rFonts w:ascii="黑体" w:hAnsi="黑体" w:eastAsia="黑体"/>
          <w:b w:val="0"/>
          <w:sz w:val="28"/>
        </w:rPr>
        <w:t>A.1 低空经济政策窗口</w:t>
      </w:r>
    </w:p>
    <w:p>
      <w:pPr>
        <w:spacing w:line="300" w:lineRule="auto" w:after="0"/>
        <w:ind w:firstLine="480"/>
        <w:jc w:val="left"/>
      </w:pPr>
      <w:r>
        <w:rPr>
          <w:rFonts w:ascii="宋体" w:hAnsi="宋体" w:eastAsia="宋体"/>
          <w:b w:val="0"/>
          <w:sz w:val="24"/>
        </w:rPr>
        <w:t>2026 年，低空经济已经从产业概念进入场景落地阶段。国家层面持续强调低空经济、通用航空、无人配送、绿色交通和智慧物流的发展价值，各地也在推进低空起降设施、无人机物流线路、低空飞行服务保障平台和应用场景开放。本项目选择校园、园区、景区作为切入点，正是因为这三类场景具备管理主体明确、路线相对可控、订单密度稳定、试点风险较低等优势。</w:t>
      </w:r>
    </w:p>
    <w:p>
      <w:pPr>
        <w:spacing w:line="300" w:lineRule="auto" w:after="0"/>
        <w:ind w:firstLine="480"/>
        <w:jc w:val="left"/>
      </w:pPr>
      <w:r>
        <w:rPr>
          <w:rFonts w:ascii="宋体" w:hAnsi="宋体" w:eastAsia="宋体"/>
          <w:b w:val="0"/>
          <w:sz w:val="24"/>
        </w:rPr>
        <w:t>对参赛项目而言，政策窗口不是简单写几句口号，而是要转化为落地路径。空地绿配智控平台不直接挑战复杂开放空域，而是先在半封闭场景完成仿真评估、调度验证和运营测算，再逐步进入真实低空物流试点。这一策略符合低空经济安全健康发展的基本逻辑，也符合大学生项目从原型验证走向商业化试点的成长路径。</w:t>
      </w:r>
    </w:p>
    <w:p>
      <w:pPr>
        <w:spacing w:line="300" w:lineRule="auto" w:after="0"/>
        <w:ind w:firstLine="480"/>
        <w:jc w:val="left"/>
      </w:pPr>
      <w:r>
        <w:rPr>
          <w:rFonts w:ascii="宋体" w:hAnsi="宋体" w:eastAsia="宋体"/>
          <w:b w:val="0"/>
          <w:sz w:val="24"/>
        </w:rPr>
        <w:t>项目在政策表达上突出三个关键词：一是响应国家低空经济战略，二是服务绿色物流和低碳园区建设，三是以数字化调度平台提升无人配送运营效率。相比单纯硬件项目，本项目的优势在于轻资产、可复制、可先算账后部署，更适合大学生创新创业团队起步。</w:t>
      </w:r>
    </w:p>
    <w:p>
      <w:pPr>
        <w:pStyle w:val="Heading2"/>
        <w:jc w:val="left"/>
      </w:pPr>
      <w:r>
        <w:rPr>
          <w:rFonts w:ascii="黑体" w:hAnsi="黑体" w:eastAsia="黑体"/>
          <w:b w:val="0"/>
          <w:sz w:val="28"/>
        </w:rPr>
        <w:t>A.2 高教主赛道评审对标</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评审关注点</w:t>
            </w:r>
          </w:p>
        </w:tc>
        <w:tc>
          <w:tcPr>
            <w:tcW w:type="dxa" w:w="3091"/>
          </w:tcPr>
          <w:p>
            <w:pPr>
              <w:jc w:val="center"/>
            </w:pPr>
            <w:r/>
            <w:r>
              <w:rPr>
                <w:rFonts w:ascii="宋体" w:hAnsi="宋体" w:eastAsia="宋体"/>
                <w:b/>
                <w:sz w:val="21"/>
              </w:rPr>
              <w:t>本项目对应内容</w:t>
            </w:r>
          </w:p>
        </w:tc>
        <w:tc>
          <w:tcPr>
            <w:tcW w:type="dxa" w:w="3091"/>
          </w:tcPr>
          <w:p>
            <w:pPr>
              <w:jc w:val="center"/>
            </w:pPr>
            <w:r/>
            <w:r>
              <w:rPr>
                <w:rFonts w:ascii="宋体" w:hAnsi="宋体" w:eastAsia="宋体"/>
                <w:b/>
                <w:sz w:val="21"/>
              </w:rPr>
              <w:t>呈现方式</w:t>
            </w:r>
          </w:p>
        </w:tc>
      </w:tr>
      <w:tr>
        <w:tc>
          <w:tcPr>
            <w:tcW w:type="dxa" w:w="3091"/>
          </w:tcPr>
          <w:p>
            <w:r/>
            <w:r>
              <w:rPr>
                <w:rFonts w:ascii="宋体" w:hAnsi="宋体" w:eastAsia="宋体"/>
                <w:b w:val="0"/>
                <w:sz w:val="20"/>
              </w:rPr>
              <w:t>专业知识应用</w:t>
            </w:r>
          </w:p>
        </w:tc>
        <w:tc>
          <w:tcPr>
            <w:tcW w:type="dxa" w:w="3091"/>
          </w:tcPr>
          <w:p>
            <w:r/>
            <w:r>
              <w:rPr>
                <w:rFonts w:ascii="宋体" w:hAnsi="宋体" w:eastAsia="宋体"/>
                <w:b w:val="0"/>
                <w:sz w:val="20"/>
              </w:rPr>
              <w:t>ALNS、路径规划、能耗模型、UAV/AGV 协同调度</w:t>
            </w:r>
          </w:p>
        </w:tc>
        <w:tc>
          <w:tcPr>
            <w:tcW w:type="dxa" w:w="3091"/>
          </w:tcPr>
          <w:p>
            <w:r/>
            <w:r>
              <w:rPr>
                <w:rFonts w:ascii="宋体" w:hAnsi="宋体" w:eastAsia="宋体"/>
                <w:b w:val="0"/>
                <w:sz w:val="20"/>
              </w:rPr>
              <w:t>产品与技术章节、阶段性实验数据</w:t>
            </w:r>
          </w:p>
        </w:tc>
      </w:tr>
      <w:tr>
        <w:tc>
          <w:tcPr>
            <w:tcW w:type="dxa" w:w="3091"/>
          </w:tcPr>
          <w:p>
            <w:r/>
            <w:r>
              <w:rPr>
                <w:rFonts w:ascii="宋体" w:hAnsi="宋体" w:eastAsia="宋体"/>
                <w:b w:val="0"/>
                <w:sz w:val="20"/>
              </w:rPr>
              <w:t>商业知识应用</w:t>
            </w:r>
          </w:p>
        </w:tc>
        <w:tc>
          <w:tcPr>
            <w:tcW w:type="dxa" w:w="3091"/>
          </w:tcPr>
          <w:p>
            <w:r/>
            <w:r>
              <w:rPr>
                <w:rFonts w:ascii="宋体" w:hAnsi="宋体" w:eastAsia="宋体"/>
                <w:b w:val="0"/>
                <w:sz w:val="20"/>
              </w:rPr>
              <w:t>按单 SaaS、平台授权、项目交付、碳报告服务</w:t>
            </w:r>
          </w:p>
        </w:tc>
        <w:tc>
          <w:tcPr>
            <w:tcW w:type="dxa" w:w="3091"/>
          </w:tcPr>
          <w:p>
            <w:r/>
            <w:r>
              <w:rPr>
                <w:rFonts w:ascii="宋体" w:hAnsi="宋体" w:eastAsia="宋体"/>
                <w:b w:val="0"/>
                <w:sz w:val="20"/>
              </w:rPr>
              <w:t>商业模式和财务预测章节</w:t>
            </w:r>
          </w:p>
        </w:tc>
      </w:tr>
      <w:tr>
        <w:tc>
          <w:tcPr>
            <w:tcW w:type="dxa" w:w="3091"/>
          </w:tcPr>
          <w:p>
            <w:r/>
            <w:r>
              <w:rPr>
                <w:rFonts w:ascii="宋体" w:hAnsi="宋体" w:eastAsia="宋体"/>
                <w:b w:val="0"/>
                <w:sz w:val="20"/>
              </w:rPr>
              <w:t>行业知识理解</w:t>
            </w:r>
          </w:p>
        </w:tc>
        <w:tc>
          <w:tcPr>
            <w:tcW w:type="dxa" w:w="3091"/>
          </w:tcPr>
          <w:p>
            <w:r/>
            <w:r>
              <w:rPr>
                <w:rFonts w:ascii="宋体" w:hAnsi="宋体" w:eastAsia="宋体"/>
                <w:b w:val="0"/>
                <w:sz w:val="20"/>
              </w:rPr>
              <w:t>低空经济、校园园区配送、绿色物流、无人配送试点</w:t>
            </w:r>
          </w:p>
        </w:tc>
        <w:tc>
          <w:tcPr>
            <w:tcW w:type="dxa" w:w="3091"/>
          </w:tcPr>
          <w:p>
            <w:r/>
            <w:r>
              <w:rPr>
                <w:rFonts w:ascii="宋体" w:hAnsi="宋体" w:eastAsia="宋体"/>
                <w:b w:val="0"/>
                <w:sz w:val="20"/>
              </w:rPr>
              <w:t>市场分析和政策依据章节</w:t>
            </w:r>
          </w:p>
        </w:tc>
      </w:tr>
      <w:tr>
        <w:tc>
          <w:tcPr>
            <w:tcW w:type="dxa" w:w="3091"/>
          </w:tcPr>
          <w:p>
            <w:r/>
            <w:r>
              <w:rPr>
                <w:rFonts w:ascii="宋体" w:hAnsi="宋体" w:eastAsia="宋体"/>
                <w:b w:val="0"/>
                <w:sz w:val="20"/>
              </w:rPr>
              <w:t>计划组织能力</w:t>
            </w:r>
          </w:p>
        </w:tc>
        <w:tc>
          <w:tcPr>
            <w:tcW w:type="dxa" w:w="3091"/>
          </w:tcPr>
          <w:p>
            <w:r/>
            <w:r>
              <w:rPr>
                <w:rFonts w:ascii="宋体" w:hAnsi="宋体" w:eastAsia="宋体"/>
                <w:b w:val="0"/>
                <w:sz w:val="20"/>
              </w:rPr>
              <w:t>短中长期规划、资金使用、风险控制、团队分工</w:t>
            </w:r>
          </w:p>
        </w:tc>
        <w:tc>
          <w:tcPr>
            <w:tcW w:type="dxa" w:w="3091"/>
          </w:tcPr>
          <w:p>
            <w:r/>
            <w:r>
              <w:rPr>
                <w:rFonts w:ascii="宋体" w:hAnsi="宋体" w:eastAsia="宋体"/>
                <w:b w:val="0"/>
                <w:sz w:val="20"/>
              </w:rPr>
              <w:t>发展规划、财务分析、团队章节</w:t>
            </w:r>
          </w:p>
        </w:tc>
      </w:tr>
      <w:tr>
        <w:tc>
          <w:tcPr>
            <w:tcW w:type="dxa" w:w="3091"/>
          </w:tcPr>
          <w:p>
            <w:r/>
            <w:r>
              <w:rPr>
                <w:rFonts w:ascii="宋体" w:hAnsi="宋体" w:eastAsia="宋体"/>
                <w:b w:val="0"/>
                <w:sz w:val="20"/>
              </w:rPr>
              <w:t>成长性</w:t>
            </w:r>
          </w:p>
        </w:tc>
        <w:tc>
          <w:tcPr>
            <w:tcW w:type="dxa" w:w="3091"/>
          </w:tcPr>
          <w:p>
            <w:r/>
            <w:r>
              <w:rPr>
                <w:rFonts w:ascii="宋体" w:hAnsi="宋体" w:eastAsia="宋体"/>
                <w:b w:val="0"/>
                <w:sz w:val="20"/>
              </w:rPr>
              <w:t>从校园样板到园区复制，再到低空物流操作系统</w:t>
            </w:r>
          </w:p>
        </w:tc>
        <w:tc>
          <w:tcPr>
            <w:tcW w:type="dxa" w:w="3091"/>
          </w:tcPr>
          <w:p>
            <w:r/>
            <w:r>
              <w:rPr>
                <w:rFonts w:ascii="宋体" w:hAnsi="宋体" w:eastAsia="宋体"/>
                <w:b w:val="0"/>
                <w:sz w:val="20"/>
              </w:rPr>
              <w:t>路线图和三年营收预测</w:t>
            </w:r>
          </w:p>
        </w:tc>
      </w:tr>
    </w:tbl>
    <w:p>
      <w:pPr>
        <w:spacing w:line="300" w:lineRule="auto" w:after="0"/>
        <w:jc w:val="left"/>
      </w:pPr>
      <w:r>
        <w:rPr>
          <w:rFonts w:ascii="宋体" w:hAnsi="宋体" w:eastAsia="宋体"/>
          <w:b w:val="0"/>
          <w:sz w:val="24"/>
        </w:rPr>
      </w:r>
    </w:p>
    <w:p>
      <w:pPr>
        <w:spacing w:line="300" w:lineRule="auto" w:after="0"/>
        <w:ind w:firstLine="480"/>
        <w:jc w:val="left"/>
      </w:pPr>
      <w:r>
        <w:rPr>
          <w:rFonts w:ascii="宋体" w:hAnsi="宋体" w:eastAsia="宋体"/>
          <w:b w:val="0"/>
          <w:sz w:val="24"/>
        </w:rPr>
        <w:t>从评委视角看，一个好的商业计划书不只是讲技术先进，更要证明项目“为什么现在做、为什么我们能做、客户为什么会付钱、未来怎么扩大”。本项目围绕 2026 年低空经济试点窗口，用校园/园区/景区的最后一公里配送作为切入口，具备较清晰的商业闭环。</w:t>
      </w:r>
    </w:p>
    <w:p>
      <w:r>
        <w:br w:type="page"/>
      </w:r>
    </w:p>
    <w:p>
      <w:pPr>
        <w:pStyle w:val="Heading1"/>
        <w:jc w:val="center"/>
      </w:pPr>
      <w:r>
        <w:rPr>
          <w:rFonts w:ascii="黑体" w:hAnsi="黑体" w:eastAsia="黑体"/>
          <w:b w:val="0"/>
          <w:sz w:val="32"/>
        </w:rPr>
        <w:t>附录 B 典型场景方案</w:t>
      </w:r>
    </w:p>
    <w:p>
      <w:pPr>
        <w:pStyle w:val="Heading2"/>
        <w:jc w:val="left"/>
      </w:pPr>
      <w:r>
        <w:rPr>
          <w:rFonts w:ascii="黑体" w:hAnsi="黑体" w:eastAsia="黑体"/>
          <w:b w:val="0"/>
          <w:sz w:val="28"/>
        </w:rPr>
        <w:t>B.1 校园快递与餐饮配送场景</w:t>
      </w:r>
    </w:p>
    <w:p>
      <w:pPr>
        <w:spacing w:line="300" w:lineRule="auto" w:after="0"/>
        <w:ind w:firstLine="480"/>
        <w:jc w:val="left"/>
      </w:pPr>
      <w:r>
        <w:rPr>
          <w:rFonts w:ascii="宋体" w:hAnsi="宋体" w:eastAsia="宋体"/>
          <w:b w:val="0"/>
          <w:sz w:val="24"/>
        </w:rPr>
        <w:t>校园是本项目最适合的首个样板场景。高校通常拥有快递驿站、食堂、宿舍区、教学楼、实验楼、校医院等多个高频节点，订单时段集中，路线边界清晰，管理主体统一，适合开展仿真验证和低风险试点。</w:t>
      </w:r>
    </w:p>
    <w:p>
      <w:pPr>
        <w:spacing w:line="300" w:lineRule="auto" w:after="0"/>
        <w:ind w:firstLine="480"/>
        <w:jc w:val="left"/>
      </w:pPr>
      <w:r>
        <w:rPr>
          <w:rFonts w:ascii="宋体" w:hAnsi="宋体" w:eastAsia="宋体"/>
          <w:b w:val="0"/>
          <w:sz w:val="24"/>
        </w:rPr>
        <w:t>典型流程为：快递驿站或食堂作为单总站，AGV 搭载 UAV 沿校园主干路行驶，到达候选中继点后释放 UAV，UAV 完成宿舍区、教学楼附近的短距离末端配送。配送完成后，UAV 返回 AGV 或就近回收点，AGV 继续支援下一批订单。</w:t>
      </w:r>
    </w:p>
    <w:p>
      <w:pPr>
        <w:spacing w:line="300" w:lineRule="auto" w:after="0"/>
        <w:ind w:firstLine="480"/>
        <w:jc w:val="left"/>
      </w:pPr>
      <w:r>
        <w:rPr>
          <w:rFonts w:ascii="宋体" w:hAnsi="宋体" w:eastAsia="宋体"/>
          <w:b w:val="0"/>
          <w:sz w:val="24"/>
        </w:rPr>
        <w:t>该场景的商业价值在于减少校园内人工往返、降低高峰时段配送拥堵、提升绿色校园展示度。对学校而言，平台不仅是配送工具，也是低空经济、智慧校园和绿色校园建设的示范项目。</w:t>
      </w:r>
    </w:p>
    <w:tbl>
      <w:tblPr>
        <w:tblStyle w:val="TableGrid"/>
        <w:tblW w:type="auto" w:w="0"/>
        <w:tblLook w:firstColumn="1" w:firstRow="1" w:lastColumn="0" w:lastRow="0" w:noHBand="0" w:noVBand="1" w:val="04A0"/>
      </w:tblPr>
      <w:tblGrid>
        <w:gridCol w:w="2318"/>
        <w:gridCol w:w="2318"/>
        <w:gridCol w:w="2318"/>
        <w:gridCol w:w="2318"/>
      </w:tblGrid>
      <w:tr>
        <w:tc>
          <w:tcPr>
            <w:tcW w:type="dxa" w:w="2318"/>
          </w:tcPr>
          <w:p>
            <w:pPr>
              <w:jc w:val="center"/>
            </w:pPr>
            <w:r/>
            <w:r>
              <w:rPr>
                <w:rFonts w:ascii="宋体" w:hAnsi="宋体" w:eastAsia="宋体"/>
                <w:b/>
                <w:sz w:val="21"/>
              </w:rPr>
              <w:t>测算项</w:t>
            </w:r>
          </w:p>
        </w:tc>
        <w:tc>
          <w:tcPr>
            <w:tcW w:type="dxa" w:w="2318"/>
          </w:tcPr>
          <w:p>
            <w:pPr>
              <w:jc w:val="center"/>
            </w:pPr>
            <w:r/>
            <w:r>
              <w:rPr>
                <w:rFonts w:ascii="宋体" w:hAnsi="宋体" w:eastAsia="宋体"/>
                <w:b/>
                <w:sz w:val="21"/>
              </w:rPr>
              <w:t>保守假设</w:t>
            </w:r>
          </w:p>
        </w:tc>
        <w:tc>
          <w:tcPr>
            <w:tcW w:type="dxa" w:w="2318"/>
          </w:tcPr>
          <w:p>
            <w:pPr>
              <w:jc w:val="center"/>
            </w:pPr>
            <w:r/>
            <w:r>
              <w:rPr>
                <w:rFonts w:ascii="宋体" w:hAnsi="宋体" w:eastAsia="宋体"/>
                <w:b/>
                <w:sz w:val="21"/>
              </w:rPr>
              <w:t>积极假设</w:t>
            </w:r>
          </w:p>
        </w:tc>
        <w:tc>
          <w:tcPr>
            <w:tcW w:type="dxa" w:w="2318"/>
          </w:tcPr>
          <w:p>
            <w:pPr>
              <w:jc w:val="center"/>
            </w:pPr>
            <w:r/>
            <w:r>
              <w:rPr>
                <w:rFonts w:ascii="宋体" w:hAnsi="宋体" w:eastAsia="宋体"/>
                <w:b/>
                <w:sz w:val="21"/>
              </w:rPr>
              <w:t>说明</w:t>
            </w:r>
          </w:p>
        </w:tc>
      </w:tr>
      <w:tr>
        <w:tc>
          <w:tcPr>
            <w:tcW w:type="dxa" w:w="2318"/>
          </w:tcPr>
          <w:p>
            <w:r/>
            <w:r>
              <w:rPr>
                <w:rFonts w:ascii="宋体" w:hAnsi="宋体" w:eastAsia="宋体"/>
                <w:b w:val="0"/>
                <w:sz w:val="20"/>
              </w:rPr>
              <w:t>日均订单</w:t>
            </w:r>
          </w:p>
        </w:tc>
        <w:tc>
          <w:tcPr>
            <w:tcW w:type="dxa" w:w="2318"/>
          </w:tcPr>
          <w:p>
            <w:r/>
            <w:r>
              <w:rPr>
                <w:rFonts w:ascii="宋体" w:hAnsi="宋体" w:eastAsia="宋体"/>
                <w:b w:val="0"/>
                <w:sz w:val="20"/>
              </w:rPr>
              <w:t>1000 单</w:t>
            </w:r>
          </w:p>
        </w:tc>
        <w:tc>
          <w:tcPr>
            <w:tcW w:type="dxa" w:w="2318"/>
          </w:tcPr>
          <w:p>
            <w:r/>
            <w:r>
              <w:rPr>
                <w:rFonts w:ascii="宋体" w:hAnsi="宋体" w:eastAsia="宋体"/>
                <w:b w:val="0"/>
                <w:sz w:val="20"/>
              </w:rPr>
              <w:t>3000 单</w:t>
            </w:r>
          </w:p>
        </w:tc>
        <w:tc>
          <w:tcPr>
            <w:tcW w:type="dxa" w:w="2318"/>
          </w:tcPr>
          <w:p>
            <w:r/>
            <w:r>
              <w:rPr>
                <w:rFonts w:ascii="宋体" w:hAnsi="宋体" w:eastAsia="宋体"/>
                <w:b w:val="0"/>
                <w:sz w:val="20"/>
              </w:rPr>
              <w:t>快递小件、餐饮、校内物资</w:t>
            </w:r>
          </w:p>
        </w:tc>
      </w:tr>
      <w:tr>
        <w:tc>
          <w:tcPr>
            <w:tcW w:type="dxa" w:w="2318"/>
          </w:tcPr>
          <w:p>
            <w:r/>
            <w:r>
              <w:rPr>
                <w:rFonts w:ascii="宋体" w:hAnsi="宋体" w:eastAsia="宋体"/>
                <w:b w:val="0"/>
                <w:sz w:val="20"/>
              </w:rPr>
              <w:t>服务费</w:t>
            </w:r>
          </w:p>
        </w:tc>
        <w:tc>
          <w:tcPr>
            <w:tcW w:type="dxa" w:w="2318"/>
          </w:tcPr>
          <w:p>
            <w:r/>
            <w:r>
              <w:rPr>
                <w:rFonts w:ascii="宋体" w:hAnsi="宋体" w:eastAsia="宋体"/>
                <w:b w:val="0"/>
                <w:sz w:val="20"/>
              </w:rPr>
              <w:t>0.10 元/单</w:t>
            </w:r>
          </w:p>
        </w:tc>
        <w:tc>
          <w:tcPr>
            <w:tcW w:type="dxa" w:w="2318"/>
          </w:tcPr>
          <w:p>
            <w:r/>
            <w:r>
              <w:rPr>
                <w:rFonts w:ascii="宋体" w:hAnsi="宋体" w:eastAsia="宋体"/>
                <w:b w:val="0"/>
                <w:sz w:val="20"/>
              </w:rPr>
              <w:t>0.12 元/单</w:t>
            </w:r>
          </w:p>
        </w:tc>
        <w:tc>
          <w:tcPr>
            <w:tcW w:type="dxa" w:w="2318"/>
          </w:tcPr>
          <w:p>
            <w:r/>
            <w:r>
              <w:rPr>
                <w:rFonts w:ascii="宋体" w:hAnsi="宋体" w:eastAsia="宋体"/>
                <w:b w:val="0"/>
                <w:sz w:val="20"/>
              </w:rPr>
              <w:t>按单 SaaS 调度服务费</w:t>
            </w:r>
          </w:p>
        </w:tc>
      </w:tr>
      <w:tr>
        <w:tc>
          <w:tcPr>
            <w:tcW w:type="dxa" w:w="2318"/>
          </w:tcPr>
          <w:p>
            <w:r/>
            <w:r>
              <w:rPr>
                <w:rFonts w:ascii="宋体" w:hAnsi="宋体" w:eastAsia="宋体"/>
                <w:b w:val="0"/>
                <w:sz w:val="20"/>
              </w:rPr>
              <w:t>年度平台费</w:t>
            </w:r>
          </w:p>
        </w:tc>
        <w:tc>
          <w:tcPr>
            <w:tcW w:type="dxa" w:w="2318"/>
          </w:tcPr>
          <w:p>
            <w:r/>
            <w:r>
              <w:rPr>
                <w:rFonts w:ascii="宋体" w:hAnsi="宋体" w:eastAsia="宋体"/>
                <w:b w:val="0"/>
                <w:sz w:val="20"/>
              </w:rPr>
              <w:t>5 万元</w:t>
            </w:r>
          </w:p>
        </w:tc>
        <w:tc>
          <w:tcPr>
            <w:tcW w:type="dxa" w:w="2318"/>
          </w:tcPr>
          <w:p>
            <w:r/>
            <w:r>
              <w:rPr>
                <w:rFonts w:ascii="宋体" w:hAnsi="宋体" w:eastAsia="宋体"/>
                <w:b w:val="0"/>
                <w:sz w:val="20"/>
              </w:rPr>
              <w:t>8 万元</w:t>
            </w:r>
          </w:p>
        </w:tc>
        <w:tc>
          <w:tcPr>
            <w:tcW w:type="dxa" w:w="2318"/>
          </w:tcPr>
          <w:p>
            <w:r/>
            <w:r>
              <w:rPr>
                <w:rFonts w:ascii="宋体" w:hAnsi="宋体" w:eastAsia="宋体"/>
                <w:b w:val="0"/>
                <w:sz w:val="20"/>
              </w:rPr>
              <w:t>校园年度授权</w:t>
            </w:r>
          </w:p>
        </w:tc>
      </w:tr>
      <w:tr>
        <w:tc>
          <w:tcPr>
            <w:tcW w:type="dxa" w:w="2318"/>
          </w:tcPr>
          <w:p>
            <w:r/>
            <w:r>
              <w:rPr>
                <w:rFonts w:ascii="宋体" w:hAnsi="宋体" w:eastAsia="宋体"/>
                <w:b w:val="0"/>
                <w:sz w:val="20"/>
              </w:rPr>
              <w:t>首年收入</w:t>
            </w:r>
          </w:p>
        </w:tc>
        <w:tc>
          <w:tcPr>
            <w:tcW w:type="dxa" w:w="2318"/>
          </w:tcPr>
          <w:p>
            <w:r/>
            <w:r>
              <w:rPr>
                <w:rFonts w:ascii="宋体" w:hAnsi="宋体" w:eastAsia="宋体"/>
                <w:b w:val="0"/>
                <w:sz w:val="20"/>
              </w:rPr>
              <w:t>约 8.6 万元</w:t>
            </w:r>
          </w:p>
        </w:tc>
        <w:tc>
          <w:tcPr>
            <w:tcW w:type="dxa" w:w="2318"/>
          </w:tcPr>
          <w:p>
            <w:r/>
            <w:r>
              <w:rPr>
                <w:rFonts w:ascii="宋体" w:hAnsi="宋体" w:eastAsia="宋体"/>
                <w:b w:val="0"/>
                <w:sz w:val="20"/>
              </w:rPr>
              <w:t>约 21 万元</w:t>
            </w:r>
          </w:p>
        </w:tc>
        <w:tc>
          <w:tcPr>
            <w:tcW w:type="dxa" w:w="2318"/>
          </w:tcPr>
          <w:p>
            <w:r/>
            <w:r>
              <w:rPr>
                <w:rFonts w:ascii="宋体" w:hAnsi="宋体" w:eastAsia="宋体"/>
                <w:b w:val="0"/>
                <w:sz w:val="20"/>
              </w:rPr>
              <w:t>含平台费和按单服务</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B.2 产业园即时配送场景</w:t>
      </w:r>
    </w:p>
    <w:p>
      <w:pPr>
        <w:spacing w:line="300" w:lineRule="auto" w:after="0"/>
        <w:ind w:firstLine="480"/>
        <w:jc w:val="left"/>
      </w:pPr>
      <w:r>
        <w:rPr>
          <w:rFonts w:ascii="宋体" w:hAnsi="宋体" w:eastAsia="宋体"/>
          <w:b w:val="0"/>
          <w:sz w:val="24"/>
        </w:rPr>
        <w:t>产业园区订单类型更偏向企业文件、小件样品、餐饮、办公物资和应急耗材。园区道路规则清晰、楼宇密集、管理主体明确，是空地协同配送向商业客户收费的重要场景。</w:t>
      </w:r>
    </w:p>
    <w:p>
      <w:pPr>
        <w:spacing w:line="300" w:lineRule="auto" w:after="0"/>
        <w:ind w:firstLine="480"/>
        <w:jc w:val="left"/>
      </w:pPr>
      <w:r>
        <w:rPr>
          <w:rFonts w:ascii="宋体" w:hAnsi="宋体" w:eastAsia="宋体"/>
          <w:b w:val="0"/>
          <w:sz w:val="24"/>
        </w:rPr>
        <w:t>与校园相比，园区客户更看重效率、形象和管理能力。平台可为园区运营方输出订单热力图、中继点布局图、设备数量建议和碳排报告，帮助园区打造智慧物流服务能力。</w:t>
      </w:r>
    </w:p>
    <w:p>
      <w:pPr>
        <w:spacing w:line="300" w:lineRule="auto" w:after="0"/>
        <w:ind w:firstLine="480"/>
        <w:jc w:val="left"/>
      </w:pPr>
      <w:r>
        <w:rPr>
          <w:rFonts w:ascii="宋体" w:hAnsi="宋体" w:eastAsia="宋体"/>
          <w:b w:val="0"/>
          <w:sz w:val="24"/>
        </w:rPr>
        <w:t>园区场景的收费能力更强，适合采用“平台授权 + 仿真咨询 + 项目交付”的组合模式。若与硬件厂商合作，可将 AGV 移动中继车和 UAV 末端配送机打包为一套园区低空物流解决方案。</w:t>
      </w:r>
    </w:p>
    <w:p>
      <w:pPr>
        <w:pStyle w:val="Heading2"/>
        <w:jc w:val="left"/>
      </w:pPr>
      <w:r>
        <w:rPr>
          <w:rFonts w:ascii="黑体" w:hAnsi="黑体" w:eastAsia="黑体"/>
          <w:b w:val="0"/>
          <w:sz w:val="28"/>
        </w:rPr>
        <w:t>B.3 景区补给与应急配送场景</w:t>
      </w:r>
    </w:p>
    <w:p>
      <w:pPr>
        <w:spacing w:line="300" w:lineRule="auto" w:after="0"/>
        <w:ind w:firstLine="480"/>
        <w:jc w:val="left"/>
      </w:pPr>
      <w:r>
        <w:rPr>
          <w:rFonts w:ascii="宋体" w:hAnsi="宋体" w:eastAsia="宋体"/>
          <w:b w:val="0"/>
          <w:sz w:val="24"/>
        </w:rPr>
        <w:t>景区具有道路复杂、游客分布不均、补给点分散、应急需求突发等特点。传统地面配送往往受人流和地形影响，效率低且影响游客体验。空地协同模式可以让 AGV 在服务区或后勤通道移动支撑，UAV 完成短距离空中补给。</w:t>
      </w:r>
    </w:p>
    <w:p>
      <w:pPr>
        <w:spacing w:line="300" w:lineRule="auto" w:after="0"/>
        <w:ind w:firstLine="480"/>
        <w:jc w:val="left"/>
      </w:pPr>
      <w:r>
        <w:rPr>
          <w:rFonts w:ascii="宋体" w:hAnsi="宋体" w:eastAsia="宋体"/>
          <w:b w:val="0"/>
          <w:sz w:val="24"/>
        </w:rPr>
        <w:t>景区场景的价值不只在配送效率，还在品牌展示。低空配送可以成为景区智慧化、绿色化、科技化运营的一部分，适合与低空文旅、应急救援和智慧景区建设结合。</w:t>
      </w:r>
    </w:p>
    <w:p>
      <w:r>
        <w:br w:type="page"/>
      </w:r>
    </w:p>
    <w:p>
      <w:pPr>
        <w:pStyle w:val="Heading1"/>
        <w:jc w:val="center"/>
      </w:pPr>
      <w:r>
        <w:rPr>
          <w:rFonts w:ascii="黑体" w:hAnsi="黑体" w:eastAsia="黑体"/>
          <w:b w:val="0"/>
          <w:sz w:val="32"/>
        </w:rPr>
        <w:t>附录 C 运营流程与交付清单</w:t>
      </w:r>
    </w:p>
    <w:p>
      <w:pPr>
        <w:pStyle w:val="Heading2"/>
        <w:jc w:val="left"/>
      </w:pPr>
      <w:r>
        <w:rPr>
          <w:rFonts w:ascii="黑体" w:hAnsi="黑体" w:eastAsia="黑体"/>
          <w:b w:val="0"/>
          <w:sz w:val="28"/>
        </w:rPr>
        <w:t>C.1 项目实施流程</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阶段</w:t>
            </w:r>
          </w:p>
        </w:tc>
        <w:tc>
          <w:tcPr>
            <w:tcW w:type="dxa" w:w="3091"/>
          </w:tcPr>
          <w:p>
            <w:pPr>
              <w:jc w:val="center"/>
            </w:pPr>
            <w:r/>
            <w:r>
              <w:rPr>
                <w:rFonts w:ascii="宋体" w:hAnsi="宋体" w:eastAsia="宋体"/>
                <w:b/>
                <w:sz w:val="21"/>
              </w:rPr>
              <w:t>工作内容</w:t>
            </w:r>
          </w:p>
        </w:tc>
        <w:tc>
          <w:tcPr>
            <w:tcW w:type="dxa" w:w="3091"/>
          </w:tcPr>
          <w:p>
            <w:pPr>
              <w:jc w:val="center"/>
            </w:pPr>
            <w:r/>
            <w:r>
              <w:rPr>
                <w:rFonts w:ascii="宋体" w:hAnsi="宋体" w:eastAsia="宋体"/>
                <w:b/>
                <w:sz w:val="21"/>
              </w:rPr>
              <w:t>交付物</w:t>
            </w:r>
          </w:p>
        </w:tc>
      </w:tr>
      <w:tr>
        <w:tc>
          <w:tcPr>
            <w:tcW w:type="dxa" w:w="3091"/>
          </w:tcPr>
          <w:p>
            <w:r/>
            <w:r>
              <w:rPr>
                <w:rFonts w:ascii="宋体" w:hAnsi="宋体" w:eastAsia="宋体"/>
                <w:b w:val="0"/>
                <w:sz w:val="20"/>
              </w:rPr>
              <w:t>需求调研</w:t>
            </w:r>
          </w:p>
        </w:tc>
        <w:tc>
          <w:tcPr>
            <w:tcW w:type="dxa" w:w="3091"/>
          </w:tcPr>
          <w:p>
            <w:r/>
            <w:r>
              <w:rPr>
                <w:rFonts w:ascii="宋体" w:hAnsi="宋体" w:eastAsia="宋体"/>
                <w:b w:val="0"/>
                <w:sz w:val="20"/>
              </w:rPr>
              <w:t>访谈客户、收集订单、确定总站和服务范围</w:t>
            </w:r>
          </w:p>
        </w:tc>
        <w:tc>
          <w:tcPr>
            <w:tcW w:type="dxa" w:w="3091"/>
          </w:tcPr>
          <w:p>
            <w:r/>
            <w:r>
              <w:rPr>
                <w:rFonts w:ascii="宋体" w:hAnsi="宋体" w:eastAsia="宋体"/>
                <w:b w:val="0"/>
                <w:sz w:val="20"/>
              </w:rPr>
              <w:t>需求调研表、数据清单</w:t>
            </w:r>
          </w:p>
        </w:tc>
      </w:tr>
      <w:tr>
        <w:tc>
          <w:tcPr>
            <w:tcW w:type="dxa" w:w="3091"/>
          </w:tcPr>
          <w:p>
            <w:r/>
            <w:r>
              <w:rPr>
                <w:rFonts w:ascii="宋体" w:hAnsi="宋体" w:eastAsia="宋体"/>
                <w:b w:val="0"/>
                <w:sz w:val="20"/>
              </w:rPr>
              <w:t>场景建模</w:t>
            </w:r>
          </w:p>
        </w:tc>
        <w:tc>
          <w:tcPr>
            <w:tcW w:type="dxa" w:w="3091"/>
          </w:tcPr>
          <w:p>
            <w:r/>
            <w:r>
              <w:rPr>
                <w:rFonts w:ascii="宋体" w:hAnsi="宋体" w:eastAsia="宋体"/>
                <w:b w:val="0"/>
                <w:sz w:val="20"/>
              </w:rPr>
              <w:t>录入路网、终点、候选停靠点、设备参数</w:t>
            </w:r>
          </w:p>
        </w:tc>
        <w:tc>
          <w:tcPr>
            <w:tcW w:type="dxa" w:w="3091"/>
          </w:tcPr>
          <w:p>
            <w:r/>
            <w:r>
              <w:rPr>
                <w:rFonts w:ascii="宋体" w:hAnsi="宋体" w:eastAsia="宋体"/>
                <w:b w:val="0"/>
                <w:sz w:val="20"/>
              </w:rPr>
              <w:t>场景配置文件、基础地图</w:t>
            </w:r>
          </w:p>
        </w:tc>
      </w:tr>
      <w:tr>
        <w:tc>
          <w:tcPr>
            <w:tcW w:type="dxa" w:w="3091"/>
          </w:tcPr>
          <w:p>
            <w:r/>
            <w:r>
              <w:rPr>
                <w:rFonts w:ascii="宋体" w:hAnsi="宋体" w:eastAsia="宋体"/>
                <w:b w:val="0"/>
                <w:sz w:val="20"/>
              </w:rPr>
              <w:t>仿真评估</w:t>
            </w:r>
          </w:p>
        </w:tc>
        <w:tc>
          <w:tcPr>
            <w:tcW w:type="dxa" w:w="3091"/>
          </w:tcPr>
          <w:p>
            <w:r/>
            <w:r>
              <w:rPr>
                <w:rFonts w:ascii="宋体" w:hAnsi="宋体" w:eastAsia="宋体"/>
                <w:b w:val="0"/>
                <w:sz w:val="20"/>
              </w:rPr>
              <w:t>运行直送、协同中继、统一调度策略对比</w:t>
            </w:r>
          </w:p>
        </w:tc>
        <w:tc>
          <w:tcPr>
            <w:tcW w:type="dxa" w:w="3091"/>
          </w:tcPr>
          <w:p>
            <w:r/>
            <w:r>
              <w:rPr>
                <w:rFonts w:ascii="宋体" w:hAnsi="宋体" w:eastAsia="宋体"/>
                <w:b w:val="0"/>
                <w:sz w:val="20"/>
              </w:rPr>
              <w:t>仿真报告、指标图表</w:t>
            </w:r>
          </w:p>
        </w:tc>
      </w:tr>
      <w:tr>
        <w:tc>
          <w:tcPr>
            <w:tcW w:type="dxa" w:w="3091"/>
          </w:tcPr>
          <w:p>
            <w:r/>
            <w:r>
              <w:rPr>
                <w:rFonts w:ascii="宋体" w:hAnsi="宋体" w:eastAsia="宋体"/>
                <w:b w:val="0"/>
                <w:sz w:val="20"/>
              </w:rPr>
              <w:t>方案设计</w:t>
            </w:r>
          </w:p>
        </w:tc>
        <w:tc>
          <w:tcPr>
            <w:tcW w:type="dxa" w:w="3091"/>
          </w:tcPr>
          <w:p>
            <w:r/>
            <w:r>
              <w:rPr>
                <w:rFonts w:ascii="宋体" w:hAnsi="宋体" w:eastAsia="宋体"/>
                <w:b w:val="0"/>
                <w:sz w:val="20"/>
              </w:rPr>
              <w:t>推荐设备数量、中继点布局、收费模式</w:t>
            </w:r>
          </w:p>
        </w:tc>
        <w:tc>
          <w:tcPr>
            <w:tcW w:type="dxa" w:w="3091"/>
          </w:tcPr>
          <w:p>
            <w:r/>
            <w:r>
              <w:rPr>
                <w:rFonts w:ascii="宋体" w:hAnsi="宋体" w:eastAsia="宋体"/>
                <w:b w:val="0"/>
                <w:sz w:val="20"/>
              </w:rPr>
              <w:t>部署方案、预算测算</w:t>
            </w:r>
          </w:p>
        </w:tc>
      </w:tr>
      <w:tr>
        <w:tc>
          <w:tcPr>
            <w:tcW w:type="dxa" w:w="3091"/>
          </w:tcPr>
          <w:p>
            <w:r/>
            <w:r>
              <w:rPr>
                <w:rFonts w:ascii="宋体" w:hAnsi="宋体" w:eastAsia="宋体"/>
                <w:b w:val="0"/>
                <w:sz w:val="20"/>
              </w:rPr>
              <w:t>试点运行</w:t>
            </w:r>
          </w:p>
        </w:tc>
        <w:tc>
          <w:tcPr>
            <w:tcW w:type="dxa" w:w="3091"/>
          </w:tcPr>
          <w:p>
            <w:r/>
            <w:r>
              <w:rPr>
                <w:rFonts w:ascii="宋体" w:hAnsi="宋体" w:eastAsia="宋体"/>
                <w:b w:val="0"/>
                <w:sz w:val="20"/>
              </w:rPr>
              <w:t>小范围运行，记录异常和用户反馈</w:t>
            </w:r>
          </w:p>
        </w:tc>
        <w:tc>
          <w:tcPr>
            <w:tcW w:type="dxa" w:w="3091"/>
          </w:tcPr>
          <w:p>
            <w:r/>
            <w:r>
              <w:rPr>
                <w:rFonts w:ascii="宋体" w:hAnsi="宋体" w:eastAsia="宋体"/>
                <w:b w:val="0"/>
                <w:sz w:val="20"/>
              </w:rPr>
              <w:t>试点记录、优化建议</w:t>
            </w:r>
          </w:p>
        </w:tc>
      </w:tr>
      <w:tr>
        <w:tc>
          <w:tcPr>
            <w:tcW w:type="dxa" w:w="3091"/>
          </w:tcPr>
          <w:p>
            <w:r/>
            <w:r>
              <w:rPr>
                <w:rFonts w:ascii="宋体" w:hAnsi="宋体" w:eastAsia="宋体"/>
                <w:b w:val="0"/>
                <w:sz w:val="20"/>
              </w:rPr>
              <w:t>正式交付</w:t>
            </w:r>
          </w:p>
        </w:tc>
        <w:tc>
          <w:tcPr>
            <w:tcW w:type="dxa" w:w="3091"/>
          </w:tcPr>
          <w:p>
            <w:r/>
            <w:r>
              <w:rPr>
                <w:rFonts w:ascii="宋体" w:hAnsi="宋体" w:eastAsia="宋体"/>
                <w:b w:val="0"/>
                <w:sz w:val="20"/>
              </w:rPr>
              <w:t>部署平台、培训人员、提供运维支持</w:t>
            </w:r>
          </w:p>
        </w:tc>
        <w:tc>
          <w:tcPr>
            <w:tcW w:type="dxa" w:w="3091"/>
          </w:tcPr>
          <w:p>
            <w:r/>
            <w:r>
              <w:rPr>
                <w:rFonts w:ascii="宋体" w:hAnsi="宋体" w:eastAsia="宋体"/>
                <w:b w:val="0"/>
                <w:sz w:val="20"/>
              </w:rPr>
              <w:t>系统账号、操作手册、运维方案</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C.2 客户交付清单</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交付模块</w:t>
            </w:r>
          </w:p>
        </w:tc>
        <w:tc>
          <w:tcPr>
            <w:tcW w:type="dxa" w:w="3091"/>
          </w:tcPr>
          <w:p>
            <w:pPr>
              <w:jc w:val="center"/>
            </w:pPr>
            <w:r/>
            <w:r>
              <w:rPr>
                <w:rFonts w:ascii="宋体" w:hAnsi="宋体" w:eastAsia="宋体"/>
                <w:b/>
                <w:sz w:val="21"/>
              </w:rPr>
              <w:t>内容</w:t>
            </w:r>
          </w:p>
        </w:tc>
        <w:tc>
          <w:tcPr>
            <w:tcW w:type="dxa" w:w="3091"/>
          </w:tcPr>
          <w:p>
            <w:pPr>
              <w:jc w:val="center"/>
            </w:pPr>
            <w:r/>
            <w:r>
              <w:rPr>
                <w:rFonts w:ascii="宋体" w:hAnsi="宋体" w:eastAsia="宋体"/>
                <w:b/>
                <w:sz w:val="21"/>
              </w:rPr>
              <w:t>价值</w:t>
            </w:r>
          </w:p>
        </w:tc>
      </w:tr>
      <w:tr>
        <w:tc>
          <w:tcPr>
            <w:tcW w:type="dxa" w:w="3091"/>
          </w:tcPr>
          <w:p>
            <w:r/>
            <w:r>
              <w:rPr>
                <w:rFonts w:ascii="宋体" w:hAnsi="宋体" w:eastAsia="宋体"/>
                <w:b w:val="0"/>
                <w:sz w:val="20"/>
              </w:rPr>
              <w:t>场景数字化模型</w:t>
            </w:r>
          </w:p>
        </w:tc>
        <w:tc>
          <w:tcPr>
            <w:tcW w:type="dxa" w:w="3091"/>
          </w:tcPr>
          <w:p>
            <w:r/>
            <w:r>
              <w:rPr>
                <w:rFonts w:ascii="宋体" w:hAnsi="宋体" w:eastAsia="宋体"/>
                <w:b w:val="0"/>
                <w:sz w:val="20"/>
              </w:rPr>
              <w:t>总站、路网、终点、时间窗、设备参数</w:t>
            </w:r>
          </w:p>
        </w:tc>
        <w:tc>
          <w:tcPr>
            <w:tcW w:type="dxa" w:w="3091"/>
          </w:tcPr>
          <w:p>
            <w:r/>
            <w:r>
              <w:rPr>
                <w:rFonts w:ascii="宋体" w:hAnsi="宋体" w:eastAsia="宋体"/>
                <w:b w:val="0"/>
                <w:sz w:val="20"/>
              </w:rPr>
              <w:t>让配送场景可计算</w:t>
            </w:r>
          </w:p>
        </w:tc>
      </w:tr>
      <w:tr>
        <w:tc>
          <w:tcPr>
            <w:tcW w:type="dxa" w:w="3091"/>
          </w:tcPr>
          <w:p>
            <w:r/>
            <w:r>
              <w:rPr>
                <w:rFonts w:ascii="宋体" w:hAnsi="宋体" w:eastAsia="宋体"/>
                <w:b w:val="0"/>
                <w:sz w:val="20"/>
              </w:rPr>
              <w:t>候选中继点报告</w:t>
            </w:r>
          </w:p>
        </w:tc>
        <w:tc>
          <w:tcPr>
            <w:tcW w:type="dxa" w:w="3091"/>
          </w:tcPr>
          <w:p>
            <w:r/>
            <w:r>
              <w:rPr>
                <w:rFonts w:ascii="宋体" w:hAnsi="宋体" w:eastAsia="宋体"/>
                <w:b w:val="0"/>
                <w:sz w:val="20"/>
              </w:rPr>
              <w:t>推荐点位、覆盖范围、等待成本、风险等级</w:t>
            </w:r>
          </w:p>
        </w:tc>
        <w:tc>
          <w:tcPr>
            <w:tcW w:type="dxa" w:w="3091"/>
          </w:tcPr>
          <w:p>
            <w:r/>
            <w:r>
              <w:rPr>
                <w:rFonts w:ascii="宋体" w:hAnsi="宋体" w:eastAsia="宋体"/>
                <w:b w:val="0"/>
                <w:sz w:val="20"/>
              </w:rPr>
              <w:t>让起降和回收有依据</w:t>
            </w:r>
          </w:p>
        </w:tc>
      </w:tr>
      <w:tr>
        <w:tc>
          <w:tcPr>
            <w:tcW w:type="dxa" w:w="3091"/>
          </w:tcPr>
          <w:p>
            <w:r/>
            <w:r>
              <w:rPr>
                <w:rFonts w:ascii="宋体" w:hAnsi="宋体" w:eastAsia="宋体"/>
                <w:b w:val="0"/>
                <w:sz w:val="20"/>
              </w:rPr>
              <w:t>调度优化方案</w:t>
            </w:r>
          </w:p>
        </w:tc>
        <w:tc>
          <w:tcPr>
            <w:tcW w:type="dxa" w:w="3091"/>
          </w:tcPr>
          <w:p>
            <w:r/>
            <w:r>
              <w:rPr>
                <w:rFonts w:ascii="宋体" w:hAnsi="宋体" w:eastAsia="宋体"/>
                <w:b w:val="0"/>
                <w:sz w:val="20"/>
              </w:rPr>
              <w:t>订单分配、AGV 路径、UAV 路径、回退预案</w:t>
            </w:r>
          </w:p>
        </w:tc>
        <w:tc>
          <w:tcPr>
            <w:tcW w:type="dxa" w:w="3091"/>
          </w:tcPr>
          <w:p>
            <w:r/>
            <w:r>
              <w:rPr>
                <w:rFonts w:ascii="宋体" w:hAnsi="宋体" w:eastAsia="宋体"/>
                <w:b w:val="0"/>
                <w:sz w:val="20"/>
              </w:rPr>
              <w:t>让运营可执行</w:t>
            </w:r>
          </w:p>
        </w:tc>
      </w:tr>
      <w:tr>
        <w:tc>
          <w:tcPr>
            <w:tcW w:type="dxa" w:w="3091"/>
          </w:tcPr>
          <w:p>
            <w:r/>
            <w:r>
              <w:rPr>
                <w:rFonts w:ascii="宋体" w:hAnsi="宋体" w:eastAsia="宋体"/>
                <w:b w:val="0"/>
                <w:sz w:val="20"/>
              </w:rPr>
              <w:t>绿色运营报告</w:t>
            </w:r>
          </w:p>
        </w:tc>
        <w:tc>
          <w:tcPr>
            <w:tcW w:type="dxa" w:w="3091"/>
          </w:tcPr>
          <w:p>
            <w:r/>
            <w:r>
              <w:rPr>
                <w:rFonts w:ascii="宋体" w:hAnsi="宋体" w:eastAsia="宋体"/>
                <w:b w:val="0"/>
                <w:sz w:val="20"/>
              </w:rPr>
              <w:t>单票能耗、单位距离能耗、碳排测算</w:t>
            </w:r>
          </w:p>
        </w:tc>
        <w:tc>
          <w:tcPr>
            <w:tcW w:type="dxa" w:w="3091"/>
          </w:tcPr>
          <w:p>
            <w:r/>
            <w:r>
              <w:rPr>
                <w:rFonts w:ascii="宋体" w:hAnsi="宋体" w:eastAsia="宋体"/>
                <w:b w:val="0"/>
                <w:sz w:val="20"/>
              </w:rPr>
              <w:t>服务绿色园区和低碳展示</w:t>
            </w:r>
          </w:p>
        </w:tc>
      </w:tr>
      <w:tr>
        <w:tc>
          <w:tcPr>
            <w:tcW w:type="dxa" w:w="3091"/>
          </w:tcPr>
          <w:p>
            <w:r/>
            <w:r>
              <w:rPr>
                <w:rFonts w:ascii="宋体" w:hAnsi="宋体" w:eastAsia="宋体"/>
                <w:b w:val="0"/>
                <w:sz w:val="20"/>
              </w:rPr>
              <w:t>可视化看板</w:t>
            </w:r>
          </w:p>
        </w:tc>
        <w:tc>
          <w:tcPr>
            <w:tcW w:type="dxa" w:w="3091"/>
          </w:tcPr>
          <w:p>
            <w:r/>
            <w:r>
              <w:rPr>
                <w:rFonts w:ascii="宋体" w:hAnsi="宋体" w:eastAsia="宋体"/>
                <w:b w:val="0"/>
                <w:sz w:val="20"/>
              </w:rPr>
              <w:t>完成率、准时率、设备状态、异常订单</w:t>
            </w:r>
          </w:p>
        </w:tc>
        <w:tc>
          <w:tcPr>
            <w:tcW w:type="dxa" w:w="3091"/>
          </w:tcPr>
          <w:p>
            <w:r/>
            <w:r>
              <w:rPr>
                <w:rFonts w:ascii="宋体" w:hAnsi="宋体" w:eastAsia="宋体"/>
                <w:b w:val="0"/>
                <w:sz w:val="20"/>
              </w:rPr>
              <w:t>服务管理决策</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C.3 项目验收指标</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指标</w:t>
            </w:r>
          </w:p>
        </w:tc>
        <w:tc>
          <w:tcPr>
            <w:tcW w:type="dxa" w:w="3091"/>
          </w:tcPr>
          <w:p>
            <w:pPr>
              <w:jc w:val="center"/>
            </w:pPr>
            <w:r/>
            <w:r>
              <w:rPr>
                <w:rFonts w:ascii="宋体" w:hAnsi="宋体" w:eastAsia="宋体"/>
                <w:b/>
                <w:sz w:val="21"/>
              </w:rPr>
              <w:t>目标值</w:t>
            </w:r>
          </w:p>
        </w:tc>
        <w:tc>
          <w:tcPr>
            <w:tcW w:type="dxa" w:w="3091"/>
          </w:tcPr>
          <w:p>
            <w:pPr>
              <w:jc w:val="center"/>
            </w:pPr>
            <w:r/>
            <w:r>
              <w:rPr>
                <w:rFonts w:ascii="宋体" w:hAnsi="宋体" w:eastAsia="宋体"/>
                <w:b/>
                <w:sz w:val="21"/>
              </w:rPr>
              <w:t>验收说明</w:t>
            </w:r>
          </w:p>
        </w:tc>
      </w:tr>
      <w:tr>
        <w:tc>
          <w:tcPr>
            <w:tcW w:type="dxa" w:w="3091"/>
          </w:tcPr>
          <w:p>
            <w:r/>
            <w:r>
              <w:rPr>
                <w:rFonts w:ascii="宋体" w:hAnsi="宋体" w:eastAsia="宋体"/>
                <w:b w:val="0"/>
                <w:sz w:val="20"/>
              </w:rPr>
              <w:t>任务完成率</w:t>
            </w:r>
          </w:p>
        </w:tc>
        <w:tc>
          <w:tcPr>
            <w:tcW w:type="dxa" w:w="3091"/>
          </w:tcPr>
          <w:p>
            <w:r/>
            <w:r>
              <w:rPr>
                <w:rFonts w:ascii="宋体" w:hAnsi="宋体" w:eastAsia="宋体"/>
                <w:b w:val="0"/>
                <w:sz w:val="20"/>
              </w:rPr>
              <w:t>≥ 95%</w:t>
            </w:r>
          </w:p>
        </w:tc>
        <w:tc>
          <w:tcPr>
            <w:tcW w:type="dxa" w:w="3091"/>
          </w:tcPr>
          <w:p>
            <w:r/>
            <w:r>
              <w:rPr>
                <w:rFonts w:ascii="宋体" w:hAnsi="宋体" w:eastAsia="宋体"/>
                <w:b w:val="0"/>
                <w:sz w:val="20"/>
              </w:rPr>
              <w:t>试点订单按时完成比例</w:t>
            </w:r>
          </w:p>
        </w:tc>
      </w:tr>
      <w:tr>
        <w:tc>
          <w:tcPr>
            <w:tcW w:type="dxa" w:w="3091"/>
          </w:tcPr>
          <w:p>
            <w:r/>
            <w:r>
              <w:rPr>
                <w:rFonts w:ascii="宋体" w:hAnsi="宋体" w:eastAsia="宋体"/>
                <w:b w:val="0"/>
                <w:sz w:val="20"/>
              </w:rPr>
              <w:t>准时率</w:t>
            </w:r>
          </w:p>
        </w:tc>
        <w:tc>
          <w:tcPr>
            <w:tcW w:type="dxa" w:w="3091"/>
          </w:tcPr>
          <w:p>
            <w:r/>
            <w:r>
              <w:rPr>
                <w:rFonts w:ascii="宋体" w:hAnsi="宋体" w:eastAsia="宋体"/>
                <w:b w:val="0"/>
                <w:sz w:val="20"/>
              </w:rPr>
              <w:t>≥ 90%</w:t>
            </w:r>
          </w:p>
        </w:tc>
        <w:tc>
          <w:tcPr>
            <w:tcW w:type="dxa" w:w="3091"/>
          </w:tcPr>
          <w:p>
            <w:r/>
            <w:r>
              <w:rPr>
                <w:rFonts w:ascii="宋体" w:hAnsi="宋体" w:eastAsia="宋体"/>
                <w:b w:val="0"/>
                <w:sz w:val="20"/>
              </w:rPr>
              <w:t>在时间窗内完成配送比例</w:t>
            </w:r>
          </w:p>
        </w:tc>
      </w:tr>
      <w:tr>
        <w:tc>
          <w:tcPr>
            <w:tcW w:type="dxa" w:w="3091"/>
          </w:tcPr>
          <w:p>
            <w:r/>
            <w:r>
              <w:rPr>
                <w:rFonts w:ascii="宋体" w:hAnsi="宋体" w:eastAsia="宋体"/>
                <w:b w:val="0"/>
                <w:sz w:val="20"/>
              </w:rPr>
              <w:t>单任务能耗下降</w:t>
            </w:r>
          </w:p>
        </w:tc>
        <w:tc>
          <w:tcPr>
            <w:tcW w:type="dxa" w:w="3091"/>
          </w:tcPr>
          <w:p>
            <w:r/>
            <w:r>
              <w:rPr>
                <w:rFonts w:ascii="宋体" w:hAnsi="宋体" w:eastAsia="宋体"/>
                <w:b w:val="0"/>
                <w:sz w:val="20"/>
              </w:rPr>
              <w:t>≥ 10%</w:t>
            </w:r>
          </w:p>
        </w:tc>
        <w:tc>
          <w:tcPr>
            <w:tcW w:type="dxa" w:w="3091"/>
          </w:tcPr>
          <w:p>
            <w:r/>
            <w:r>
              <w:rPr>
                <w:rFonts w:ascii="宋体" w:hAnsi="宋体" w:eastAsia="宋体"/>
                <w:b w:val="0"/>
                <w:sz w:val="20"/>
              </w:rPr>
              <w:t>相对基线直送策略</w:t>
            </w:r>
          </w:p>
        </w:tc>
      </w:tr>
      <w:tr>
        <w:tc>
          <w:tcPr>
            <w:tcW w:type="dxa" w:w="3091"/>
          </w:tcPr>
          <w:p>
            <w:r/>
            <w:r>
              <w:rPr>
                <w:rFonts w:ascii="宋体" w:hAnsi="宋体" w:eastAsia="宋体"/>
                <w:b w:val="0"/>
                <w:sz w:val="20"/>
              </w:rPr>
              <w:t>异常回退成功率</w:t>
            </w:r>
          </w:p>
        </w:tc>
        <w:tc>
          <w:tcPr>
            <w:tcW w:type="dxa" w:w="3091"/>
          </w:tcPr>
          <w:p>
            <w:r/>
            <w:r>
              <w:rPr>
                <w:rFonts w:ascii="宋体" w:hAnsi="宋体" w:eastAsia="宋体"/>
                <w:b w:val="0"/>
                <w:sz w:val="20"/>
              </w:rPr>
              <w:t>≥ 90%</w:t>
            </w:r>
          </w:p>
        </w:tc>
        <w:tc>
          <w:tcPr>
            <w:tcW w:type="dxa" w:w="3091"/>
          </w:tcPr>
          <w:p>
            <w:r/>
            <w:r>
              <w:rPr>
                <w:rFonts w:ascii="宋体" w:hAnsi="宋体" w:eastAsia="宋体"/>
                <w:b w:val="0"/>
                <w:sz w:val="20"/>
              </w:rPr>
              <w:t>电量不足、点位不可用等情况下重排成功</w:t>
            </w:r>
          </w:p>
        </w:tc>
      </w:tr>
      <w:tr>
        <w:tc>
          <w:tcPr>
            <w:tcW w:type="dxa" w:w="3091"/>
          </w:tcPr>
          <w:p>
            <w:r/>
            <w:r>
              <w:rPr>
                <w:rFonts w:ascii="宋体" w:hAnsi="宋体" w:eastAsia="宋体"/>
                <w:b w:val="0"/>
                <w:sz w:val="20"/>
              </w:rPr>
              <w:t>客户满意度</w:t>
            </w:r>
          </w:p>
        </w:tc>
        <w:tc>
          <w:tcPr>
            <w:tcW w:type="dxa" w:w="3091"/>
          </w:tcPr>
          <w:p>
            <w:r/>
            <w:r>
              <w:rPr>
                <w:rFonts w:ascii="宋体" w:hAnsi="宋体" w:eastAsia="宋体"/>
                <w:b w:val="0"/>
                <w:sz w:val="20"/>
              </w:rPr>
              <w:t>≥ 85%</w:t>
            </w:r>
          </w:p>
        </w:tc>
        <w:tc>
          <w:tcPr>
            <w:tcW w:type="dxa" w:w="3091"/>
          </w:tcPr>
          <w:p>
            <w:r/>
            <w:r>
              <w:rPr>
                <w:rFonts w:ascii="宋体" w:hAnsi="宋体" w:eastAsia="宋体"/>
                <w:b w:val="0"/>
                <w:sz w:val="20"/>
              </w:rPr>
              <w:t>运营方和试用用户反馈</w:t>
            </w:r>
          </w:p>
        </w:tc>
      </w:tr>
    </w:tbl>
    <w:p>
      <w:pPr>
        <w:spacing w:line="300" w:lineRule="auto" w:after="0"/>
        <w:jc w:val="left"/>
      </w:pPr>
      <w:r>
        <w:rPr>
          <w:rFonts w:ascii="宋体" w:hAnsi="宋体" w:eastAsia="宋体"/>
          <w:b w:val="0"/>
          <w:sz w:val="24"/>
        </w:rPr>
      </w:r>
    </w:p>
    <w:p>
      <w:r>
        <w:br w:type="page"/>
      </w:r>
    </w:p>
    <w:p>
      <w:pPr>
        <w:pStyle w:val="Heading1"/>
        <w:jc w:val="center"/>
      </w:pPr>
      <w:r>
        <w:rPr>
          <w:rFonts w:ascii="黑体" w:hAnsi="黑体" w:eastAsia="黑体"/>
          <w:b w:val="0"/>
          <w:sz w:val="32"/>
        </w:rPr>
        <w:t>附录 D 客户访谈假设与路演问答</w:t>
      </w:r>
    </w:p>
    <w:p>
      <w:pPr>
        <w:pStyle w:val="Heading2"/>
        <w:jc w:val="left"/>
      </w:pPr>
      <w:r>
        <w:rPr>
          <w:rFonts w:ascii="黑体" w:hAnsi="黑体" w:eastAsia="黑体"/>
          <w:b w:val="0"/>
          <w:sz w:val="28"/>
        </w:rPr>
        <w:t>D.1 客户访谈假设</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访谈对象</w:t>
            </w:r>
          </w:p>
        </w:tc>
        <w:tc>
          <w:tcPr>
            <w:tcW w:type="dxa" w:w="3091"/>
          </w:tcPr>
          <w:p>
            <w:pPr>
              <w:jc w:val="center"/>
            </w:pPr>
            <w:r/>
            <w:r>
              <w:rPr>
                <w:rFonts w:ascii="宋体" w:hAnsi="宋体" w:eastAsia="宋体"/>
                <w:b/>
                <w:sz w:val="21"/>
              </w:rPr>
              <w:t>可能关注点</w:t>
            </w:r>
          </w:p>
        </w:tc>
        <w:tc>
          <w:tcPr>
            <w:tcW w:type="dxa" w:w="3091"/>
          </w:tcPr>
          <w:p>
            <w:pPr>
              <w:jc w:val="center"/>
            </w:pPr>
            <w:r/>
            <w:r>
              <w:rPr>
                <w:rFonts w:ascii="宋体" w:hAnsi="宋体" w:eastAsia="宋体"/>
                <w:b/>
                <w:sz w:val="21"/>
              </w:rPr>
              <w:t>项目回应</w:t>
            </w:r>
          </w:p>
        </w:tc>
      </w:tr>
      <w:tr>
        <w:tc>
          <w:tcPr>
            <w:tcW w:type="dxa" w:w="3091"/>
          </w:tcPr>
          <w:p>
            <w:r/>
            <w:r>
              <w:rPr>
                <w:rFonts w:ascii="宋体" w:hAnsi="宋体" w:eastAsia="宋体"/>
                <w:b w:val="0"/>
                <w:sz w:val="20"/>
              </w:rPr>
              <w:t>校园后勤负责人</w:t>
            </w:r>
          </w:p>
        </w:tc>
        <w:tc>
          <w:tcPr>
            <w:tcW w:type="dxa" w:w="3091"/>
          </w:tcPr>
          <w:p>
            <w:r/>
            <w:r>
              <w:rPr>
                <w:rFonts w:ascii="宋体" w:hAnsi="宋体" w:eastAsia="宋体"/>
                <w:b w:val="0"/>
                <w:sz w:val="20"/>
              </w:rPr>
              <w:t>安全怎么保证？会不会扰民？</w:t>
            </w:r>
          </w:p>
        </w:tc>
        <w:tc>
          <w:tcPr>
            <w:tcW w:type="dxa" w:w="3091"/>
          </w:tcPr>
          <w:p>
            <w:r/>
            <w:r>
              <w:rPr>
                <w:rFonts w:ascii="宋体" w:hAnsi="宋体" w:eastAsia="宋体"/>
                <w:b w:val="0"/>
                <w:sz w:val="20"/>
              </w:rPr>
              <w:t>先做仿真和半封闭路线，真实运行与合规硬件厂商合作</w:t>
            </w:r>
          </w:p>
        </w:tc>
      </w:tr>
      <w:tr>
        <w:tc>
          <w:tcPr>
            <w:tcW w:type="dxa" w:w="3091"/>
          </w:tcPr>
          <w:p>
            <w:r/>
            <w:r>
              <w:rPr>
                <w:rFonts w:ascii="宋体" w:hAnsi="宋体" w:eastAsia="宋体"/>
                <w:b w:val="0"/>
                <w:sz w:val="20"/>
              </w:rPr>
              <w:t>园区运营方</w:t>
            </w:r>
          </w:p>
        </w:tc>
        <w:tc>
          <w:tcPr>
            <w:tcW w:type="dxa" w:w="3091"/>
          </w:tcPr>
          <w:p>
            <w:r/>
            <w:r>
              <w:rPr>
                <w:rFonts w:ascii="宋体" w:hAnsi="宋体" w:eastAsia="宋体"/>
                <w:b w:val="0"/>
                <w:sz w:val="20"/>
              </w:rPr>
              <w:t>投入设备后多久回本？</w:t>
            </w:r>
          </w:p>
        </w:tc>
        <w:tc>
          <w:tcPr>
            <w:tcW w:type="dxa" w:w="3091"/>
          </w:tcPr>
          <w:p>
            <w:r/>
            <w:r>
              <w:rPr>
                <w:rFonts w:ascii="宋体" w:hAnsi="宋体" w:eastAsia="宋体"/>
                <w:b w:val="0"/>
                <w:sz w:val="20"/>
              </w:rPr>
              <w:t>先用平台测算订单规模、设备数量和单票成本，再决定部署</w:t>
            </w:r>
          </w:p>
        </w:tc>
      </w:tr>
      <w:tr>
        <w:tc>
          <w:tcPr>
            <w:tcW w:type="dxa" w:w="3091"/>
          </w:tcPr>
          <w:p>
            <w:r/>
            <w:r>
              <w:rPr>
                <w:rFonts w:ascii="宋体" w:hAnsi="宋体" w:eastAsia="宋体"/>
                <w:b w:val="0"/>
                <w:sz w:val="20"/>
              </w:rPr>
              <w:t>硬件厂商</w:t>
            </w:r>
          </w:p>
        </w:tc>
        <w:tc>
          <w:tcPr>
            <w:tcW w:type="dxa" w:w="3091"/>
          </w:tcPr>
          <w:p>
            <w:r/>
            <w:r>
              <w:rPr>
                <w:rFonts w:ascii="宋体" w:hAnsi="宋体" w:eastAsia="宋体"/>
                <w:b w:val="0"/>
                <w:sz w:val="20"/>
              </w:rPr>
              <w:t>你们和我们有什么互补？</w:t>
            </w:r>
          </w:p>
        </w:tc>
        <w:tc>
          <w:tcPr>
            <w:tcW w:type="dxa" w:w="3091"/>
          </w:tcPr>
          <w:p>
            <w:r/>
            <w:r>
              <w:rPr>
                <w:rFonts w:ascii="宋体" w:hAnsi="宋体" w:eastAsia="宋体"/>
                <w:b w:val="0"/>
                <w:sz w:val="20"/>
              </w:rPr>
              <w:t>厂商提供 UAV/AGV，团队提供调度大脑和运营看板</w:t>
            </w:r>
          </w:p>
        </w:tc>
      </w:tr>
      <w:tr>
        <w:tc>
          <w:tcPr>
            <w:tcW w:type="dxa" w:w="3091"/>
          </w:tcPr>
          <w:p>
            <w:r/>
            <w:r>
              <w:rPr>
                <w:rFonts w:ascii="宋体" w:hAnsi="宋体" w:eastAsia="宋体"/>
                <w:b w:val="0"/>
                <w:sz w:val="20"/>
              </w:rPr>
              <w:t>投资人/评委</w:t>
            </w:r>
          </w:p>
        </w:tc>
        <w:tc>
          <w:tcPr>
            <w:tcW w:type="dxa" w:w="3091"/>
          </w:tcPr>
          <w:p>
            <w:r/>
            <w:r>
              <w:rPr>
                <w:rFonts w:ascii="宋体" w:hAnsi="宋体" w:eastAsia="宋体"/>
                <w:b w:val="0"/>
                <w:sz w:val="20"/>
              </w:rPr>
              <w:t>大学生团队能不能做成？</w:t>
            </w:r>
          </w:p>
        </w:tc>
        <w:tc>
          <w:tcPr>
            <w:tcW w:type="dxa" w:w="3091"/>
          </w:tcPr>
          <w:p>
            <w:r/>
            <w:r>
              <w:rPr>
                <w:rFonts w:ascii="宋体" w:hAnsi="宋体" w:eastAsia="宋体"/>
                <w:b w:val="0"/>
                <w:sz w:val="20"/>
              </w:rPr>
              <w:t>先轻资产软件切入，已有仿真系统和阶段数据，降低启动难度</w:t>
            </w:r>
          </w:p>
        </w:tc>
      </w:tr>
    </w:tbl>
    <w:p>
      <w:pPr>
        <w:spacing w:line="300" w:lineRule="auto" w:after="0"/>
        <w:jc w:val="left"/>
      </w:pPr>
      <w:r>
        <w:rPr>
          <w:rFonts w:ascii="宋体" w:hAnsi="宋体" w:eastAsia="宋体"/>
          <w:b w:val="0"/>
          <w:sz w:val="24"/>
        </w:rPr>
      </w:r>
    </w:p>
    <w:p>
      <w:pPr>
        <w:pStyle w:val="Heading2"/>
        <w:jc w:val="left"/>
      </w:pPr>
      <w:r>
        <w:rPr>
          <w:rFonts w:ascii="黑体" w:hAnsi="黑体" w:eastAsia="黑体"/>
          <w:b w:val="0"/>
          <w:sz w:val="28"/>
        </w:rPr>
        <w:t>D.2 路演高频问题</w:t>
      </w:r>
    </w:p>
    <w:p>
      <w:pPr>
        <w:pStyle w:val="Heading2"/>
        <w:jc w:val="left"/>
      </w:pPr>
      <w:r>
        <w:rPr>
          <w:rFonts w:ascii="黑体" w:hAnsi="黑体" w:eastAsia="黑体"/>
          <w:b w:val="0"/>
          <w:sz w:val="28"/>
        </w:rPr>
        <w:t>问题一：为什么不是纯无人机？</w:t>
      </w:r>
    </w:p>
    <w:p>
      <w:pPr>
        <w:spacing w:line="300" w:lineRule="auto" w:after="0"/>
        <w:ind w:firstLine="480"/>
        <w:jc w:val="left"/>
      </w:pPr>
      <w:r>
        <w:rPr>
          <w:rFonts w:ascii="宋体" w:hAnsi="宋体" w:eastAsia="宋体"/>
          <w:b w:val="0"/>
          <w:sz w:val="24"/>
        </w:rPr>
        <w:t>纯无人机速度快，但续航、载重、回收和监管约束强。AGV 移动中继可以缩短 UAV 飞行半径，降低返航压力，提高设备周转。</w:t>
      </w:r>
    </w:p>
    <w:p>
      <w:pPr>
        <w:pStyle w:val="Heading2"/>
        <w:jc w:val="left"/>
      </w:pPr>
      <w:r>
        <w:rPr>
          <w:rFonts w:ascii="黑体" w:hAnsi="黑体" w:eastAsia="黑体"/>
          <w:b w:val="0"/>
          <w:sz w:val="28"/>
        </w:rPr>
        <w:t>问题二：为什么不是纯无人车？</w:t>
      </w:r>
    </w:p>
    <w:p>
      <w:pPr>
        <w:spacing w:line="300" w:lineRule="auto" w:after="0"/>
        <w:ind w:firstLine="480"/>
        <w:jc w:val="left"/>
      </w:pPr>
      <w:r>
        <w:rPr>
          <w:rFonts w:ascii="宋体" w:hAnsi="宋体" w:eastAsia="宋体"/>
          <w:b w:val="0"/>
          <w:sz w:val="24"/>
        </w:rPr>
        <w:t>纯无人车安全可控，但受路网绕行影响，末端效率有限。UAV 承担空中末端，能提升触达效率和示范价值。</w:t>
      </w:r>
    </w:p>
    <w:p>
      <w:pPr>
        <w:pStyle w:val="Heading2"/>
        <w:jc w:val="left"/>
      </w:pPr>
      <w:r>
        <w:rPr>
          <w:rFonts w:ascii="黑体" w:hAnsi="黑体" w:eastAsia="黑体"/>
          <w:b w:val="0"/>
          <w:sz w:val="28"/>
        </w:rPr>
        <w:t>问题三：项目现在有没有真实客户？</w:t>
      </w:r>
    </w:p>
    <w:p>
      <w:pPr>
        <w:spacing w:line="300" w:lineRule="auto" w:after="0"/>
        <w:ind w:firstLine="480"/>
        <w:jc w:val="left"/>
      </w:pPr>
      <w:r>
        <w:rPr>
          <w:rFonts w:ascii="宋体" w:hAnsi="宋体" w:eastAsia="宋体"/>
          <w:b w:val="0"/>
          <w:sz w:val="24"/>
        </w:rPr>
        <w:t>当前处于创意组和原型阶段，尚未宣称已签约客户。商业计划采用种子用户测试路径，优先从校内和周边园区试点切入。</w:t>
      </w:r>
    </w:p>
    <w:p>
      <w:pPr>
        <w:pStyle w:val="Heading2"/>
        <w:jc w:val="left"/>
      </w:pPr>
      <w:r>
        <w:rPr>
          <w:rFonts w:ascii="黑体" w:hAnsi="黑体" w:eastAsia="黑体"/>
          <w:b w:val="0"/>
          <w:sz w:val="28"/>
        </w:rPr>
        <w:t>问题四：财务预测是否可靠？</w:t>
      </w:r>
    </w:p>
    <w:p>
      <w:pPr>
        <w:spacing w:line="300" w:lineRule="auto" w:after="0"/>
        <w:ind w:firstLine="480"/>
        <w:jc w:val="left"/>
      </w:pPr>
      <w:r>
        <w:rPr>
          <w:rFonts w:ascii="宋体" w:hAnsi="宋体" w:eastAsia="宋体"/>
          <w:b w:val="0"/>
          <w:sz w:val="24"/>
        </w:rPr>
        <w:t>三年预测基于保守场景假设，包括平台授权、仿真评估、项目交付和按单 SaaS 收入，后续会用试点数据修正。</w:t>
      </w:r>
    </w:p>
    <w:p>
      <w:pPr>
        <w:pStyle w:val="Heading2"/>
        <w:jc w:val="left"/>
      </w:pPr>
      <w:r>
        <w:rPr>
          <w:rFonts w:ascii="黑体" w:hAnsi="黑体" w:eastAsia="黑体"/>
          <w:b w:val="0"/>
          <w:sz w:val="28"/>
        </w:rPr>
        <w:t>问题五：团队年级低是不是风险？</w:t>
      </w:r>
    </w:p>
    <w:p>
      <w:pPr>
        <w:spacing w:line="300" w:lineRule="auto" w:after="0"/>
        <w:ind w:firstLine="480"/>
        <w:jc w:val="left"/>
      </w:pPr>
      <w:r>
        <w:rPr>
          <w:rFonts w:ascii="宋体" w:hAnsi="宋体" w:eastAsia="宋体"/>
          <w:b w:val="0"/>
          <w:sz w:val="24"/>
        </w:rPr>
        <w:t>年级低意味着经验不足，但也意味着学习周期长、执行时间长。团队已完成仿真原型和多轮商业材料迭代，在导师指导下具备持续推进能力。</w:t>
      </w:r>
    </w:p>
    <w:p>
      <w:r>
        <w:br w:type="page"/>
      </w:r>
    </w:p>
    <w:p>
      <w:pPr>
        <w:pStyle w:val="Heading1"/>
        <w:jc w:val="center"/>
      </w:pPr>
      <w:r>
        <w:rPr>
          <w:rFonts w:ascii="黑体" w:hAnsi="黑体" w:eastAsia="黑体"/>
          <w:b w:val="0"/>
          <w:sz w:val="32"/>
        </w:rPr>
        <w:t>附录 E 资料来源与后续补充清单</w:t>
      </w:r>
    </w:p>
    <w:p>
      <w:pPr>
        <w:pStyle w:val="Heading2"/>
        <w:jc w:val="left"/>
      </w:pPr>
      <w:r>
        <w:rPr>
          <w:rFonts w:ascii="黑体" w:hAnsi="黑体" w:eastAsia="黑体"/>
          <w:b w:val="0"/>
          <w:sz w:val="28"/>
        </w:rPr>
        <w:t>E.1 已参考资料方向</w:t>
      </w:r>
    </w:p>
    <w:p>
      <w:pPr>
        <w:pStyle w:val="ListBullet"/>
      </w:pPr>
      <w:r>
        <w:rPr>
          <w:rFonts w:ascii="宋体" w:hAnsi="宋体" w:eastAsia="宋体"/>
          <w:b w:val="0"/>
          <w:sz w:val="24"/>
        </w:rPr>
        <w:t>中国国际大学生创新大赛高教主赛道评审规则：强调专业知识、商业知识、行业知识和组织能力。</w:t>
      </w:r>
    </w:p>
    <w:p>
      <w:pPr>
        <w:pStyle w:val="ListBullet"/>
      </w:pPr>
      <w:r>
        <w:rPr>
          <w:rFonts w:ascii="宋体" w:hAnsi="宋体" w:eastAsia="宋体"/>
          <w:b w:val="0"/>
          <w:sz w:val="24"/>
        </w:rPr>
        <w:t>教育部关于中国国际大学生创新大赛的通知和各高校发布的评审规则。</w:t>
      </w:r>
    </w:p>
    <w:p>
      <w:pPr>
        <w:pStyle w:val="ListBullet"/>
      </w:pPr>
      <w:r>
        <w:rPr>
          <w:rFonts w:ascii="宋体" w:hAnsi="宋体" w:eastAsia="宋体"/>
          <w:b w:val="0"/>
          <w:sz w:val="24"/>
        </w:rPr>
        <w:t>民航局、地方政府和行业公开资料中关于低空经济、低空物流、无人配送试点和低空基础设施建设的政策信息。</w:t>
      </w:r>
    </w:p>
    <w:p>
      <w:pPr>
        <w:pStyle w:val="ListBullet"/>
      </w:pPr>
      <w:r>
        <w:rPr>
          <w:rFonts w:ascii="宋体" w:hAnsi="宋体" w:eastAsia="宋体"/>
          <w:b w:val="0"/>
          <w:sz w:val="24"/>
        </w:rPr>
        <w:t>本项目现有 README、技术路线、实验矩阵、策略对比结果和可视化图表。</w:t>
      </w:r>
    </w:p>
    <w:p>
      <w:pPr>
        <w:pStyle w:val="Heading2"/>
        <w:jc w:val="left"/>
      </w:pPr>
      <w:r>
        <w:rPr>
          <w:rFonts w:ascii="黑体" w:hAnsi="黑体" w:eastAsia="黑体"/>
          <w:b w:val="0"/>
          <w:sz w:val="28"/>
        </w:rPr>
        <w:t>E.2 后续建议补充资料</w:t>
      </w:r>
    </w:p>
    <w:tbl>
      <w:tblPr>
        <w:tblStyle w:val="TableGrid"/>
        <w:tblW w:type="auto" w:w="0"/>
        <w:tblLook w:firstColumn="1" w:firstRow="1" w:lastColumn="0" w:lastRow="0" w:noHBand="0" w:noVBand="1" w:val="04A0"/>
      </w:tblPr>
      <w:tblGrid>
        <w:gridCol w:w="3091"/>
        <w:gridCol w:w="3091"/>
        <w:gridCol w:w="3091"/>
      </w:tblGrid>
      <w:tr>
        <w:tc>
          <w:tcPr>
            <w:tcW w:type="dxa" w:w="3091"/>
          </w:tcPr>
          <w:p>
            <w:pPr>
              <w:jc w:val="center"/>
            </w:pPr>
            <w:r/>
            <w:r>
              <w:rPr>
                <w:rFonts w:ascii="宋体" w:hAnsi="宋体" w:eastAsia="宋体"/>
                <w:b/>
                <w:sz w:val="21"/>
              </w:rPr>
              <w:t>资料</w:t>
            </w:r>
          </w:p>
        </w:tc>
        <w:tc>
          <w:tcPr>
            <w:tcW w:type="dxa" w:w="3091"/>
          </w:tcPr>
          <w:p>
            <w:pPr>
              <w:jc w:val="center"/>
            </w:pPr>
            <w:r/>
            <w:r>
              <w:rPr>
                <w:rFonts w:ascii="宋体" w:hAnsi="宋体" w:eastAsia="宋体"/>
                <w:b/>
                <w:sz w:val="21"/>
              </w:rPr>
              <w:t>用途</w:t>
            </w:r>
          </w:p>
        </w:tc>
        <w:tc>
          <w:tcPr>
            <w:tcW w:type="dxa" w:w="3091"/>
          </w:tcPr>
          <w:p>
            <w:pPr>
              <w:jc w:val="center"/>
            </w:pPr>
            <w:r/>
            <w:r>
              <w:rPr>
                <w:rFonts w:ascii="宋体" w:hAnsi="宋体" w:eastAsia="宋体"/>
                <w:b/>
                <w:sz w:val="21"/>
              </w:rPr>
              <w:t>优先级</w:t>
            </w:r>
          </w:p>
        </w:tc>
      </w:tr>
      <w:tr>
        <w:tc>
          <w:tcPr>
            <w:tcW w:type="dxa" w:w="3091"/>
          </w:tcPr>
          <w:p>
            <w:r/>
            <w:r>
              <w:rPr>
                <w:rFonts w:ascii="宋体" w:hAnsi="宋体" w:eastAsia="宋体"/>
                <w:b w:val="0"/>
                <w:sz w:val="20"/>
              </w:rPr>
              <w:t>团队成员姓名和分工</w:t>
            </w:r>
          </w:p>
        </w:tc>
        <w:tc>
          <w:tcPr>
            <w:tcW w:type="dxa" w:w="3091"/>
          </w:tcPr>
          <w:p>
            <w:r/>
            <w:r>
              <w:rPr>
                <w:rFonts w:ascii="宋体" w:hAnsi="宋体" w:eastAsia="宋体"/>
                <w:b w:val="0"/>
                <w:sz w:val="20"/>
              </w:rPr>
              <w:t>完善封面和团队章节</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导师简介</w:t>
            </w:r>
          </w:p>
        </w:tc>
        <w:tc>
          <w:tcPr>
            <w:tcW w:type="dxa" w:w="3091"/>
          </w:tcPr>
          <w:p>
            <w:r/>
            <w:r>
              <w:rPr>
                <w:rFonts w:ascii="宋体" w:hAnsi="宋体" w:eastAsia="宋体"/>
                <w:b w:val="0"/>
                <w:sz w:val="20"/>
              </w:rPr>
              <w:t>增强项目可信度</w:t>
            </w:r>
          </w:p>
        </w:tc>
        <w:tc>
          <w:tcPr>
            <w:tcW w:type="dxa" w:w="3091"/>
          </w:tcPr>
          <w:p>
            <w:r/>
            <w:r>
              <w:rPr>
                <w:rFonts w:ascii="宋体" w:hAnsi="宋体" w:eastAsia="宋体"/>
                <w:b w:val="0"/>
                <w:sz w:val="20"/>
              </w:rPr>
              <w:t>中</w:t>
            </w:r>
          </w:p>
        </w:tc>
      </w:tr>
      <w:tr>
        <w:tc>
          <w:tcPr>
            <w:tcW w:type="dxa" w:w="3091"/>
          </w:tcPr>
          <w:p>
            <w:r/>
            <w:r>
              <w:rPr>
                <w:rFonts w:ascii="宋体" w:hAnsi="宋体" w:eastAsia="宋体"/>
                <w:b w:val="0"/>
                <w:sz w:val="20"/>
              </w:rPr>
              <w:t>校内场景地图或路线</w:t>
            </w:r>
          </w:p>
        </w:tc>
        <w:tc>
          <w:tcPr>
            <w:tcW w:type="dxa" w:w="3091"/>
          </w:tcPr>
          <w:p>
            <w:r/>
            <w:r>
              <w:rPr>
                <w:rFonts w:ascii="宋体" w:hAnsi="宋体" w:eastAsia="宋体"/>
                <w:b w:val="0"/>
                <w:sz w:val="20"/>
              </w:rPr>
              <w:t>制作真实试点图</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潜在客户访谈记录</w:t>
            </w:r>
          </w:p>
        </w:tc>
        <w:tc>
          <w:tcPr>
            <w:tcW w:type="dxa" w:w="3091"/>
          </w:tcPr>
          <w:p>
            <w:r/>
            <w:r>
              <w:rPr>
                <w:rFonts w:ascii="宋体" w:hAnsi="宋体" w:eastAsia="宋体"/>
                <w:b w:val="0"/>
                <w:sz w:val="20"/>
              </w:rPr>
              <w:t>支撑商业真实性</w:t>
            </w:r>
          </w:p>
        </w:tc>
        <w:tc>
          <w:tcPr>
            <w:tcW w:type="dxa" w:w="3091"/>
          </w:tcPr>
          <w:p>
            <w:r/>
            <w:r>
              <w:rPr>
                <w:rFonts w:ascii="宋体" w:hAnsi="宋体" w:eastAsia="宋体"/>
                <w:b w:val="0"/>
                <w:sz w:val="20"/>
              </w:rPr>
              <w:t>高</w:t>
            </w:r>
          </w:p>
        </w:tc>
      </w:tr>
      <w:tr>
        <w:tc>
          <w:tcPr>
            <w:tcW w:type="dxa" w:w="3091"/>
          </w:tcPr>
          <w:p>
            <w:r/>
            <w:r>
              <w:rPr>
                <w:rFonts w:ascii="宋体" w:hAnsi="宋体" w:eastAsia="宋体"/>
                <w:b w:val="0"/>
                <w:sz w:val="20"/>
              </w:rPr>
              <w:t>软著/专利计划</w:t>
            </w:r>
          </w:p>
        </w:tc>
        <w:tc>
          <w:tcPr>
            <w:tcW w:type="dxa" w:w="3091"/>
          </w:tcPr>
          <w:p>
            <w:r/>
            <w:r>
              <w:rPr>
                <w:rFonts w:ascii="宋体" w:hAnsi="宋体" w:eastAsia="宋体"/>
                <w:b w:val="0"/>
                <w:sz w:val="20"/>
              </w:rPr>
              <w:t>增强技术壁垒</w:t>
            </w:r>
          </w:p>
        </w:tc>
        <w:tc>
          <w:tcPr>
            <w:tcW w:type="dxa" w:w="3091"/>
          </w:tcPr>
          <w:p>
            <w:r/>
            <w:r>
              <w:rPr>
                <w:rFonts w:ascii="宋体" w:hAnsi="宋体" w:eastAsia="宋体"/>
                <w:b w:val="0"/>
                <w:sz w:val="20"/>
              </w:rPr>
              <w:t>中</w:t>
            </w:r>
          </w:p>
        </w:tc>
      </w:tr>
      <w:tr>
        <w:tc>
          <w:tcPr>
            <w:tcW w:type="dxa" w:w="3091"/>
          </w:tcPr>
          <w:p>
            <w:r/>
            <w:r>
              <w:rPr>
                <w:rFonts w:ascii="宋体" w:hAnsi="宋体" w:eastAsia="宋体"/>
                <w:b w:val="0"/>
                <w:sz w:val="20"/>
              </w:rPr>
              <w:t>路演 PPT 和演示视频</w:t>
            </w:r>
          </w:p>
        </w:tc>
        <w:tc>
          <w:tcPr>
            <w:tcW w:type="dxa" w:w="3091"/>
          </w:tcPr>
          <w:p>
            <w:r/>
            <w:r>
              <w:rPr>
                <w:rFonts w:ascii="宋体" w:hAnsi="宋体" w:eastAsia="宋体"/>
                <w:b w:val="0"/>
                <w:sz w:val="20"/>
              </w:rPr>
              <w:t>提升比赛展示效果</w:t>
            </w:r>
          </w:p>
        </w:tc>
        <w:tc>
          <w:tcPr>
            <w:tcW w:type="dxa" w:w="3091"/>
          </w:tcPr>
          <w:p>
            <w:r/>
            <w:r>
              <w:rPr>
                <w:rFonts w:ascii="宋体" w:hAnsi="宋体" w:eastAsia="宋体"/>
                <w:b w:val="0"/>
                <w:sz w:val="20"/>
              </w:rPr>
              <w:t>高</w:t>
            </w:r>
          </w:p>
        </w:tc>
      </w:tr>
    </w:tbl>
    <w:p>
      <w:pPr>
        <w:spacing w:line="300" w:lineRule="auto" w:after="0"/>
        <w:jc w:val="left"/>
      </w:pPr>
      <w:r>
        <w:rPr>
          <w:rFonts w:ascii="宋体" w:hAnsi="宋体" w:eastAsia="宋体"/>
          <w:b w:val="0"/>
          <w:sz w:val="24"/>
        </w:rPr>
      </w:r>
    </w:p>
    <w:p>
      <w:pPr>
        <w:spacing w:line="300" w:lineRule="auto" w:after="0"/>
        <w:ind w:firstLine="480"/>
        <w:jc w:val="left"/>
      </w:pPr>
      <w:r>
        <w:rPr>
          <w:rFonts w:ascii="宋体" w:hAnsi="宋体" w:eastAsia="宋体"/>
          <w:b w:val="0"/>
          <w:sz w:val="24"/>
        </w:rPr>
        <w:t>至此，本商业计划书已形成“政策窗口—行业痛点—产品方案—商业模式—财务预测—团队能力—实施路径”的完整闭环。后续若能补充真实访谈、校内路线和演示视频，项目可信度将进一步提升。</w:t>
      </w:r>
    </w:p>
    <w:sectPr w:rsidR="00FC693F" w:rsidRPr="0006063C" w:rsidSect="00034616">
      <w:headerReference w:type="default" r:id="rId9"/>
      <w:pgSz w:w="12240" w:h="15840"/>
      <w:pgMar w:top="1094" w:right="1483" w:bottom="1008" w:left="1483"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000000"/>
        <w:sz w:val="21"/>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黑体" w:hAnsi="黑体" w:eastAsia="黑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黑体" w:hAnsi="黑体" w:eastAsia="黑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黑体" w:hAnsi="黑体" w:eastAsia="黑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