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交通基础设施绿色化转型项目</w:t>
      </w:r>
    </w:p>
    <w:p>
      <w:pPr>
        <w:jc w:val="center"/>
      </w:pPr>
      <w:r>
        <w:rPr>
          <w:rFonts w:ascii="黑体" w:hAnsi="黑体" w:eastAsia="黑体"/>
          <w:b w:val="0"/>
          <w:sz w:val="28"/>
        </w:rPr>
        <w:t>——河北高速公路分布式光伏交能融合及电动重卡零碳运输示范工程情况汇报（优化版）</w:t>
      </w:r>
    </w:p>
    <w:p/>
    <w:p>
      <w:pPr>
        <w:jc w:val="center"/>
      </w:pPr>
      <w:r>
        <w:rPr>
          <w:rFonts w:ascii="楷体" w:hAnsi="楷体" w:eastAsia="楷体"/>
          <w:b w:val="0"/>
          <w:sz w:val="24"/>
        </w:rPr>
        <w:t>汇报单位：河北交通投资集团有限公司（牵头）</w:t>
      </w:r>
    </w:p>
    <w:p>
      <w:pPr>
        <w:jc w:val="center"/>
      </w:pPr>
      <w:r>
        <w:rPr>
          <w:rFonts w:ascii="楷体" w:hAnsi="楷体" w:eastAsia="楷体"/>
          <w:b w:val="0"/>
          <w:sz w:val="24"/>
        </w:rPr>
        <w:t>统筹方：华能景顺私募基金管理有限公司</w:t>
      </w:r>
    </w:p>
    <w:p>
      <w:pPr>
        <w:jc w:val="center"/>
      </w:pPr>
      <w:r>
        <w:rPr>
          <w:rFonts w:ascii="楷体" w:hAnsi="楷体" w:eastAsia="楷体"/>
          <w:b w:val="0"/>
          <w:sz w:val="24"/>
        </w:rPr>
        <w:t>建设主体：石家庄铧景昱仁新能源科技有限公司、石家庄铧景石能新能源科技有限公司</w:t>
      </w:r>
    </w:p>
    <w:p>
      <w:pPr>
        <w:jc w:val="center"/>
      </w:pPr>
      <w:r>
        <w:rPr>
          <w:rFonts w:ascii="楷体" w:hAnsi="楷体" w:eastAsia="楷体"/>
          <w:b w:val="0"/>
          <w:sz w:val="24"/>
        </w:rPr>
        <w:t>汇报日期：2026年4月</w:t>
      </w:r>
    </w:p>
    <w:p>
      <w:r>
        <w:rPr>
          <w:rFonts w:ascii="楷体" w:hAnsi="楷体" w:eastAsia="楷体"/>
          <w:b w:val="0"/>
          <w:color w:val="505050"/>
          <w:sz w:val="24"/>
        </w:rPr>
        <w:t>说明：本稿为依据《交通强国建设试点申报方向指引（2025年）》及交能融合示范项目4项量化指标，对原《项目汇报》复核优化后的版本。文中标注“本项目测算”的数据为内部测算口径，关键参数见相应表注。</w:t>
      </w:r>
    </w:p>
    <w:p>
      <w:pPr>
        <w:spacing w:line="360" w:lineRule="auto"/>
        <w:ind w:firstLine="560"/>
      </w:pPr>
      <w:r>
        <w:rPr>
          <w:rFonts w:ascii="仿宋" w:hAnsi="仿宋" w:eastAsia="仿宋"/>
          <w:b w:val="0"/>
          <w:sz w:val="28"/>
        </w:rPr>
        <w:t>为深入贯彻落实党中央、国务院关于加快建设交通强国、推进碳达峰碳中和的决策部署，对照《交通强国建设试点申报方向指引（2025年）》（以下简称《2025年指引》）关于“交通基础设施更新提质”“交通运输与能源融合发展”“推动电动重卡充换电设施建设”“公路水路交通基础设施数字化转型升级”“提升公路安全韧性水平”等试点方向，依托河北高速公路沿线分布式光伏资源和重载货运通道基础，拟实施河北高速公路分布式光伏交能融合及电动重卡零碳运输示范工程（以下简称“本项目”）。本项目以高速公路路域分布式光伏为基座，以电动重卡零碳运输为牵引，以高速公路“融合化、安全化、智慧化、绿色化”（以下简称“四化”）同步建设为主线，统筹推进绿电生产、储能调节、综合补能、智慧调度、零碳枢纽打造和运营安全提升，着力形成可复制、可推广的交通基础设施绿色化转型“河北方案”。现将有关情况汇报如下。</w:t>
      </w:r>
    </w:p>
    <w:p>
      <w:r>
        <w:rPr>
          <w:rFonts w:ascii="黑体" w:hAnsi="黑体" w:eastAsia="黑体"/>
          <w:b/>
          <w:sz w:val="30"/>
        </w:rPr>
        <w:t>一、项目基本情况</w:t>
      </w:r>
    </w:p>
    <w:p>
      <w:pPr>
        <w:spacing w:line="360" w:lineRule="auto"/>
        <w:ind w:firstLine="560"/>
      </w:pPr>
      <w:r>
        <w:rPr>
          <w:rFonts w:ascii="仿宋" w:hAnsi="仿宋" w:eastAsia="仿宋"/>
          <w:b w:val="0"/>
          <w:sz w:val="28"/>
        </w:rPr>
        <w:t>本项目依托河北交通投资集团有限公司（以下简称“河北交投”）所属高速公路资源组织实施，涉及张石高速保定段、津石高速廊坊—沧州—保定段、太行山高速邢邯段、京秦高速遵秦段（遵秦高速）等路段，光伏与补能设施覆盖路段合计里程约450公里。项目统筹方为华能景顺私募基金管理有限公司，通过创新性产融结合模式，实现交通基础设施更新的多元化投融资示范。建设主体为石家庄铧景昱仁新能源科技有限公司、石家庄铧景石能新能源科技有限公司。</w:t>
      </w:r>
    </w:p>
    <w:p>
      <w:pPr>
        <w:spacing w:line="360" w:lineRule="auto"/>
        <w:ind w:firstLine="560"/>
      </w:pPr>
      <w:r>
        <w:rPr>
          <w:rFonts w:ascii="仿宋" w:hAnsi="仿宋" w:eastAsia="仿宋"/>
          <w:b w:val="0"/>
          <w:sz w:val="28"/>
        </w:rPr>
        <w:t>项目总投资约10.48亿元，重点围绕沿线边坡、匝道、互通、服务区、收费站、隧道口等可利用空间，建设分布式光伏、储能、充换电、综合能源管理及虚拟电厂等设施，构建“源—网—荷—储—充—运”一体化示范系统。</w:t>
      </w:r>
    </w:p>
    <w:p>
      <w:pPr>
        <w:spacing w:line="360" w:lineRule="auto"/>
        <w:ind w:firstLine="560"/>
      </w:pPr>
      <w:r>
        <w:rPr>
          <w:rFonts w:ascii="仿宋" w:hAnsi="仿宋" w:eastAsia="仿宋"/>
          <w:b w:val="0"/>
          <w:sz w:val="28"/>
        </w:rPr>
        <w:t>项目坚持“按需定源、以荷建储”的逆向规划思路，以满足河北重载货运通道零碳化及高速路网自身降本增效为导向，总体建设内容包括：</w:t>
      </w:r>
    </w:p>
    <w:p>
      <w:pPr>
        <w:spacing w:line="360" w:lineRule="auto"/>
        <w:ind w:firstLine="560"/>
      </w:pPr>
      <w:r>
        <w:rPr>
          <w:rFonts w:ascii="仿宋" w:hAnsi="仿宋" w:eastAsia="仿宋"/>
          <w:b w:val="0"/>
          <w:sz w:val="28"/>
        </w:rPr>
        <w:t>1.零碳补能网络。围绕津石、太行山等主通道，高标准建设重卡充电站6对（12座）、换电站3对（6座）及乘用车充电场站50个，打通单程不低于100公里的零碳重卡运输走廊。</w:t>
      </w:r>
    </w:p>
    <w:p>
      <w:pPr>
        <w:spacing w:line="360" w:lineRule="auto"/>
        <w:ind w:firstLine="560"/>
      </w:pPr>
      <w:r>
        <w:rPr>
          <w:rFonts w:ascii="仿宋" w:hAnsi="仿宋" w:eastAsia="仿宋"/>
          <w:b w:val="0"/>
          <w:sz w:val="28"/>
        </w:rPr>
        <w:t>2.路域绿电与储能基座。为保障上述高功率充换电设施的绿电直供与电网接入安全，并满足服务区、隧道等交通基础设施100%绿电替代，精准匹配并就近建设路域分布式光伏约200MW及配套储能150MWh。其中，已结合张石、津石、太行山、遵秦等高速沿线分三期布局光伏191MWp（一期约62.1MWp、二期约45.67MWp、三期约83.3MWp），已并网约100MW、已投运储能32MWh；其余规模结合场站化改造有序扩展至约200MW、150MWh目标。</w:t>
      </w:r>
    </w:p>
    <w:p>
      <w:pPr>
        <w:spacing w:line="360" w:lineRule="auto"/>
        <w:ind w:firstLine="560"/>
      </w:pPr>
      <w:r>
        <w:rPr>
          <w:rFonts w:ascii="仿宋" w:hAnsi="仿宋" w:eastAsia="仿宋"/>
          <w:b w:val="0"/>
          <w:sz w:val="28"/>
        </w:rPr>
        <w:t>3.智慧调度与多元消纳。通过构建统一综合能源管理平台和虚拟电厂（VPP）体系，实现分布式绿电就地就近消纳、柔性调节和多场景协同运营；在满足交通主业优先消纳的前提下，因地制宜拓展分布式算力、审慎推进绿电制氢/氨/醇等辅助性消纳场景，进一步提升项目综合效益。</w:t>
      </w:r>
    </w:p>
    <w:p>
      <w:r>
        <w:rPr>
          <w:rFonts w:ascii="楷体" w:hAnsi="楷体" w:eastAsia="楷体"/>
          <w:b w:val="0"/>
          <w:color w:val="505050"/>
          <w:sz w:val="24"/>
        </w:rPr>
        <w:t>口径说明：路域分布式光伏规划目标约200MW，是结合后续场站化改造和扩展用地确定的建设上限口径；191MWp为现阶段已落实分期布局的场站规模，二者为“规划目标—现状布局”关系，全文按此统一表述。</w:t>
      </w:r>
    </w:p>
    <w:p>
      <w:r>
        <w:rPr>
          <w:rFonts w:ascii="黑体" w:hAnsi="黑体" w:eastAsia="黑体"/>
          <w:b/>
          <w:sz w:val="30"/>
        </w:rPr>
        <w:t>二、项目对标试点申报方向的匹配性和竞争力</w:t>
      </w:r>
    </w:p>
    <w:p>
      <w:pPr>
        <w:spacing w:line="360" w:lineRule="auto"/>
        <w:ind w:firstLine="560"/>
      </w:pPr>
      <w:r>
        <w:rPr>
          <w:rFonts w:ascii="仿宋" w:hAnsi="仿宋" w:eastAsia="仿宋"/>
          <w:b w:val="0"/>
          <w:sz w:val="28"/>
        </w:rPr>
        <w:t>（一）与“交通基础设施更新提质、推动高速公路‘四化’同步建设”高度契合。本项目不是单一新能源开发项目，而是依托高速公路既有设施更新和功能重塑，推动交通基础设施一次建设、综合提升。融合化方面，统筹路域光伏、储能、充换电、物流组织、数字平台和运营管理；安全化方面，统筹电力保供、设备消防、灾害监测、应急处置和本质安全改造；智慧化方面，建设“源—网—荷—储—充—运”一体化综合能源管理平台、虚拟电厂和碳管理体系；绿色化方面，推进沿线闲置资源开发利用、交通用能清洁替代和重载货运“油改电”，形成近零碳高速公路示范场景。</w:t>
      </w:r>
    </w:p>
    <w:p>
      <w:pPr>
        <w:spacing w:line="360" w:lineRule="auto"/>
        <w:ind w:firstLine="560"/>
      </w:pPr>
      <w:r>
        <w:rPr>
          <w:rFonts w:ascii="仿宋" w:hAnsi="仿宋" w:eastAsia="仿宋"/>
          <w:b w:val="0"/>
          <w:sz w:val="28"/>
        </w:rPr>
        <w:t>（二）与“交通运输与能源融合发展”高度契合。本项目以路域光伏为基础，以储能、微电网、虚拟电厂和综合能源补给站为支撑，系统推进清洁能源就近就地开发利用，推广新能源柔性汇集接入、分布式智能微电网、“源—网—荷—储—充”协同调度等关键技术，符合《2025年指引》建设“（近）零碳交通基础设施”和交能融合示范项目的核心要求。</w:t>
      </w:r>
    </w:p>
    <w:p>
      <w:pPr>
        <w:spacing w:line="360" w:lineRule="auto"/>
        <w:ind w:firstLine="560"/>
      </w:pPr>
      <w:r>
        <w:rPr>
          <w:rFonts w:ascii="仿宋" w:hAnsi="仿宋" w:eastAsia="仿宋"/>
          <w:b w:val="0"/>
          <w:sz w:val="28"/>
        </w:rPr>
        <w:t>（三）与“推动电动重卡充换电设施建设”高度契合。本项目突出以交通主业为牵引，依托具备条件的主通道打造新能源重卡零碳运输示范线路，配套建设“快充+超充+换电”补能网络，引入“换电电池银行”和“新能源重卡综合补能运营服务平台”，形成“绿电发电—绿电补能—零碳运输—碳足迹核算”业务闭环，具备建设跨区域新能源重卡运输廊道的良好基础。</w:t>
      </w:r>
    </w:p>
    <w:p>
      <w:pPr>
        <w:spacing w:line="360" w:lineRule="auto"/>
        <w:ind w:firstLine="560"/>
      </w:pPr>
      <w:r>
        <w:rPr>
          <w:rFonts w:ascii="仿宋" w:hAnsi="仿宋" w:eastAsia="仿宋"/>
          <w:b w:val="0"/>
          <w:sz w:val="28"/>
        </w:rPr>
        <w:t>（四）与“公路基础设施数字化转型升级、服务区高质量发展和安全韧性提升”高度契合。本项目同步推进服务区、收费站、隧道管理站等节点数字化、低碳化改造，强化设备状态监测、能耗监测、充换电调度、灾害预警、应急保供和“一张网”服务能力。</w:t>
      </w:r>
    </w:p>
    <w:p>
      <w:r>
        <w:rPr>
          <w:rFonts w:ascii="黑体" w:hAnsi="黑体" w:eastAsia="黑体"/>
          <w:b/>
          <w:sz w:val="30"/>
        </w:rPr>
        <w:t>三、项目总体目标与重点示范内容</w:t>
      </w:r>
    </w:p>
    <w:p>
      <w:pPr>
        <w:spacing w:line="360" w:lineRule="auto"/>
        <w:ind w:firstLine="560"/>
      </w:pPr>
      <w:r>
        <w:rPr>
          <w:rFonts w:ascii="仿宋" w:hAnsi="仿宋" w:eastAsia="仿宋"/>
          <w:b w:val="0"/>
          <w:sz w:val="28"/>
        </w:rPr>
        <w:t>围绕“绿色能源供给、零碳运输组织、智慧安全运营、示范复制推广”四条主线，重点实施以下建设任务：</w:t>
      </w:r>
    </w:p>
    <w:p>
      <w:pPr>
        <w:spacing w:line="360" w:lineRule="auto"/>
        <w:ind w:firstLine="560"/>
      </w:pPr>
      <w:r>
        <w:rPr>
          <w:rFonts w:ascii="仿宋" w:hAnsi="仿宋" w:eastAsia="仿宋"/>
          <w:b w:val="0"/>
          <w:sz w:val="28"/>
        </w:rPr>
        <w:t>（一）打造交通自洽型柔性能源微电网。充分利用边坡、互通等闲置路域资源，建设约200MW光伏与150MWh储能。该系统作为高速公路的“充电宝”与备用电源，旨在彻底解决沿线充换电站及零碳枢纽的增容难题，实现路域能源的就地平衡与自给。</w:t>
      </w:r>
    </w:p>
    <w:p>
      <w:pPr>
        <w:spacing w:line="360" w:lineRule="auto"/>
        <w:ind w:firstLine="560"/>
      </w:pPr>
      <w:r>
        <w:rPr>
          <w:rFonts w:ascii="仿宋" w:hAnsi="仿宋" w:eastAsia="仿宋"/>
          <w:b w:val="0"/>
          <w:sz w:val="28"/>
        </w:rPr>
        <w:t>（二）打造电动重卡零碳运输示范通道。依托津石高速保定—沧州方向货运主通道，率先建设单程不低于100公里的新能源重卡零碳运输示范线路，按“达标值＋争先值”两档组织运营：达标值（申报底线，首批/试点期）为新能源重卡不少于50辆、年运输量不少于20万吨；争先值（期满考核目标）为新能源重卡达到200辆以上、年运输量达到80万吨以上。同步布局重卡充电站6对（12座）、换电站3对（6座），联动沿线货源、物流、车辆和电池企业，探索“车—站—桩—电池银行—平台”一体化运营模式。</w:t>
      </w:r>
    </w:p>
    <w:p>
      <w:pPr>
        <w:spacing w:line="360" w:lineRule="auto"/>
        <w:ind w:firstLine="560"/>
      </w:pPr>
      <w:r>
        <w:rPr>
          <w:rFonts w:ascii="仿宋" w:hAnsi="仿宋" w:eastAsia="仿宋"/>
          <w:b w:val="0"/>
          <w:sz w:val="28"/>
        </w:rPr>
        <w:t>（三）打造零碳服务区和零碳枢纽。以服务区、收费站、养护工区、隧道管理站等沿线枢纽节点为重点，推进光伏、储能、充电、用能替代和节能改造一体实施。通过“自发自用＋储能调节＋绿电交易/绿证补足”等方式，推动重点枢纽设施实现用能、供能100%使用新能源或清洁能源。</w:t>
      </w:r>
    </w:p>
    <w:p>
      <w:pPr>
        <w:spacing w:line="360" w:lineRule="auto"/>
        <w:ind w:firstLine="560"/>
      </w:pPr>
      <w:r>
        <w:rPr>
          <w:rFonts w:ascii="仿宋" w:hAnsi="仿宋" w:eastAsia="仿宋"/>
          <w:b w:val="0"/>
          <w:sz w:val="28"/>
        </w:rPr>
        <w:t>（四）打造智慧能源管控和虚拟电厂平台。依托河北南网、冀北电网相关准入规则建设虚拟电厂，打造路网“能源智慧大脑”，打通“源—网—荷—储—充—运”全链路数据，通过峰谷电价管理压降运营电费。其核心目标之一是提升安全韧性：在极端天气或外部电网波动时，优先保障隧道通风照明、收费系统、监控通信等核心交通业务不中断运行，关键节点应急供电时长不低于2小时，路段安全韧性较改造前提升不低于20%。</w:t>
      </w:r>
    </w:p>
    <w:p>
      <w:pPr>
        <w:spacing w:line="360" w:lineRule="auto"/>
        <w:ind w:firstLine="560"/>
      </w:pPr>
      <w:r>
        <w:rPr>
          <w:rFonts w:ascii="仿宋" w:hAnsi="仿宋" w:eastAsia="仿宋"/>
          <w:b w:val="0"/>
          <w:sz w:val="28"/>
        </w:rPr>
        <w:t>（五）打造多元消纳和增值应用场景与碳资产闭环。在优先保障交通主业消纳的基础上，推进分布式算力、审慎推进绿电制氢/氨/醇等辅助性场景。同步建立新能源重卡碳足迹核算与碳减排方法学，依托虚拟电厂参与电力市场和碳市场交易，开发绿证与国家核证自愿减排量（CCER），形成“绿电—补能—零碳运输—碳资产”增值闭环。</w:t>
      </w:r>
    </w:p>
    <w:p>
      <w:r>
        <w:rPr>
          <w:rFonts w:ascii="黑体" w:hAnsi="黑体" w:eastAsia="黑体"/>
          <w:b/>
          <w:sz w:val="30"/>
        </w:rPr>
        <w:t>四、自消纳、投资结构与绿电能量平衡</w:t>
      </w:r>
    </w:p>
    <w:p>
      <w:r>
        <w:rPr>
          <w:rFonts w:ascii="楷体" w:hAnsi="楷体" w:eastAsia="楷体"/>
          <w:b/>
          <w:sz w:val="28"/>
        </w:rPr>
        <w:t>（一）投资结构与自消纳一览</w:t>
      </w:r>
    </w:p>
    <w:p>
      <w:pPr>
        <w:spacing w:line="360" w:lineRule="auto"/>
        <w:ind w:firstLine="560"/>
      </w:pPr>
      <w:r>
        <w:rPr>
          <w:rFonts w:ascii="仿宋" w:hAnsi="仿宋" w:eastAsia="仿宋"/>
          <w:b w:val="0"/>
          <w:sz w:val="28"/>
        </w:rPr>
        <w:t>本示范工程中新能源发电及储能设施投资占比较大，这并非简单的能源资产堆砌，而是重卡零碳运输廊道得以成立的先决条件。重卡充换电站属于典型的高峰值负荷，若完全依赖传统电网扩容，将面临改造周期长、容量电费与度电成本高的问题。本项目通过重资产投入建立路域微电网，有效锁定未来25年的平准化度电成本（LCOE），以“重资产投资换取低LCOE、再以低LCOE反哺零碳物流”，是真正具有商业可持续性的交能融合“河北方案”。</w:t>
      </w:r>
    </w:p>
    <w:p>
      <w:pPr>
        <w:jc w:val="center"/>
      </w:pPr>
      <w:r>
        <w:rPr>
          <w:rFonts w:ascii="黑体" w:hAnsi="黑体" w:eastAsia="黑体"/>
          <w:b w:val="0"/>
          <w:sz w:val="24"/>
        </w:rPr>
        <w:t>附表一　项目投资分项与绿电自消纳结构表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2"/>
              </w:rPr>
              <w:t>分项</w:t>
            </w:r>
          </w:p>
        </w:tc>
        <w:tc>
          <w:tcPr>
            <w:tcW w:type="dxa" w:w="2160"/>
          </w:tcPr>
          <w:p>
            <w:pPr>
              <w:jc w:val="center"/>
            </w:pPr>
            <w:r>
              <w:rPr>
                <w:rFonts w:ascii="黑体" w:hAnsi="黑体" w:eastAsia="黑体"/>
                <w:b/>
                <w:sz w:val="22"/>
              </w:rPr>
              <w:t>总投资（万元）</w:t>
            </w:r>
          </w:p>
        </w:tc>
        <w:tc>
          <w:tcPr>
            <w:tcW w:type="dxa" w:w="2160"/>
          </w:tcPr>
          <w:p>
            <w:pPr>
              <w:jc w:val="center"/>
            </w:pPr>
            <w:r>
              <w:rPr>
                <w:rFonts w:ascii="黑体" w:hAnsi="黑体" w:eastAsia="黑体"/>
                <w:b/>
                <w:sz w:val="22"/>
              </w:rPr>
              <w:t>消纳占比</w:t>
            </w:r>
          </w:p>
        </w:tc>
        <w:tc>
          <w:tcPr>
            <w:tcW w:type="dxa" w:w="2160"/>
          </w:tcPr>
          <w:p>
            <w:pPr>
              <w:jc w:val="center"/>
            </w:pPr>
            <w:r>
              <w:rPr>
                <w:rFonts w:ascii="黑体" w:hAnsi="黑体" w:eastAsia="黑体"/>
                <w:b/>
                <w:sz w:val="22"/>
              </w:rPr>
              <w:t>备注</w:t>
            </w:r>
          </w:p>
        </w:tc>
      </w:tr>
      <w:tr>
        <w:tc>
          <w:tcPr>
            <w:tcW w:type="dxa" w:w="2160"/>
          </w:tcPr>
          <w:p>
            <w:r>
              <w:rPr>
                <w:rFonts w:ascii="仿宋" w:hAnsi="仿宋" w:eastAsia="仿宋"/>
                <w:b w:val="0"/>
                <w:sz w:val="21"/>
              </w:rPr>
              <w:t>乘用车充电、重卡充换电等绿色交通服务用能</w:t>
            </w:r>
          </w:p>
        </w:tc>
        <w:tc>
          <w:tcPr>
            <w:tcW w:type="dxa" w:w="2160"/>
          </w:tcPr>
          <w:p>
            <w:r>
              <w:rPr>
                <w:rFonts w:ascii="仿宋" w:hAnsi="仿宋" w:eastAsia="仿宋"/>
                <w:b w:val="0"/>
                <w:sz w:val="21"/>
              </w:rPr>
              <w:t>10 800</w:t>
            </w:r>
          </w:p>
        </w:tc>
        <w:tc>
          <w:tcPr>
            <w:tcW w:type="dxa" w:w="2160"/>
          </w:tcPr>
          <w:p>
            <w:r>
              <w:rPr>
                <w:rFonts w:ascii="仿宋" w:hAnsi="仿宋" w:eastAsia="仿宋"/>
                <w:b w:val="0"/>
                <w:sz w:val="21"/>
              </w:rPr>
              <w:t>26%</w:t>
            </w:r>
          </w:p>
        </w:tc>
        <w:tc>
          <w:tcPr>
            <w:tcW w:type="dxa" w:w="2160"/>
          </w:tcPr>
          <w:p>
            <w:r>
              <w:rPr>
                <w:rFonts w:ascii="仿宋" w:hAnsi="仿宋" w:eastAsia="仿宋"/>
                <w:b w:val="0"/>
                <w:sz w:val="21"/>
              </w:rPr>
              <w:t>50个乘用车充电场站，6对重卡充电站，3对换电站</w:t>
            </w:r>
          </w:p>
        </w:tc>
      </w:tr>
      <w:tr>
        <w:tc>
          <w:tcPr>
            <w:tcW w:type="dxa" w:w="2160"/>
          </w:tcPr>
          <w:p>
            <w:r>
              <w:rPr>
                <w:rFonts w:ascii="仿宋" w:hAnsi="仿宋" w:eastAsia="仿宋"/>
                <w:b w:val="0"/>
                <w:sz w:val="21"/>
              </w:rPr>
              <w:t>依托虚拟电厂的系统集成与柔性调节（服务区、隧道巡检等运营基础用能）</w:t>
            </w:r>
          </w:p>
        </w:tc>
        <w:tc>
          <w:tcPr>
            <w:tcW w:type="dxa" w:w="2160"/>
          </w:tcPr>
          <w:p>
            <w:r>
              <w:rPr>
                <w:rFonts w:ascii="仿宋" w:hAnsi="仿宋" w:eastAsia="仿宋"/>
                <w:b w:val="0"/>
                <w:sz w:val="21"/>
              </w:rPr>
              <w:t>6 500</w:t>
            </w:r>
          </w:p>
        </w:tc>
        <w:tc>
          <w:tcPr>
            <w:tcW w:type="dxa" w:w="2160"/>
          </w:tcPr>
          <w:p>
            <w:r>
              <w:rPr>
                <w:rFonts w:ascii="仿宋" w:hAnsi="仿宋" w:eastAsia="仿宋"/>
                <w:b w:val="0"/>
                <w:sz w:val="21"/>
              </w:rPr>
              <w:t>25%</w:t>
            </w:r>
          </w:p>
        </w:tc>
        <w:tc>
          <w:tcPr>
            <w:tcW w:type="dxa" w:w="2160"/>
          </w:tcPr>
          <w:p>
            <w:r>
              <w:rPr>
                <w:rFonts w:ascii="仿宋" w:hAnsi="仿宋" w:eastAsia="仿宋"/>
                <w:b w:val="0"/>
                <w:sz w:val="21"/>
              </w:rPr>
              <w:t>含系统及配套硬件、站端硬件、线路改造费用</w:t>
            </w:r>
          </w:p>
        </w:tc>
      </w:tr>
      <w:tr>
        <w:tc>
          <w:tcPr>
            <w:tcW w:type="dxa" w:w="2160"/>
          </w:tcPr>
          <w:p>
            <w:r>
              <w:rPr>
                <w:rFonts w:ascii="仿宋" w:hAnsi="仿宋" w:eastAsia="仿宋"/>
                <w:b w:val="0"/>
                <w:sz w:val="21"/>
              </w:rPr>
              <w:t>分布式算力基础设施</w:t>
            </w:r>
          </w:p>
        </w:tc>
        <w:tc>
          <w:tcPr>
            <w:tcW w:type="dxa" w:w="2160"/>
          </w:tcPr>
          <w:p>
            <w:r>
              <w:rPr>
                <w:rFonts w:ascii="仿宋" w:hAnsi="仿宋" w:eastAsia="仿宋"/>
                <w:b w:val="0"/>
                <w:sz w:val="21"/>
              </w:rPr>
              <w:t>6 000</w:t>
            </w:r>
          </w:p>
        </w:tc>
        <w:tc>
          <w:tcPr>
            <w:tcW w:type="dxa" w:w="2160"/>
          </w:tcPr>
          <w:p>
            <w:r>
              <w:rPr>
                <w:rFonts w:ascii="仿宋" w:hAnsi="仿宋" w:eastAsia="仿宋"/>
                <w:b w:val="0"/>
                <w:sz w:val="21"/>
              </w:rPr>
              <w:t>8%</w:t>
            </w:r>
          </w:p>
        </w:tc>
        <w:tc>
          <w:tcPr>
            <w:tcW w:type="dxa" w:w="2160"/>
          </w:tcPr>
          <w:p>
            <w:r>
              <w:rPr>
                <w:rFonts w:ascii="仿宋" w:hAnsi="仿宋" w:eastAsia="仿宋"/>
                <w:b w:val="0"/>
                <w:sz w:val="21"/>
              </w:rPr>
              <w:t>3座分布式算力中心（车路协同计算/视频AI分析）</w:t>
            </w:r>
          </w:p>
        </w:tc>
      </w:tr>
      <w:tr>
        <w:tc>
          <w:tcPr>
            <w:tcW w:type="dxa" w:w="2160"/>
          </w:tcPr>
          <w:p>
            <w:r>
              <w:rPr>
                <w:rFonts w:ascii="仿宋" w:hAnsi="仿宋" w:eastAsia="仿宋"/>
                <w:b w:val="0"/>
                <w:sz w:val="21"/>
              </w:rPr>
              <w:t>绿电制氢/氨/醇等绿电转化设施</w:t>
            </w:r>
          </w:p>
        </w:tc>
        <w:tc>
          <w:tcPr>
            <w:tcW w:type="dxa" w:w="2160"/>
          </w:tcPr>
          <w:p>
            <w:r>
              <w:rPr>
                <w:rFonts w:ascii="仿宋" w:hAnsi="仿宋" w:eastAsia="仿宋"/>
                <w:b w:val="0"/>
                <w:sz w:val="21"/>
              </w:rPr>
              <w:t>2 500</w:t>
            </w:r>
          </w:p>
        </w:tc>
        <w:tc>
          <w:tcPr>
            <w:tcW w:type="dxa" w:w="2160"/>
          </w:tcPr>
          <w:p>
            <w:r>
              <w:rPr>
                <w:rFonts w:ascii="仿宋" w:hAnsi="仿宋" w:eastAsia="仿宋"/>
                <w:b w:val="0"/>
                <w:sz w:val="21"/>
              </w:rPr>
              <w:t>6%</w:t>
            </w:r>
          </w:p>
        </w:tc>
        <w:tc>
          <w:tcPr>
            <w:tcW w:type="dxa" w:w="2160"/>
          </w:tcPr>
          <w:p>
            <w:r>
              <w:rPr>
                <w:rFonts w:ascii="仿宋" w:hAnsi="仿宋" w:eastAsia="仿宋"/>
                <w:b w:val="0"/>
                <w:sz w:val="21"/>
              </w:rPr>
              <w:t>用于氢/氨/醇重卡示范线，审慎推进</w:t>
            </w:r>
          </w:p>
        </w:tc>
      </w:tr>
      <w:tr>
        <w:tc>
          <w:tcPr>
            <w:tcW w:type="dxa" w:w="2160"/>
          </w:tcPr>
          <w:p>
            <w:r>
              <w:rPr>
                <w:rFonts w:ascii="仿宋" w:hAnsi="仿宋" w:eastAsia="仿宋"/>
                <w:b w:val="0"/>
                <w:sz w:val="21"/>
              </w:rPr>
              <w:t>新能源发电基础设施</w:t>
            </w:r>
          </w:p>
        </w:tc>
        <w:tc>
          <w:tcPr>
            <w:tcW w:type="dxa" w:w="2160"/>
          </w:tcPr>
          <w:p>
            <w:r>
              <w:rPr>
                <w:rFonts w:ascii="仿宋" w:hAnsi="仿宋" w:eastAsia="仿宋"/>
                <w:b w:val="0"/>
                <w:sz w:val="21"/>
              </w:rPr>
              <w:t>65 000</w:t>
            </w:r>
          </w:p>
        </w:tc>
        <w:tc>
          <w:tcPr>
            <w:tcW w:type="dxa" w:w="2160"/>
          </w:tcPr>
          <w:p>
            <w:r>
              <w:rPr>
                <w:rFonts w:ascii="仿宋" w:hAnsi="仿宋" w:eastAsia="仿宋"/>
                <w:b w:val="0"/>
                <w:sz w:val="21"/>
              </w:rPr>
              <w:t>—（供给侧）</w:t>
            </w:r>
          </w:p>
        </w:tc>
        <w:tc>
          <w:tcPr>
            <w:tcW w:type="dxa" w:w="2160"/>
          </w:tcPr>
          <w:p>
            <w:r>
              <w:rPr>
                <w:rFonts w:ascii="仿宋" w:hAnsi="仿宋" w:eastAsia="仿宋"/>
                <w:b w:val="0"/>
                <w:sz w:val="21"/>
              </w:rPr>
              <w:t>路域分布式光伏约200MW</w:t>
            </w:r>
          </w:p>
        </w:tc>
      </w:tr>
      <w:tr>
        <w:tc>
          <w:tcPr>
            <w:tcW w:type="dxa" w:w="2160"/>
          </w:tcPr>
          <w:p>
            <w:r>
              <w:rPr>
                <w:rFonts w:ascii="仿宋" w:hAnsi="仿宋" w:eastAsia="仿宋"/>
                <w:b w:val="0"/>
                <w:sz w:val="21"/>
              </w:rPr>
              <w:t>储能设施</w:t>
            </w:r>
          </w:p>
        </w:tc>
        <w:tc>
          <w:tcPr>
            <w:tcW w:type="dxa" w:w="2160"/>
          </w:tcPr>
          <w:p>
            <w:r>
              <w:rPr>
                <w:rFonts w:ascii="仿宋" w:hAnsi="仿宋" w:eastAsia="仿宋"/>
                <w:b w:val="0"/>
                <w:sz w:val="21"/>
              </w:rPr>
              <w:t>15 000</w:t>
            </w:r>
          </w:p>
        </w:tc>
        <w:tc>
          <w:tcPr>
            <w:tcW w:type="dxa" w:w="2160"/>
          </w:tcPr>
          <w:p>
            <w:r>
              <w:rPr>
                <w:rFonts w:ascii="仿宋" w:hAnsi="仿宋" w:eastAsia="仿宋"/>
                <w:b w:val="0"/>
                <w:sz w:val="21"/>
              </w:rPr>
              <w:t>—（调节侧）</w:t>
            </w:r>
          </w:p>
        </w:tc>
        <w:tc>
          <w:tcPr>
            <w:tcW w:type="dxa" w:w="2160"/>
          </w:tcPr>
          <w:p>
            <w:r>
              <w:rPr>
                <w:rFonts w:ascii="仿宋" w:hAnsi="仿宋" w:eastAsia="仿宋"/>
                <w:b w:val="0"/>
                <w:sz w:val="21"/>
              </w:rPr>
              <w:t>配套储能150MWh</w:t>
            </w:r>
          </w:p>
        </w:tc>
      </w:tr>
      <w:tr>
        <w:tc>
          <w:tcPr>
            <w:tcW w:type="dxa" w:w="2160"/>
          </w:tcPr>
          <w:p>
            <w:r>
              <w:rPr>
                <w:rFonts w:ascii="仿宋" w:hAnsi="仿宋" w:eastAsia="仿宋"/>
                <w:b w:val="0"/>
                <w:sz w:val="21"/>
              </w:rPr>
              <w:t>总计</w:t>
            </w:r>
          </w:p>
        </w:tc>
        <w:tc>
          <w:tcPr>
            <w:tcW w:type="dxa" w:w="2160"/>
          </w:tcPr>
          <w:p>
            <w:r>
              <w:rPr>
                <w:rFonts w:ascii="仿宋" w:hAnsi="仿宋" w:eastAsia="仿宋"/>
                <w:b w:val="0"/>
                <w:sz w:val="21"/>
              </w:rPr>
              <w:t>104 800</w:t>
            </w:r>
          </w:p>
        </w:tc>
        <w:tc>
          <w:tcPr>
            <w:tcW w:type="dxa" w:w="2160"/>
          </w:tcPr>
          <w:p>
            <w:r>
              <w:rPr>
                <w:rFonts w:ascii="仿宋" w:hAnsi="仿宋" w:eastAsia="仿宋"/>
                <w:b w:val="0"/>
                <w:sz w:val="21"/>
              </w:rPr>
              <w:t>65%</w:t>
            </w:r>
          </w:p>
        </w:tc>
        <w:tc>
          <w:tcPr>
            <w:tcW w:type="dxa" w:w="2160"/>
          </w:tcPr>
          <w:p>
            <w:r>
              <w:rPr>
                <w:rFonts w:ascii="仿宋" w:hAnsi="仿宋" w:eastAsia="仿宋"/>
                <w:b w:val="0"/>
                <w:sz w:val="21"/>
              </w:rPr>
              <w:t>自用消纳合计65%，支撑指标二“≥60%”要求</w:t>
            </w:r>
          </w:p>
        </w:tc>
      </w:tr>
    </w:tbl>
    <w:p>
      <w:r>
        <w:rPr>
          <w:rFonts w:ascii="楷体" w:hAnsi="楷体" w:eastAsia="楷体"/>
          <w:b w:val="0"/>
          <w:color w:val="505050"/>
          <w:sz w:val="24"/>
        </w:rPr>
        <w:t>表注：①“消纳占比”＝该场景年消纳绿电量/年可用发电量；发电、储能属供给/调节侧不单独计列，记“—”。②储能单位造价按磷酸铁锂约0.9–1.1元/Wh（含PCS、BMS、EPC、升压并网）取值（本项目测算）。③合计自用消纳65%，其余约35%为余电上网。</w:t>
      </w:r>
    </w:p>
    <w:p>
      <w:r>
        <w:rPr>
          <w:rFonts w:ascii="楷体" w:hAnsi="楷体" w:eastAsia="楷体"/>
          <w:b/>
          <w:sz w:val="28"/>
        </w:rPr>
        <w:t>（二）绿电“发—用—网”能量平衡测算</w:t>
      </w:r>
    </w:p>
    <w:p>
      <w:pPr>
        <w:jc w:val="center"/>
      </w:pPr>
      <w:r>
        <w:rPr>
          <w:rFonts w:ascii="黑体" w:hAnsi="黑体" w:eastAsia="黑体"/>
          <w:b w:val="0"/>
          <w:sz w:val="24"/>
        </w:rPr>
        <w:t>附表二　绿电能量平衡测算表（满产年，本项目测算）</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2"/>
              </w:rPr>
              <w:t>项目</w:t>
            </w:r>
          </w:p>
        </w:tc>
        <w:tc>
          <w:tcPr>
            <w:tcW w:type="dxa" w:w="1728"/>
          </w:tcPr>
          <w:p>
            <w:pPr>
              <w:jc w:val="center"/>
            </w:pPr>
            <w:r>
              <w:rPr>
                <w:rFonts w:ascii="黑体" w:hAnsi="黑体" w:eastAsia="黑体"/>
                <w:b/>
                <w:sz w:val="22"/>
              </w:rPr>
              <w:t>保守</w:t>
            </w:r>
          </w:p>
        </w:tc>
        <w:tc>
          <w:tcPr>
            <w:tcW w:type="dxa" w:w="1728"/>
          </w:tcPr>
          <w:p>
            <w:pPr>
              <w:jc w:val="center"/>
            </w:pPr>
            <w:r>
              <w:rPr>
                <w:rFonts w:ascii="黑体" w:hAnsi="黑体" w:eastAsia="黑体"/>
                <w:b/>
                <w:sz w:val="22"/>
              </w:rPr>
              <w:t>中性</w:t>
            </w:r>
          </w:p>
        </w:tc>
        <w:tc>
          <w:tcPr>
            <w:tcW w:type="dxa" w:w="1728"/>
          </w:tcPr>
          <w:p>
            <w:pPr>
              <w:jc w:val="center"/>
            </w:pPr>
            <w:r>
              <w:rPr>
                <w:rFonts w:ascii="黑体" w:hAnsi="黑体" w:eastAsia="黑体"/>
                <w:b/>
                <w:sz w:val="22"/>
              </w:rPr>
              <w:t>乐观</w:t>
            </w:r>
          </w:p>
        </w:tc>
        <w:tc>
          <w:tcPr>
            <w:tcW w:type="dxa" w:w="1728"/>
          </w:tcPr>
          <w:p>
            <w:pPr>
              <w:jc w:val="center"/>
            </w:pPr>
            <w:r>
              <w:rPr>
                <w:rFonts w:ascii="黑体" w:hAnsi="黑体" w:eastAsia="黑体"/>
                <w:b/>
                <w:sz w:val="22"/>
              </w:rPr>
              <w:t>测算说明</w:t>
            </w:r>
          </w:p>
        </w:tc>
      </w:tr>
      <w:tr>
        <w:tc>
          <w:tcPr>
            <w:tcW w:type="dxa" w:w="1728"/>
          </w:tcPr>
          <w:p>
            <w:r>
              <w:rPr>
                <w:rFonts w:ascii="仿宋" w:hAnsi="仿宋" w:eastAsia="仿宋"/>
                <w:b w:val="0"/>
                <w:sz w:val="21"/>
              </w:rPr>
              <w:t>光伏装机（MW）</w:t>
            </w:r>
          </w:p>
        </w:tc>
        <w:tc>
          <w:tcPr>
            <w:tcW w:type="dxa" w:w="1728"/>
          </w:tcPr>
          <w:p>
            <w:r>
              <w:rPr>
                <w:rFonts w:ascii="仿宋" w:hAnsi="仿宋" w:eastAsia="仿宋"/>
                <w:b w:val="0"/>
                <w:sz w:val="21"/>
              </w:rPr>
              <w:t>200</w:t>
            </w:r>
          </w:p>
        </w:tc>
        <w:tc>
          <w:tcPr>
            <w:tcW w:type="dxa" w:w="1728"/>
          </w:tcPr>
          <w:p>
            <w:r>
              <w:rPr>
                <w:rFonts w:ascii="仿宋" w:hAnsi="仿宋" w:eastAsia="仿宋"/>
                <w:b w:val="0"/>
                <w:sz w:val="21"/>
              </w:rPr>
              <w:t>200</w:t>
            </w:r>
          </w:p>
        </w:tc>
        <w:tc>
          <w:tcPr>
            <w:tcW w:type="dxa" w:w="1728"/>
          </w:tcPr>
          <w:p>
            <w:r>
              <w:rPr>
                <w:rFonts w:ascii="仿宋" w:hAnsi="仿宋" w:eastAsia="仿宋"/>
                <w:b w:val="0"/>
                <w:sz w:val="21"/>
              </w:rPr>
              <w:t>200</w:t>
            </w:r>
          </w:p>
        </w:tc>
        <w:tc>
          <w:tcPr>
            <w:tcW w:type="dxa" w:w="1728"/>
          </w:tcPr>
          <w:p>
            <w:r>
              <w:rPr>
                <w:rFonts w:ascii="仿宋" w:hAnsi="仿宋" w:eastAsia="仿宋"/>
                <w:b w:val="0"/>
                <w:sz w:val="21"/>
              </w:rPr>
              <w:t>规划目标口径</w:t>
            </w:r>
          </w:p>
        </w:tc>
      </w:tr>
      <w:tr>
        <w:tc>
          <w:tcPr>
            <w:tcW w:type="dxa" w:w="1728"/>
          </w:tcPr>
          <w:p>
            <w:r>
              <w:rPr>
                <w:rFonts w:ascii="仿宋" w:hAnsi="仿宋" w:eastAsia="仿宋"/>
                <w:b w:val="0"/>
                <w:sz w:val="21"/>
              </w:rPr>
              <w:t>等效利用小时（h）</w:t>
            </w:r>
          </w:p>
        </w:tc>
        <w:tc>
          <w:tcPr>
            <w:tcW w:type="dxa" w:w="1728"/>
          </w:tcPr>
          <w:p>
            <w:r>
              <w:rPr>
                <w:rFonts w:ascii="仿宋" w:hAnsi="仿宋" w:eastAsia="仿宋"/>
                <w:b w:val="0"/>
                <w:sz w:val="21"/>
              </w:rPr>
              <w:t>1 150</w:t>
            </w:r>
          </w:p>
        </w:tc>
        <w:tc>
          <w:tcPr>
            <w:tcW w:type="dxa" w:w="1728"/>
          </w:tcPr>
          <w:p>
            <w:r>
              <w:rPr>
                <w:rFonts w:ascii="仿宋" w:hAnsi="仿宋" w:eastAsia="仿宋"/>
                <w:b w:val="0"/>
                <w:sz w:val="21"/>
              </w:rPr>
              <w:t>1 200</w:t>
            </w:r>
          </w:p>
        </w:tc>
        <w:tc>
          <w:tcPr>
            <w:tcW w:type="dxa" w:w="1728"/>
          </w:tcPr>
          <w:p>
            <w:r>
              <w:rPr>
                <w:rFonts w:ascii="仿宋" w:hAnsi="仿宋" w:eastAsia="仿宋"/>
                <w:b w:val="0"/>
                <w:sz w:val="21"/>
              </w:rPr>
              <w:t>1 300</w:t>
            </w:r>
          </w:p>
        </w:tc>
        <w:tc>
          <w:tcPr>
            <w:tcW w:type="dxa" w:w="1728"/>
          </w:tcPr>
          <w:p>
            <w:r>
              <w:rPr>
                <w:rFonts w:ascii="仿宋" w:hAnsi="仿宋" w:eastAsia="仿宋"/>
                <w:b w:val="0"/>
                <w:sz w:val="21"/>
              </w:rPr>
              <w:t>河北太阳能资源三类区，结合系统超发约4.3%</w:t>
            </w:r>
          </w:p>
        </w:tc>
      </w:tr>
      <w:tr>
        <w:tc>
          <w:tcPr>
            <w:tcW w:type="dxa" w:w="1728"/>
          </w:tcPr>
          <w:p>
            <w:r>
              <w:rPr>
                <w:rFonts w:ascii="仿宋" w:hAnsi="仿宋" w:eastAsia="仿宋"/>
                <w:b w:val="0"/>
                <w:sz w:val="21"/>
              </w:rPr>
              <w:t>年发电量（亿kWh）</w:t>
            </w:r>
          </w:p>
        </w:tc>
        <w:tc>
          <w:tcPr>
            <w:tcW w:type="dxa" w:w="1728"/>
          </w:tcPr>
          <w:p>
            <w:r>
              <w:rPr>
                <w:rFonts w:ascii="仿宋" w:hAnsi="仿宋" w:eastAsia="仿宋"/>
                <w:b w:val="0"/>
                <w:sz w:val="21"/>
              </w:rPr>
              <w:t>2.30</w:t>
            </w:r>
          </w:p>
        </w:tc>
        <w:tc>
          <w:tcPr>
            <w:tcW w:type="dxa" w:w="1728"/>
          </w:tcPr>
          <w:p>
            <w:r>
              <w:rPr>
                <w:rFonts w:ascii="仿宋" w:hAnsi="仿宋" w:eastAsia="仿宋"/>
                <w:b w:val="0"/>
                <w:sz w:val="21"/>
              </w:rPr>
              <w:t>2.40</w:t>
            </w:r>
          </w:p>
        </w:tc>
        <w:tc>
          <w:tcPr>
            <w:tcW w:type="dxa" w:w="1728"/>
          </w:tcPr>
          <w:p>
            <w:r>
              <w:rPr>
                <w:rFonts w:ascii="仿宋" w:hAnsi="仿宋" w:eastAsia="仿宋"/>
                <w:b w:val="0"/>
                <w:sz w:val="21"/>
              </w:rPr>
              <w:t>2.60</w:t>
            </w:r>
          </w:p>
        </w:tc>
        <w:tc>
          <w:tcPr>
            <w:tcW w:type="dxa" w:w="1728"/>
          </w:tcPr>
          <w:p>
            <w:r>
              <w:rPr>
                <w:rFonts w:ascii="仿宋" w:hAnsi="仿宋" w:eastAsia="仿宋"/>
                <w:b w:val="0"/>
                <w:sz w:val="21"/>
              </w:rPr>
              <w:t>＝装机×等效利用小时</w:t>
            </w:r>
          </w:p>
        </w:tc>
      </w:tr>
      <w:tr>
        <w:tc>
          <w:tcPr>
            <w:tcW w:type="dxa" w:w="1728"/>
          </w:tcPr>
          <w:p>
            <w:r>
              <w:rPr>
                <w:rFonts w:ascii="仿宋" w:hAnsi="仿宋" w:eastAsia="仿宋"/>
                <w:b w:val="0"/>
                <w:sz w:val="21"/>
              </w:rPr>
              <w:t>年可用发电量（亿kWh）</w:t>
            </w:r>
          </w:p>
        </w:tc>
        <w:tc>
          <w:tcPr>
            <w:tcW w:type="dxa" w:w="1728"/>
          </w:tcPr>
          <w:p>
            <w:r>
              <w:rPr>
                <w:rFonts w:ascii="仿宋" w:hAnsi="仿宋" w:eastAsia="仿宋"/>
                <w:b w:val="0"/>
                <w:sz w:val="21"/>
              </w:rPr>
              <w:t>2.25</w:t>
            </w:r>
          </w:p>
        </w:tc>
        <w:tc>
          <w:tcPr>
            <w:tcW w:type="dxa" w:w="1728"/>
          </w:tcPr>
          <w:p>
            <w:r>
              <w:rPr>
                <w:rFonts w:ascii="仿宋" w:hAnsi="仿宋" w:eastAsia="仿宋"/>
                <w:b w:val="0"/>
                <w:sz w:val="21"/>
              </w:rPr>
              <w:t>2.35</w:t>
            </w:r>
          </w:p>
        </w:tc>
        <w:tc>
          <w:tcPr>
            <w:tcW w:type="dxa" w:w="1728"/>
          </w:tcPr>
          <w:p>
            <w:r>
              <w:rPr>
                <w:rFonts w:ascii="仿宋" w:hAnsi="仿宋" w:eastAsia="仿宋"/>
                <w:b w:val="0"/>
                <w:sz w:val="21"/>
              </w:rPr>
              <w:t>2.54</w:t>
            </w:r>
          </w:p>
        </w:tc>
        <w:tc>
          <w:tcPr>
            <w:tcW w:type="dxa" w:w="1728"/>
          </w:tcPr>
          <w:p>
            <w:r>
              <w:rPr>
                <w:rFonts w:ascii="仿宋" w:hAnsi="仿宋" w:eastAsia="仿宋"/>
                <w:b w:val="0"/>
                <w:sz w:val="21"/>
              </w:rPr>
              <w:t>扣除站用电及受限弃光约2%</w:t>
            </w:r>
          </w:p>
        </w:tc>
      </w:tr>
      <w:tr>
        <w:tc>
          <w:tcPr>
            <w:tcW w:type="dxa" w:w="1728"/>
          </w:tcPr>
          <w:p>
            <w:r>
              <w:rPr>
                <w:rFonts w:ascii="仿宋" w:hAnsi="仿宋" w:eastAsia="仿宋"/>
                <w:b w:val="0"/>
                <w:sz w:val="21"/>
              </w:rPr>
              <w:t>年自用消纳（亿kWh，占65%）</w:t>
            </w:r>
          </w:p>
        </w:tc>
        <w:tc>
          <w:tcPr>
            <w:tcW w:type="dxa" w:w="1728"/>
          </w:tcPr>
          <w:p>
            <w:r>
              <w:rPr>
                <w:rFonts w:ascii="仿宋" w:hAnsi="仿宋" w:eastAsia="仿宋"/>
                <w:b w:val="0"/>
                <w:sz w:val="21"/>
              </w:rPr>
              <w:t>1.46</w:t>
            </w:r>
          </w:p>
        </w:tc>
        <w:tc>
          <w:tcPr>
            <w:tcW w:type="dxa" w:w="1728"/>
          </w:tcPr>
          <w:p>
            <w:r>
              <w:rPr>
                <w:rFonts w:ascii="仿宋" w:hAnsi="仿宋" w:eastAsia="仿宋"/>
                <w:b w:val="0"/>
                <w:sz w:val="21"/>
              </w:rPr>
              <w:t>1.53</w:t>
            </w:r>
          </w:p>
        </w:tc>
        <w:tc>
          <w:tcPr>
            <w:tcW w:type="dxa" w:w="1728"/>
          </w:tcPr>
          <w:p>
            <w:r>
              <w:rPr>
                <w:rFonts w:ascii="仿宋" w:hAnsi="仿宋" w:eastAsia="仿宋"/>
                <w:b w:val="0"/>
                <w:sz w:val="21"/>
              </w:rPr>
              <w:t>1.65</w:t>
            </w:r>
          </w:p>
        </w:tc>
        <w:tc>
          <w:tcPr>
            <w:tcW w:type="dxa" w:w="1728"/>
          </w:tcPr>
          <w:p>
            <w:r>
              <w:rPr>
                <w:rFonts w:ascii="仿宋" w:hAnsi="仿宋" w:eastAsia="仿宋"/>
                <w:b w:val="0"/>
                <w:sz w:val="21"/>
              </w:rPr>
              <w:t>按附表一消纳结构折算</w:t>
            </w:r>
          </w:p>
        </w:tc>
      </w:tr>
      <w:tr>
        <w:tc>
          <w:tcPr>
            <w:tcW w:type="dxa" w:w="1728"/>
          </w:tcPr>
          <w:p>
            <w:r>
              <w:rPr>
                <w:rFonts w:ascii="仿宋" w:hAnsi="仿宋" w:eastAsia="仿宋"/>
                <w:b w:val="0"/>
                <w:sz w:val="21"/>
              </w:rPr>
              <w:t>余电上网（亿kWh，占35%）</w:t>
            </w:r>
          </w:p>
        </w:tc>
        <w:tc>
          <w:tcPr>
            <w:tcW w:type="dxa" w:w="1728"/>
          </w:tcPr>
          <w:p>
            <w:r>
              <w:rPr>
                <w:rFonts w:ascii="仿宋" w:hAnsi="仿宋" w:eastAsia="仿宋"/>
                <w:b w:val="0"/>
                <w:sz w:val="21"/>
              </w:rPr>
              <w:t>0.79</w:t>
            </w:r>
          </w:p>
        </w:tc>
        <w:tc>
          <w:tcPr>
            <w:tcW w:type="dxa" w:w="1728"/>
          </w:tcPr>
          <w:p>
            <w:r>
              <w:rPr>
                <w:rFonts w:ascii="仿宋" w:hAnsi="仿宋" w:eastAsia="仿宋"/>
                <w:b w:val="0"/>
                <w:sz w:val="21"/>
              </w:rPr>
              <w:t>0.82</w:t>
            </w:r>
          </w:p>
        </w:tc>
        <w:tc>
          <w:tcPr>
            <w:tcW w:type="dxa" w:w="1728"/>
          </w:tcPr>
          <w:p>
            <w:r>
              <w:rPr>
                <w:rFonts w:ascii="仿宋" w:hAnsi="仿宋" w:eastAsia="仿宋"/>
                <w:b w:val="0"/>
                <w:sz w:val="21"/>
              </w:rPr>
              <w:t>0.89</w:t>
            </w:r>
          </w:p>
        </w:tc>
        <w:tc>
          <w:tcPr>
            <w:tcW w:type="dxa" w:w="1728"/>
          </w:tcPr>
          <w:p>
            <w:r>
              <w:rPr>
                <w:rFonts w:ascii="仿宋" w:hAnsi="仿宋" w:eastAsia="仿宋"/>
                <w:b w:val="0"/>
                <w:sz w:val="21"/>
              </w:rPr>
              <w:t>—</w:t>
            </w:r>
          </w:p>
        </w:tc>
      </w:tr>
    </w:tbl>
    <w:p>
      <w:pPr>
        <w:spacing w:line="360" w:lineRule="auto"/>
        <w:ind w:firstLine="560"/>
      </w:pPr>
      <w:r>
        <w:rPr>
          <w:rFonts w:ascii="仿宋" w:hAnsi="仿宋" w:eastAsia="仿宋"/>
          <w:b w:val="0"/>
          <w:sz w:val="28"/>
        </w:rPr>
        <w:t>据此测算：自发自用电量/年可用发电量≈65%≥60%（留有裕度）；自发自用电量/项目总用电量≈51%–61%≥30%（大幅领先门槛）。随重卡运输由“达标值（50辆）”向“争先值（200辆）”爬坡，自用消纳绝对量与占比将进一步提升。</w:t>
      </w:r>
    </w:p>
    <w:p>
      <w:r>
        <w:rPr>
          <w:rFonts w:ascii="楷体" w:hAnsi="楷体" w:eastAsia="楷体"/>
          <w:b/>
          <w:sz w:val="28"/>
        </w:rPr>
        <w:t>（三）碳减排成效测算</w:t>
      </w:r>
    </w:p>
    <w:p>
      <w:pPr>
        <w:spacing w:line="360" w:lineRule="auto"/>
        <w:ind w:firstLine="560"/>
      </w:pPr>
      <w:r>
        <w:rPr>
          <w:rFonts w:ascii="仿宋" w:hAnsi="仿宋" w:eastAsia="仿宋"/>
          <w:b w:val="0"/>
          <w:sz w:val="28"/>
        </w:rPr>
        <w:t>按中性情景年自用绿电约1.53亿kWh，参照华北区域电网平均排放因子（约0.55–0.58 tCO₂/MWh）测算，年减排二氧化碳约8.4万—8.9万吨（本项目测算）；叠加重卡“油改电”替代柴油的减排，全口径年减排量更高。相关减排量将纳入碳足迹核算体系，依托虚拟电厂开发绿证及CCER，形成可计量、可交易的碳资产。</w:t>
      </w:r>
    </w:p>
    <w:p>
      <w:r>
        <w:rPr>
          <w:rFonts w:ascii="黑体" w:hAnsi="黑体" w:eastAsia="黑体"/>
          <w:b/>
          <w:sz w:val="30"/>
        </w:rPr>
        <w:t>五、安全韧性提升量化目标</w:t>
      </w:r>
    </w:p>
    <w:p>
      <w:pPr>
        <w:spacing w:line="360" w:lineRule="auto"/>
        <w:ind w:firstLine="560"/>
      </w:pPr>
      <w:r>
        <w:rPr>
          <w:rFonts w:ascii="仿宋" w:hAnsi="仿宋" w:eastAsia="仿宋"/>
          <w:b w:val="0"/>
          <w:sz w:val="28"/>
        </w:rPr>
        <w:t>对照《2025年指引》“提升公路安全韧性水平（提升20%及以上）”要求，本项目设定以下量化目标：</w:t>
      </w:r>
    </w:p>
    <w:p>
      <w:pPr>
        <w:spacing w:line="360" w:lineRule="auto"/>
        <w:ind w:firstLine="560"/>
      </w:pPr>
      <w:r>
        <w:rPr>
          <w:rFonts w:ascii="仿宋" w:hAnsi="仿宋" w:eastAsia="仿宋"/>
          <w:b w:val="0"/>
          <w:sz w:val="28"/>
        </w:rPr>
        <w:t>1.核心业务不中断。隧道通风照明、收费系统、监控通信等核心交通业务，依托光储协同与柔性调度实现断电不中断，关键节点应急供电时长≥2小时。</w:t>
      </w:r>
    </w:p>
    <w:p>
      <w:pPr>
        <w:spacing w:line="360" w:lineRule="auto"/>
        <w:ind w:firstLine="560"/>
      </w:pPr>
      <w:r>
        <w:rPr>
          <w:rFonts w:ascii="仿宋" w:hAnsi="仿宋" w:eastAsia="仿宋"/>
          <w:b w:val="0"/>
          <w:sz w:val="28"/>
        </w:rPr>
        <w:t>2.韧性整体提升。通过应急备用电源、灾害监测预警、“一路多方”协同联动等措施，示范路段抵御极端天气与外部电网波动的安全韧性较改造前提升不低于20%。</w:t>
      </w:r>
    </w:p>
    <w:p>
      <w:pPr>
        <w:spacing w:line="360" w:lineRule="auto"/>
        <w:ind w:firstLine="560"/>
      </w:pPr>
      <w:r>
        <w:rPr>
          <w:rFonts w:ascii="仿宋" w:hAnsi="仿宋" w:eastAsia="仿宋"/>
          <w:b w:val="0"/>
          <w:sz w:val="28"/>
        </w:rPr>
        <w:t>3.本质安全改造。同步实施设备消防、隐患排查与本质安全改造，落实预警“叫应”闭环，提升路网运行韧性与应急处置能力。</w:t>
      </w:r>
    </w:p>
    <w:p>
      <w:r>
        <w:rPr>
          <w:rFonts w:ascii="黑体" w:hAnsi="黑体" w:eastAsia="黑体"/>
          <w:b/>
          <w:sz w:val="30"/>
        </w:rPr>
        <w:t>六、项目量化指标达标情况</w:t>
      </w:r>
    </w:p>
    <w:p>
      <w:pPr>
        <w:spacing w:line="360" w:lineRule="auto"/>
        <w:ind w:firstLine="560"/>
      </w:pPr>
      <w:r>
        <w:rPr>
          <w:rFonts w:ascii="仿宋" w:hAnsi="仿宋" w:eastAsia="仿宋"/>
          <w:b w:val="0"/>
          <w:sz w:val="28"/>
        </w:rPr>
        <w:t>经系统梳理，本项目能够同时满足交能融合示范项目4项量化指标要求，并在建设规模、场景完整性和示范引领性方面具备明显优势。</w:t>
      </w:r>
    </w:p>
    <w:p>
      <w:pPr>
        <w:jc w:val="center"/>
      </w:pPr>
      <w:r>
        <w:rPr>
          <w:rFonts w:ascii="黑体" w:hAnsi="黑体" w:eastAsia="黑体"/>
          <w:b w:val="0"/>
          <w:sz w:val="24"/>
        </w:rPr>
        <w:t>附表三　4项量化指标达标对比表</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指标事项</w:t>
            </w:r>
          </w:p>
        </w:tc>
        <w:tc>
          <w:tcPr>
            <w:tcW w:type="dxa" w:w="2880"/>
          </w:tcPr>
          <w:p>
            <w:pPr>
              <w:jc w:val="center"/>
            </w:pPr>
            <w:r>
              <w:rPr>
                <w:rFonts w:ascii="黑体" w:hAnsi="黑体" w:eastAsia="黑体"/>
                <w:b/>
                <w:sz w:val="22"/>
              </w:rPr>
              <w:t>申报要求</w:t>
            </w:r>
          </w:p>
        </w:tc>
        <w:tc>
          <w:tcPr>
            <w:tcW w:type="dxa" w:w="2880"/>
          </w:tcPr>
          <w:p>
            <w:pPr>
              <w:jc w:val="center"/>
            </w:pPr>
            <w:r>
              <w:rPr>
                <w:rFonts w:ascii="黑体" w:hAnsi="黑体" w:eastAsia="黑体"/>
                <w:b/>
                <w:sz w:val="22"/>
              </w:rPr>
              <w:t>项目达成情况</w:t>
            </w:r>
          </w:p>
        </w:tc>
      </w:tr>
      <w:tr>
        <w:tc>
          <w:tcPr>
            <w:tcW w:type="dxa" w:w="2880"/>
          </w:tcPr>
          <w:p>
            <w:r>
              <w:rPr>
                <w:rFonts w:ascii="仿宋" w:hAnsi="仿宋" w:eastAsia="仿宋"/>
                <w:b w:val="0"/>
                <w:sz w:val="21"/>
              </w:rPr>
              <w:t>清洁能源装机规模</w:t>
            </w:r>
          </w:p>
        </w:tc>
        <w:tc>
          <w:tcPr>
            <w:tcW w:type="dxa" w:w="2880"/>
          </w:tcPr>
          <w:p>
            <w:r>
              <w:rPr>
                <w:rFonts w:ascii="仿宋" w:hAnsi="仿宋" w:eastAsia="仿宋"/>
                <w:b w:val="0"/>
                <w:sz w:val="21"/>
              </w:rPr>
              <w:t>不低于6兆瓦</w:t>
            </w:r>
          </w:p>
        </w:tc>
        <w:tc>
          <w:tcPr>
            <w:tcW w:type="dxa" w:w="2880"/>
          </w:tcPr>
          <w:p>
            <w:r>
              <w:rPr>
                <w:rFonts w:ascii="仿宋" w:hAnsi="仿宋" w:eastAsia="仿宋"/>
                <w:b w:val="0"/>
                <w:sz w:val="21"/>
              </w:rPr>
              <w:t>规划路域分布式光伏约200MW（已分三期布局191MWp、已并网约100MW），约为门槛的33倍</w:t>
            </w:r>
          </w:p>
        </w:tc>
      </w:tr>
      <w:tr>
        <w:tc>
          <w:tcPr>
            <w:tcW w:type="dxa" w:w="2880"/>
          </w:tcPr>
          <w:p>
            <w:r>
              <w:rPr>
                <w:rFonts w:ascii="仿宋" w:hAnsi="仿宋" w:eastAsia="仿宋"/>
                <w:b w:val="0"/>
                <w:sz w:val="21"/>
              </w:rPr>
              <w:t>年自发自用占可用发电量比例</w:t>
            </w:r>
          </w:p>
        </w:tc>
        <w:tc>
          <w:tcPr>
            <w:tcW w:type="dxa" w:w="2880"/>
          </w:tcPr>
          <w:p>
            <w:r>
              <w:rPr>
                <w:rFonts w:ascii="仿宋" w:hAnsi="仿宋" w:eastAsia="仿宋"/>
                <w:b w:val="0"/>
                <w:sz w:val="21"/>
              </w:rPr>
              <w:t>不低于60%</w:t>
            </w:r>
          </w:p>
        </w:tc>
        <w:tc>
          <w:tcPr>
            <w:tcW w:type="dxa" w:w="2880"/>
          </w:tcPr>
          <w:p>
            <w:r>
              <w:rPr>
                <w:rFonts w:ascii="仿宋" w:hAnsi="仿宋" w:eastAsia="仿宋"/>
                <w:b w:val="0"/>
                <w:sz w:val="21"/>
              </w:rPr>
              <w:t>经能量平衡测算，自发自用占可用发电量≈65%≥60%</w:t>
            </w:r>
          </w:p>
        </w:tc>
      </w:tr>
      <w:tr>
        <w:tc>
          <w:tcPr>
            <w:tcW w:type="dxa" w:w="2880"/>
          </w:tcPr>
          <w:p>
            <w:r>
              <w:rPr>
                <w:rFonts w:ascii="仿宋" w:hAnsi="仿宋" w:eastAsia="仿宋"/>
                <w:b w:val="0"/>
                <w:sz w:val="21"/>
              </w:rPr>
              <w:t>年自发自用占总用电量比例</w:t>
            </w:r>
          </w:p>
        </w:tc>
        <w:tc>
          <w:tcPr>
            <w:tcW w:type="dxa" w:w="2880"/>
          </w:tcPr>
          <w:p>
            <w:r>
              <w:rPr>
                <w:rFonts w:ascii="仿宋" w:hAnsi="仿宋" w:eastAsia="仿宋"/>
                <w:b w:val="0"/>
                <w:sz w:val="21"/>
              </w:rPr>
              <w:t>不低于30%</w:t>
            </w:r>
          </w:p>
        </w:tc>
        <w:tc>
          <w:tcPr>
            <w:tcW w:type="dxa" w:w="2880"/>
          </w:tcPr>
          <w:p>
            <w:r>
              <w:rPr>
                <w:rFonts w:ascii="仿宋" w:hAnsi="仿宋" w:eastAsia="仿宋"/>
                <w:b w:val="0"/>
                <w:sz w:val="21"/>
              </w:rPr>
              <w:t>绿电自供占项目总用电量≈51%–61%≥30%</w:t>
            </w:r>
          </w:p>
        </w:tc>
      </w:tr>
      <w:tr>
        <w:tc>
          <w:tcPr>
            <w:tcW w:type="dxa" w:w="2880"/>
          </w:tcPr>
          <w:p>
            <w:r>
              <w:rPr>
                <w:rFonts w:ascii="仿宋" w:hAnsi="仿宋" w:eastAsia="仿宋"/>
                <w:b w:val="0"/>
                <w:sz w:val="21"/>
              </w:rPr>
              <w:t>零碳运输线路建设</w:t>
            </w:r>
          </w:p>
        </w:tc>
        <w:tc>
          <w:tcPr>
            <w:tcW w:type="dxa" w:w="2880"/>
          </w:tcPr>
          <w:p>
            <w:r>
              <w:rPr>
                <w:rFonts w:ascii="仿宋" w:hAnsi="仿宋" w:eastAsia="仿宋"/>
                <w:b w:val="0"/>
                <w:sz w:val="21"/>
              </w:rPr>
              <w:t>单程≥100km，车辆宜≥50辆，年运量宜≥20万吨</w:t>
            </w:r>
          </w:p>
        </w:tc>
        <w:tc>
          <w:tcPr>
            <w:tcW w:type="dxa" w:w="2880"/>
          </w:tcPr>
          <w:p>
            <w:r>
              <w:rPr>
                <w:rFonts w:ascii="仿宋" w:hAnsi="仿宋" w:eastAsia="仿宋"/>
                <w:b w:val="0"/>
                <w:sz w:val="21"/>
              </w:rPr>
              <w:t>津石保定—沧州段单程≥100km；达标值首批≥50辆/≥20万吨，争先值期满≥200辆/≥80万吨；覆盖路段总里程约450km</w:t>
            </w:r>
          </w:p>
        </w:tc>
      </w:tr>
      <w:tr>
        <w:tc>
          <w:tcPr>
            <w:tcW w:type="dxa" w:w="2880"/>
          </w:tcPr>
          <w:p>
            <w:r>
              <w:rPr>
                <w:rFonts w:ascii="仿宋" w:hAnsi="仿宋" w:eastAsia="仿宋"/>
                <w:b w:val="0"/>
                <w:sz w:val="21"/>
              </w:rPr>
              <w:t>零碳枢纽设施建设</w:t>
            </w:r>
          </w:p>
        </w:tc>
        <w:tc>
          <w:tcPr>
            <w:tcW w:type="dxa" w:w="2880"/>
          </w:tcPr>
          <w:p>
            <w:r>
              <w:rPr>
                <w:rFonts w:ascii="仿宋" w:hAnsi="仿宋" w:eastAsia="仿宋"/>
                <w:b w:val="0"/>
                <w:sz w:val="21"/>
              </w:rPr>
              <w:t>用能、供能100%新能源/清洁能源</w:t>
            </w:r>
          </w:p>
        </w:tc>
        <w:tc>
          <w:tcPr>
            <w:tcW w:type="dxa" w:w="2880"/>
          </w:tcPr>
          <w:p>
            <w:r>
              <w:rPr>
                <w:rFonts w:ascii="仿宋" w:hAnsi="仿宋" w:eastAsia="仿宋"/>
                <w:b w:val="0"/>
                <w:sz w:val="21"/>
              </w:rPr>
              <w:t>重点服务区、收费站、养护工区、隧道管理站通过“自发自用＋储能调节＋绿电交易/绿证补足”实现100%清洁能源</w:t>
            </w:r>
          </w:p>
        </w:tc>
      </w:tr>
    </w:tbl>
    <w:p>
      <w:r>
        <w:rPr>
          <w:rFonts w:ascii="楷体" w:hAnsi="楷体" w:eastAsia="楷体"/>
          <w:b w:val="0"/>
          <w:color w:val="505050"/>
          <w:sz w:val="24"/>
        </w:rPr>
        <w:t>达标性小结：指标①④裕度充足，指标③兼具“达标值”与“争先值”，指标②经自下而上测算论证完整，4项指标全部满足且整体留有安全裕度。</w:t>
      </w:r>
    </w:p>
    <w:p>
      <w:r>
        <w:rPr>
          <w:rFonts w:ascii="黑体" w:hAnsi="黑体" w:eastAsia="黑体"/>
          <w:b/>
          <w:sz w:val="30"/>
        </w:rPr>
        <w:t>七、当前工作推进情况</w:t>
      </w:r>
    </w:p>
    <w:p>
      <w:pPr>
        <w:spacing w:line="360" w:lineRule="auto"/>
        <w:ind w:firstLine="560"/>
      </w:pPr>
      <w:r>
        <w:rPr>
          <w:rFonts w:ascii="仿宋" w:hAnsi="仿宋" w:eastAsia="仿宋"/>
          <w:b w:val="0"/>
          <w:sz w:val="28"/>
        </w:rPr>
        <w:t>（一）路域光伏建设快速推进。已并网光伏约100MW，实现稳定发电；其余规模正有序推进场站化改造，向规划约200MW目标扩展。</w:t>
      </w:r>
    </w:p>
    <w:p>
      <w:pPr>
        <w:spacing w:line="360" w:lineRule="auto"/>
        <w:ind w:firstLine="560"/>
      </w:pPr>
      <w:r>
        <w:rPr>
          <w:rFonts w:ascii="仿宋" w:hAnsi="仿宋" w:eastAsia="仿宋"/>
          <w:b w:val="0"/>
          <w:sz w:val="28"/>
        </w:rPr>
        <w:t>（二）储能设施和综合补能方案同步推进。已投运储能32MWh，后续结合负荷分布稳步扩容至150MWh；充电设施选址、负荷接入和踏勘工作已基本完成。</w:t>
      </w:r>
    </w:p>
    <w:p>
      <w:pPr>
        <w:spacing w:line="360" w:lineRule="auto"/>
        <w:ind w:firstLine="560"/>
      </w:pPr>
      <w:r>
        <w:rPr>
          <w:rFonts w:ascii="仿宋" w:hAnsi="仿宋" w:eastAsia="仿宋"/>
          <w:b w:val="0"/>
          <w:sz w:val="28"/>
        </w:rPr>
        <w:t>（三）虚拟电厂和综合能源管理平台前期工作有序开展。已结合冀北电网、河北南网准入要求推进聚合商资质申报和资源摸排。</w:t>
      </w:r>
    </w:p>
    <w:p>
      <w:pPr>
        <w:spacing w:line="360" w:lineRule="auto"/>
        <w:ind w:firstLine="560"/>
      </w:pPr>
      <w:r>
        <w:rPr>
          <w:rFonts w:ascii="仿宋" w:hAnsi="仿宋" w:eastAsia="仿宋"/>
          <w:b w:val="0"/>
          <w:sz w:val="28"/>
        </w:rPr>
        <w:t>（四）零碳枢纽和多元消纳场景加快论证。正细化零碳改造实施方案，并就分布式算力、绿电制氢等场景开展前期论证，有序推进光储充一体化设施建设。</w:t>
      </w:r>
    </w:p>
    <w:p>
      <w:r>
        <w:rPr>
          <w:rFonts w:ascii="黑体" w:hAnsi="黑体" w:eastAsia="黑体"/>
          <w:b/>
          <w:sz w:val="30"/>
        </w:rPr>
        <w:t>八、下一步工作安排</w:t>
      </w:r>
    </w:p>
    <w:p>
      <w:pPr>
        <w:spacing w:line="360" w:lineRule="auto"/>
        <w:ind w:firstLine="560"/>
      </w:pPr>
      <w:r>
        <w:rPr>
          <w:rFonts w:ascii="仿宋" w:hAnsi="仿宋" w:eastAsia="仿宋"/>
          <w:b w:val="0"/>
          <w:sz w:val="28"/>
        </w:rPr>
        <w:t>（一）高标准完善试点申报方案。进一步完善建设目标、技术路线、实施计划、投资测算、碳减排成效和复制推广机制。</w:t>
      </w:r>
    </w:p>
    <w:p>
      <w:pPr>
        <w:spacing w:line="360" w:lineRule="auto"/>
        <w:ind w:firstLine="560"/>
      </w:pPr>
      <w:r>
        <w:rPr>
          <w:rFonts w:ascii="仿宋" w:hAnsi="仿宋" w:eastAsia="仿宋"/>
          <w:b w:val="0"/>
          <w:sz w:val="28"/>
        </w:rPr>
        <w:t>（二）加快剩余光伏和储能建设。向约200MW、150MWh目标扩展，提升削峰填谷、柔性调节和应急保供水平。</w:t>
      </w:r>
    </w:p>
    <w:p>
      <w:pPr>
        <w:spacing w:line="360" w:lineRule="auto"/>
        <w:ind w:firstLine="560"/>
      </w:pPr>
      <w:r>
        <w:rPr>
          <w:rFonts w:ascii="仿宋" w:hAnsi="仿宋" w:eastAsia="仿宋"/>
          <w:b w:val="0"/>
          <w:sz w:val="28"/>
        </w:rPr>
        <w:t>（三）尽快落地零碳重卡示范通道。首批形成不少于50辆、单程不低于100公里、年运量不低于20万吨的实质性运营场景，并向期满200辆、80万吨争先目标迈进。</w:t>
      </w:r>
    </w:p>
    <w:p>
      <w:pPr>
        <w:spacing w:line="360" w:lineRule="auto"/>
        <w:ind w:firstLine="560"/>
      </w:pPr>
      <w:r>
        <w:rPr>
          <w:rFonts w:ascii="仿宋" w:hAnsi="仿宋" w:eastAsia="仿宋"/>
          <w:b w:val="0"/>
          <w:sz w:val="28"/>
        </w:rPr>
        <w:t>（四）同步推进零碳枢纽和服务区改造。推动形成一批100%清洁能源供用能的示范节点。</w:t>
      </w:r>
    </w:p>
    <w:p>
      <w:pPr>
        <w:spacing w:line="360" w:lineRule="auto"/>
        <w:ind w:firstLine="560"/>
      </w:pPr>
      <w:r>
        <w:rPr>
          <w:rFonts w:ascii="仿宋" w:hAnsi="仿宋" w:eastAsia="仿宋"/>
          <w:b w:val="0"/>
          <w:sz w:val="28"/>
        </w:rPr>
        <w:t>（五）加快建设统一平台和碳管理体系。完善绿电追溯、充换电调度、碳减排核证、安全监测和运营评价等功能。</w:t>
      </w:r>
    </w:p>
    <w:p>
      <w:pPr>
        <w:spacing w:line="360" w:lineRule="auto"/>
        <w:ind w:firstLine="560"/>
      </w:pPr>
      <w:r>
        <w:rPr>
          <w:rFonts w:ascii="仿宋" w:hAnsi="仿宋" w:eastAsia="仿宋"/>
          <w:b w:val="0"/>
          <w:sz w:val="28"/>
        </w:rPr>
        <w:t>（六）强化标准机制和复制推广。形成可复制可推广的标准规范和运营机制。</w:t>
      </w:r>
    </w:p>
    <w:p/>
    <w:p>
      <w:pPr>
        <w:jc w:val="right"/>
      </w:pPr>
      <w:r>
        <w:rPr>
          <w:rFonts w:ascii="仿宋" w:hAnsi="仿宋" w:eastAsia="仿宋"/>
          <w:b w:val="0"/>
          <w:sz w:val="24"/>
        </w:rPr>
        <w:t>汇报单位：河北交通投资集团有限公司</w:t>
      </w:r>
    </w:p>
    <w:p>
      <w:pPr>
        <w:jc w:val="right"/>
      </w:pPr>
      <w:r>
        <w:rPr>
          <w:rFonts w:ascii="仿宋" w:hAnsi="仿宋" w:eastAsia="仿宋"/>
          <w:b w:val="0"/>
          <w:sz w:val="24"/>
        </w:rPr>
        <w:t>联系人：（请填写）　联系电话：（请填写）</w:t>
      </w:r>
    </w:p>
    <w:p>
      <w:pPr>
        <w:jc w:val="right"/>
      </w:pPr>
      <w:r>
        <w:rPr>
          <w:rFonts w:ascii="仿宋" w:hAnsi="仿宋" w:eastAsia="仿宋"/>
          <w:b w:val="0"/>
          <w:sz w:val="24"/>
        </w:rPr>
        <w:t>二〇二六年四月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