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0"/>
        </w:rPr>
        <w:t>交通基础设施绿色化转型项目</w:t>
      </w:r>
    </w:p>
    <w:p>
      <w:pPr>
        <w:jc w:val="center"/>
      </w:pPr>
      <w:r>
        <w:rPr>
          <w:rFonts w:ascii="Times New Roman" w:hAnsi="Times New Roman" w:eastAsia="黑体"/>
          <w:b/>
          <w:sz w:val="30"/>
        </w:rPr>
        <w:t>——河北高速公路分布式光伏交能融合及电动重卡零碳运输示范工程情况汇报</w:t>
      </w:r>
    </w:p>
    <w:p>
      <w:pPr>
        <w:spacing w:line="312" w:lineRule="auto"/>
      </w:pPr>
      <w:r>
        <w:rPr>
          <w:rFonts w:ascii="Times New Roman" w:hAnsi="Times New Roman" w:eastAsia="楷体"/>
          <w:i/>
          <w:color w:val="555555"/>
          <w:sz w:val="21"/>
        </w:rPr>
        <w:t>（优化稿。带"测算"标注数据为申报阶段工程测算值，最终以可行性研究报告及主管部门核定为准。）</w:t>
      </w:r>
    </w:p>
    <w:p>
      <w:pPr>
        <w:spacing w:before="160" w:after="80"/>
      </w:pPr>
      <w:r>
        <w:rPr>
          <w:rFonts w:ascii="Times New Roman" w:hAnsi="Times New Roman" w:eastAsia="黑体"/>
          <w:b/>
          <w:sz w:val="30"/>
        </w:rPr>
        <w:t>政策依据</w:t>
      </w:r>
    </w:p>
    <w:p>
      <w:pPr>
        <w:spacing w:line="360" w:lineRule="auto"/>
        <w:ind w:firstLine="480"/>
      </w:pPr>
      <w:r>
        <w:rPr>
          <w:rFonts w:ascii="Times New Roman" w:hAnsi="Times New Roman" w:eastAsia="仿宋"/>
          <w:sz w:val="24"/>
        </w:rPr>
        <w:t>本项目对照《交通强国建设纲要》《国家综合立体交通网规划纲要》、碳达峰碳中和相关意见及交通运输领域碳达峰实施方案，重点对照《交通强国建设试点申报方向指引（2025年）》中"交通基础设施更新提质（推动交通基础设施'四化'同步建设）""交通运输与能源融合发展""推动电动重卡充换电设施建设""公路水路交通基础设施数字化转型升级""推动服务区高质量发展""提升公路安全韧性水平""加快推动交通运输绿色转型""加快交通运输基础大模型创新突破"等方向，并衔接河北省综合交通、能源发展和碳达峰相关规划编制。</w:t>
      </w:r>
    </w:p>
    <w:p>
      <w:pPr>
        <w:spacing w:line="360" w:lineRule="auto"/>
        <w:ind w:firstLine="480"/>
      </w:pPr>
      <w:r>
        <w:rPr>
          <w:rFonts w:ascii="Times New Roman" w:hAnsi="Times New Roman" w:eastAsia="仿宋"/>
          <w:sz w:val="24"/>
        </w:rPr>
        <w:t>为深入贯彻落实党中央、国务院关于加快建设交通强国、推进碳达峰碳中和的决策部署，依托河北高速公路沿线分布式光伏资源和重载货运通道基础，拟实施河北高速公路分布式光伏交能融合及电动重卡零碳运输示范工程。项目以高速公路路域分布式光伏为基座，以电动重卡零碳运输为牵引，以高速公路"融合化、安全化、智慧化、绿色化"同步建设为主线，统筹推进绿电生产、储能调节、综合补能、智慧调度、零碳枢纽打造和运营安全提升，着力形成可复制、可推广的交通基础设施绿色化转型"河北方案"。现将有关情况汇报如下。</w:t>
      </w:r>
    </w:p>
    <w:p>
      <w:pPr>
        <w:spacing w:before="160" w:after="80"/>
      </w:pPr>
      <w:r>
        <w:rPr>
          <w:rFonts w:ascii="Times New Roman" w:hAnsi="Times New Roman" w:eastAsia="黑体"/>
          <w:b/>
          <w:sz w:val="30"/>
        </w:rPr>
        <w:t>一、项目基本情况</w:t>
      </w:r>
    </w:p>
    <w:p>
      <w:pPr>
        <w:spacing w:line="360" w:lineRule="auto"/>
        <w:ind w:firstLine="480"/>
      </w:pPr>
      <w:r>
        <w:rPr>
          <w:rFonts w:ascii="Times New Roman" w:hAnsi="Times New Roman" w:eastAsia="仿宋"/>
          <w:sz w:val="24"/>
        </w:rPr>
        <w:t>项目依托河北交通投资集团有限公司所属高速公路资源组织实施，涉及张石高速保定段、津石高速廊坊—沧州—保定段、太行山高速邢邯段、京秦高速遵秦段等路段，合计里程约450公里。项目由华能景顺私募基金管理有限公司统筹，通过创新性产融结合模式，实现交通基础设施更新的多元化投融资示范；建设主体为石家庄铧景昱仁新能源科技有限公司、石家庄铧景石能新能源科技有限公司。</w:t>
      </w:r>
    </w:p>
    <w:p>
      <w:pPr>
        <w:spacing w:line="360" w:lineRule="auto"/>
        <w:ind w:firstLine="480"/>
      </w:pPr>
      <w:r>
        <w:rPr>
          <w:rFonts w:ascii="Times New Roman" w:hAnsi="Times New Roman" w:eastAsia="仿宋"/>
          <w:sz w:val="24"/>
        </w:rPr>
        <w:t>项目总投资约10.58亿元（105,800万元，测算，以可研概算为准），重点围绕沿线边坡、匝道、互通、服务区、收费站、隧道口等可利用空间，建设分布式光伏、储能、充换电、综合能源管理及虚拟电厂等设施，构建"源—网—荷—储—充—运"一体化示范系统。</w:t>
      </w:r>
    </w:p>
    <w:p>
      <w:pPr>
        <w:spacing w:line="360" w:lineRule="auto"/>
        <w:ind w:firstLine="480"/>
      </w:pPr>
      <w:r>
        <w:rPr>
          <w:rFonts w:ascii="Times New Roman" w:hAnsi="Times New Roman" w:eastAsia="仿宋"/>
          <w:sz w:val="24"/>
        </w:rPr>
        <w:t>项目坚持"以荷定源、以荷建储、源荷储同步"的规划理念，总体建设内容包括：一是围绕津石、太行山等主通道，高标准建设6对重卡充电站、3对换电站及50个乘用车充电场站，打通超100公里的零碳重卡运输走廊；二是精准匹配并就近建设路域分布式光伏200MW及配套储能150MWh，保障高功率充换电设施绿电直供与电网接入安全；三是构建统一综合能源管理平台和虚拟电厂体系，实现分布式绿电就地就近消纳、柔性调节和多场景协同运营，并因地制宜拓展分布式算力、绿电制氢等辅助性消纳场景。</w:t>
      </w:r>
    </w:p>
    <w:p>
      <w:pPr>
        <w:spacing w:before="80"/>
      </w:pPr>
      <w:r>
        <w:rPr>
          <w:rFonts w:ascii="Times New Roman" w:hAnsi="Times New Roman" w:eastAsia="楷体"/>
          <w:b/>
          <w:sz w:val="26"/>
        </w:rPr>
        <w:t>建设规模一览（现状／试点期目标）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1"/>
              </w:rPr>
              <w:t>建设内容</w:t>
            </w:r>
          </w:p>
        </w:tc>
        <w:tc>
          <w:tcPr>
            <w:tcW w:type="dxa" w:w="2880"/>
          </w:tcPr>
          <w:p>
            <w:r/>
            <w:r>
              <w:rPr>
                <w:rFonts w:ascii="Times New Roman" w:hAnsi="Times New Roman" w:eastAsia="黑体"/>
                <w:b/>
                <w:sz w:val="21"/>
              </w:rPr>
              <w:t>现状已建成</w:t>
            </w:r>
          </w:p>
        </w:tc>
        <w:tc>
          <w:tcPr>
            <w:tcW w:type="dxa" w:w="2880"/>
          </w:tcPr>
          <w:p>
            <w:r/>
            <w:r>
              <w:rPr>
                <w:rFonts w:ascii="Times New Roman" w:hAnsi="Times New Roman" w:eastAsia="黑体"/>
                <w:b/>
                <w:sz w:val="21"/>
              </w:rPr>
              <w:t>试点期目标</w:t>
            </w:r>
          </w:p>
        </w:tc>
      </w:tr>
      <w:tr>
        <w:tc>
          <w:tcPr>
            <w:tcW w:type="dxa" w:w="2880"/>
          </w:tcPr>
          <w:p>
            <w:r/>
            <w:r>
              <w:rPr>
                <w:rFonts w:ascii="Times New Roman" w:hAnsi="Times New Roman" w:eastAsia="仿宋"/>
                <w:sz w:val="21"/>
              </w:rPr>
              <w:t>路域分布式光伏</w:t>
            </w:r>
          </w:p>
        </w:tc>
        <w:tc>
          <w:tcPr>
            <w:tcW w:type="dxa" w:w="2880"/>
          </w:tcPr>
          <w:p>
            <w:r/>
            <w:r>
              <w:rPr>
                <w:rFonts w:ascii="Times New Roman" w:hAnsi="Times New Roman" w:eastAsia="仿宋"/>
                <w:sz w:val="21"/>
              </w:rPr>
              <w:t>已并网100MW，稳定发电</w:t>
            </w:r>
          </w:p>
        </w:tc>
        <w:tc>
          <w:tcPr>
            <w:tcW w:type="dxa" w:w="2880"/>
          </w:tcPr>
          <w:p>
            <w:r/>
            <w:r>
              <w:rPr>
                <w:rFonts w:ascii="Times New Roman" w:hAnsi="Times New Roman" w:eastAsia="仿宋"/>
                <w:sz w:val="21"/>
              </w:rPr>
              <w:t>200MW</w:t>
            </w:r>
          </w:p>
        </w:tc>
      </w:tr>
      <w:tr>
        <w:tc>
          <w:tcPr>
            <w:tcW w:type="dxa" w:w="2880"/>
          </w:tcPr>
          <w:p>
            <w:r/>
            <w:r>
              <w:rPr>
                <w:rFonts w:ascii="Times New Roman" w:hAnsi="Times New Roman" w:eastAsia="仿宋"/>
                <w:sz w:val="21"/>
              </w:rPr>
              <w:t>储能</w:t>
            </w:r>
          </w:p>
        </w:tc>
        <w:tc>
          <w:tcPr>
            <w:tcW w:type="dxa" w:w="2880"/>
          </w:tcPr>
          <w:p>
            <w:r/>
            <w:r>
              <w:rPr>
                <w:rFonts w:ascii="Times New Roman" w:hAnsi="Times New Roman" w:eastAsia="仿宋"/>
                <w:sz w:val="21"/>
              </w:rPr>
              <w:t>已投运32MWh</w:t>
            </w:r>
          </w:p>
        </w:tc>
        <w:tc>
          <w:tcPr>
            <w:tcW w:type="dxa" w:w="2880"/>
          </w:tcPr>
          <w:p>
            <w:r/>
            <w:r>
              <w:rPr>
                <w:rFonts w:ascii="Times New Roman" w:hAnsi="Times New Roman" w:eastAsia="仿宋"/>
                <w:sz w:val="21"/>
              </w:rPr>
              <w:t>150MWh</w:t>
            </w:r>
          </w:p>
        </w:tc>
      </w:tr>
      <w:tr>
        <w:tc>
          <w:tcPr>
            <w:tcW w:type="dxa" w:w="2880"/>
          </w:tcPr>
          <w:p>
            <w:r/>
            <w:r>
              <w:rPr>
                <w:rFonts w:ascii="Times New Roman" w:hAnsi="Times New Roman" w:eastAsia="仿宋"/>
                <w:sz w:val="21"/>
              </w:rPr>
              <w:t>重卡充电站</w:t>
            </w:r>
          </w:p>
        </w:tc>
        <w:tc>
          <w:tcPr>
            <w:tcW w:type="dxa" w:w="2880"/>
          </w:tcPr>
          <w:p>
            <w:r/>
            <w:r>
              <w:rPr>
                <w:rFonts w:ascii="Times New Roman" w:hAnsi="Times New Roman" w:eastAsia="仿宋"/>
                <w:sz w:val="21"/>
              </w:rPr>
              <w:t>选址/接入条件踏勘基本完成</w:t>
            </w:r>
          </w:p>
        </w:tc>
        <w:tc>
          <w:tcPr>
            <w:tcW w:type="dxa" w:w="2880"/>
          </w:tcPr>
          <w:p>
            <w:r/>
            <w:r>
              <w:rPr>
                <w:rFonts w:ascii="Times New Roman" w:hAnsi="Times New Roman" w:eastAsia="仿宋"/>
                <w:sz w:val="21"/>
              </w:rPr>
              <w:t>6对（12座）</w:t>
            </w:r>
          </w:p>
        </w:tc>
      </w:tr>
      <w:tr>
        <w:tc>
          <w:tcPr>
            <w:tcW w:type="dxa" w:w="2880"/>
          </w:tcPr>
          <w:p>
            <w:r/>
            <w:r>
              <w:rPr>
                <w:rFonts w:ascii="Times New Roman" w:hAnsi="Times New Roman" w:eastAsia="仿宋"/>
                <w:sz w:val="21"/>
              </w:rPr>
              <w:t>换电站</w:t>
            </w:r>
          </w:p>
        </w:tc>
        <w:tc>
          <w:tcPr>
            <w:tcW w:type="dxa" w:w="2880"/>
          </w:tcPr>
          <w:p>
            <w:r/>
            <w:r>
              <w:rPr>
                <w:rFonts w:ascii="Times New Roman" w:hAnsi="Times New Roman" w:eastAsia="仿宋"/>
                <w:sz w:val="21"/>
              </w:rPr>
              <w:t>方案完善中</w:t>
            </w:r>
          </w:p>
        </w:tc>
        <w:tc>
          <w:tcPr>
            <w:tcW w:type="dxa" w:w="2880"/>
          </w:tcPr>
          <w:p>
            <w:r/>
            <w:r>
              <w:rPr>
                <w:rFonts w:ascii="Times New Roman" w:hAnsi="Times New Roman" w:eastAsia="仿宋"/>
                <w:sz w:val="21"/>
              </w:rPr>
              <w:t>3对（6座）</w:t>
            </w:r>
          </w:p>
        </w:tc>
      </w:tr>
      <w:tr>
        <w:tc>
          <w:tcPr>
            <w:tcW w:type="dxa" w:w="2880"/>
          </w:tcPr>
          <w:p>
            <w:r/>
            <w:r>
              <w:rPr>
                <w:rFonts w:ascii="Times New Roman" w:hAnsi="Times New Roman" w:eastAsia="仿宋"/>
                <w:sz w:val="21"/>
              </w:rPr>
              <w:t>乘用车充电场站</w:t>
            </w:r>
          </w:p>
        </w:tc>
        <w:tc>
          <w:tcPr>
            <w:tcW w:type="dxa" w:w="2880"/>
          </w:tcPr>
          <w:p>
            <w:r/>
            <w:r>
              <w:rPr>
                <w:rFonts w:ascii="Times New Roman" w:hAnsi="Times New Roman" w:eastAsia="仿宋"/>
                <w:sz w:val="21"/>
              </w:rPr>
              <w:t>部分点位建设中</w:t>
            </w:r>
          </w:p>
        </w:tc>
        <w:tc>
          <w:tcPr>
            <w:tcW w:type="dxa" w:w="2880"/>
          </w:tcPr>
          <w:p>
            <w:r/>
            <w:r>
              <w:rPr>
                <w:rFonts w:ascii="Times New Roman" w:hAnsi="Times New Roman" w:eastAsia="仿宋"/>
                <w:sz w:val="21"/>
              </w:rPr>
              <w:t>50个</w:t>
            </w:r>
          </w:p>
        </w:tc>
      </w:tr>
      <w:tr>
        <w:tc>
          <w:tcPr>
            <w:tcW w:type="dxa" w:w="2880"/>
          </w:tcPr>
          <w:p>
            <w:r/>
            <w:r>
              <w:rPr>
                <w:rFonts w:ascii="Times New Roman" w:hAnsi="Times New Roman" w:eastAsia="仿宋"/>
                <w:sz w:val="21"/>
              </w:rPr>
              <w:t>综合能源管理平台/虚拟电厂</w:t>
            </w:r>
          </w:p>
        </w:tc>
        <w:tc>
          <w:tcPr>
            <w:tcW w:type="dxa" w:w="2880"/>
          </w:tcPr>
          <w:p>
            <w:r/>
            <w:r>
              <w:rPr>
                <w:rFonts w:ascii="Times New Roman" w:hAnsi="Times New Roman" w:eastAsia="仿宋"/>
                <w:sz w:val="21"/>
              </w:rPr>
              <w:t>资质申报与资源摸排中</w:t>
            </w:r>
          </w:p>
        </w:tc>
        <w:tc>
          <w:tcPr>
            <w:tcW w:type="dxa" w:w="2880"/>
          </w:tcPr>
          <w:p>
            <w:r/>
            <w:r>
              <w:rPr>
                <w:rFonts w:ascii="Times New Roman" w:hAnsi="Times New Roman" w:eastAsia="仿宋"/>
                <w:sz w:val="21"/>
              </w:rPr>
              <w:t>全域统一接入</w:t>
            </w:r>
          </w:p>
        </w:tc>
      </w:tr>
    </w:tbl>
    <w:p>
      <w:pPr>
        <w:spacing w:before="160" w:after="80"/>
      </w:pPr>
      <w:r>
        <w:rPr>
          <w:rFonts w:ascii="Times New Roman" w:hAnsi="Times New Roman" w:eastAsia="黑体"/>
          <w:b/>
          <w:sz w:val="30"/>
        </w:rPr>
        <w:t>二、对标试点申报方向的匹配性和竞争力</w:t>
      </w:r>
    </w:p>
    <w:p>
      <w:pPr>
        <w:spacing w:line="360" w:lineRule="auto"/>
        <w:ind w:firstLine="480"/>
      </w:pPr>
      <w:r>
        <w:rPr>
          <w:rFonts w:ascii="Times New Roman" w:hAnsi="Times New Roman" w:eastAsia="仿宋"/>
          <w:sz w:val="24"/>
        </w:rPr>
        <w:t>（一）与"交通基础设施更新提质、推动高速公路'四化'同步建设"高度契合。项目依托高速公路既有设施更新和功能重塑，实现"一次更新、全方位提升"。融合化方面，统筹路域光伏、储能、充换电、物流组织、数字平台和运营管理；安全化方面，统筹电力保供、设备消防、灾害监测、应急处置和本质安全改造，目标使示范路段安全韧性提升20%以上；智慧化方面，建设"源网荷储充运"一体化平台、虚拟电厂和碳管理体系，并预留与交通基础大模型、车路协同计算对接接口；绿色化方面，推进沿线闲置资源开发、用能清洁替代和重载货运油改电，形成近零碳高速公路示范场景。</w:t>
      </w:r>
    </w:p>
    <w:p>
      <w:pPr>
        <w:spacing w:line="360" w:lineRule="auto"/>
        <w:ind w:firstLine="480"/>
      </w:pPr>
      <w:r>
        <w:rPr>
          <w:rFonts w:ascii="Times New Roman" w:hAnsi="Times New Roman" w:eastAsia="仿宋"/>
          <w:sz w:val="24"/>
        </w:rPr>
        <w:t>（二）与"交通运输与能源融合发展"高度契合。项目以路域光伏为基础，以储能、微电网、虚拟电厂和综合能源补给站为支撑，推广新能源柔性汇集接入、分布式智能微电网、源网荷储充协同调度等关键技术，建设"源—网—荷—储—充"一体化项目，符合建设（近）零碳交通基础设施和交能融合示范项目的核心要求。</w:t>
      </w:r>
    </w:p>
    <w:p>
      <w:pPr>
        <w:spacing w:line="360" w:lineRule="auto"/>
        <w:ind w:firstLine="480"/>
      </w:pPr>
      <w:r>
        <w:rPr>
          <w:rFonts w:ascii="Times New Roman" w:hAnsi="Times New Roman" w:eastAsia="仿宋"/>
          <w:sz w:val="24"/>
        </w:rPr>
        <w:t>（三）与"推动电动重卡充换电设施建设"高度契合。项目以交通主业为牵引，依托具备条件的主通道打造新能源重卡零碳运输示范线路，形成"绿电发电—绿电补能—零碳运输—碳足迹核算"业务闭环，具备建设跨区域新能源重卡运输廊道的良好基础。</w:t>
      </w:r>
    </w:p>
    <w:p>
      <w:pPr>
        <w:spacing w:line="360" w:lineRule="auto"/>
        <w:ind w:firstLine="480"/>
      </w:pPr>
      <w:r>
        <w:rPr>
          <w:rFonts w:ascii="Times New Roman" w:hAnsi="Times New Roman" w:eastAsia="仿宋"/>
          <w:sz w:val="24"/>
        </w:rPr>
        <w:t>（四）与"公路基础设施数字化转型升级、服务区高质量发展和安全韧性提升"高度契合。项目同步推进服务区、收费站、隧道管理站等节点数字化、低碳化改造，强化设备状态监测、能耗监测、充换电调度、灾害预警、应急保供和"一张网"服务能力。</w:t>
      </w:r>
    </w:p>
    <w:p>
      <w:pPr>
        <w:spacing w:line="360" w:lineRule="auto"/>
        <w:ind w:firstLine="480"/>
      </w:pPr>
      <w:r>
        <w:rPr>
          <w:rFonts w:ascii="Times New Roman" w:hAnsi="Times New Roman" w:eastAsia="仿宋"/>
          <w:sz w:val="24"/>
        </w:rPr>
        <w:t>（五）与"加快推动交通运输绿色转型、交通基础大模型创新"形成呼应。以碳足迹核算、碳减排核证对接碳达峰政策机制创新；以分布式算力承载高速公路视频AI分析、车路协同计算等场景，对接交通运输基础大模型应用。</w:t>
      </w:r>
    </w:p>
    <w:p>
      <w:pPr>
        <w:spacing w:before="160" w:after="80"/>
      </w:pPr>
      <w:r>
        <w:rPr>
          <w:rFonts w:ascii="Times New Roman" w:hAnsi="Times New Roman" w:eastAsia="黑体"/>
          <w:b/>
          <w:sz w:val="30"/>
        </w:rPr>
        <w:t>三、项目总体目标与重点示范内容</w:t>
      </w:r>
    </w:p>
    <w:p>
      <w:pPr>
        <w:spacing w:line="360" w:lineRule="auto"/>
        <w:ind w:firstLine="480"/>
      </w:pPr>
      <w:r>
        <w:rPr>
          <w:rFonts w:ascii="Times New Roman" w:hAnsi="Times New Roman" w:eastAsia="仿宋"/>
          <w:sz w:val="24"/>
        </w:rPr>
        <w:t>（一）打造交通自洽型柔性能源微电网。充分利用边坡、互通等闲置路域资源，建设200MW光伏与150MWh储能，作为高速公路的"充电宝"与"备用电源"，解决沿线充换电站及零碳枢纽增容难题，实现路域能源就地平衡与自给。</w:t>
      </w:r>
    </w:p>
    <w:p>
      <w:pPr>
        <w:spacing w:line="360" w:lineRule="auto"/>
        <w:ind w:firstLine="480"/>
      </w:pPr>
      <w:r>
        <w:rPr>
          <w:rFonts w:ascii="Times New Roman" w:hAnsi="Times New Roman" w:eastAsia="仿宋"/>
          <w:sz w:val="24"/>
        </w:rPr>
        <w:t>（二）打造电动重卡零碳运输示范通道。依托津石高速保定—沧州段等货运主通道，建设单程不低于100公里的新能源重卡零碳运输示范线路：首批组织新能源重卡不少于50辆、年运输量不少于20万吨（达标线）；试点期满力争扩展至200辆以上、年运输量80万吨以上（超额目标）。同步布局重卡充电站6对、换电站3对，探索"车—站—桩—电池银行—平台"一体化运营模式。</w:t>
      </w:r>
    </w:p>
    <w:p>
      <w:pPr>
        <w:spacing w:line="360" w:lineRule="auto"/>
        <w:ind w:firstLine="480"/>
      </w:pPr>
      <w:r>
        <w:rPr>
          <w:rFonts w:ascii="Times New Roman" w:hAnsi="Times New Roman" w:eastAsia="仿宋"/>
          <w:sz w:val="24"/>
        </w:rPr>
        <w:t>（三）打造零碳服务区和零碳枢纽。以服务区、收费站、养护工区、隧道管理站等节点为重点，推进光伏、储能、充电、用能替代和节能改造一体实施。以光储直供的物理绿电为主、绿电交易为补充、绿证核销为兜底，推动重点枢纽设施实现用能、供能100%使用新能源或清洁能源。</w:t>
      </w:r>
    </w:p>
    <w:p>
      <w:pPr>
        <w:spacing w:line="360" w:lineRule="auto"/>
        <w:ind w:firstLine="480"/>
      </w:pPr>
      <w:r>
        <w:rPr>
          <w:rFonts w:ascii="Times New Roman" w:hAnsi="Times New Roman" w:eastAsia="仿宋"/>
          <w:sz w:val="24"/>
        </w:rPr>
        <w:t>（四）打造智慧能源管控和虚拟电厂平台。依托河北南网相关准入规则建设虚拟电厂，打造路网能源智慧大脑，在极端天气或外部电网波动时优先保障隧道通风照明、收费系统、监控通信等核心交通业务不中断。建设覆盖项目路段的统一综合能源管理平台，打通"源—网—荷—储—充—运"全链路数据，通过峰谷电价管理压降运营电费。</w:t>
      </w:r>
    </w:p>
    <w:p>
      <w:pPr>
        <w:spacing w:line="360" w:lineRule="auto"/>
        <w:ind w:firstLine="480"/>
      </w:pPr>
      <w:r>
        <w:rPr>
          <w:rFonts w:ascii="Times New Roman" w:hAnsi="Times New Roman" w:eastAsia="仿宋"/>
          <w:sz w:val="24"/>
        </w:rPr>
        <w:t>（五）打造多元消纳和增值应用场景。在优先保障交通运营用能、服务区用能、乘用车充电和重卡补能的基础上，发展分布式算力、审慎推进绿电制氢等辅助性场景，构建多层次绿电消纳体系。</w:t>
      </w:r>
    </w:p>
    <w:p>
      <w:pPr>
        <w:spacing w:before="160" w:after="80"/>
      </w:pPr>
      <w:r>
        <w:rPr>
          <w:rFonts w:ascii="Times New Roman" w:hAnsi="Times New Roman" w:eastAsia="黑体"/>
          <w:b/>
          <w:sz w:val="30"/>
        </w:rPr>
        <w:t>四、投资估算与电量平衡测算</w:t>
      </w:r>
    </w:p>
    <w:p>
      <w:pPr>
        <w:spacing w:before="80"/>
      </w:pPr>
      <w:r>
        <w:rPr>
          <w:rFonts w:ascii="Times New Roman" w:hAnsi="Times New Roman" w:eastAsia="楷体"/>
          <w:b/>
          <w:sz w:val="26"/>
        </w:rPr>
        <w:t>（一）投资估算（测算，以可研概算为准）</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黑体"/>
                <w:b/>
                <w:sz w:val="21"/>
              </w:rPr>
              <w:t>序号</w:t>
            </w:r>
          </w:p>
        </w:tc>
        <w:tc>
          <w:tcPr>
            <w:tcW w:type="dxa" w:w="1728"/>
          </w:tcPr>
          <w:p>
            <w:r/>
            <w:r>
              <w:rPr>
                <w:rFonts w:ascii="Times New Roman" w:hAnsi="Times New Roman" w:eastAsia="黑体"/>
                <w:b/>
                <w:sz w:val="21"/>
              </w:rPr>
              <w:t>投资分项</w:t>
            </w:r>
          </w:p>
        </w:tc>
        <w:tc>
          <w:tcPr>
            <w:tcW w:type="dxa" w:w="1728"/>
          </w:tcPr>
          <w:p>
            <w:r/>
            <w:r>
              <w:rPr>
                <w:rFonts w:ascii="Times New Roman" w:hAnsi="Times New Roman" w:eastAsia="黑体"/>
                <w:b/>
                <w:sz w:val="21"/>
              </w:rPr>
              <w:t>投资额(万元)</w:t>
            </w:r>
          </w:p>
        </w:tc>
        <w:tc>
          <w:tcPr>
            <w:tcW w:type="dxa" w:w="1728"/>
          </w:tcPr>
          <w:p>
            <w:r/>
            <w:r>
              <w:rPr>
                <w:rFonts w:ascii="Times New Roman" w:hAnsi="Times New Roman" w:eastAsia="黑体"/>
                <w:b/>
                <w:sz w:val="21"/>
              </w:rPr>
              <w:t>占比</w:t>
            </w:r>
          </w:p>
        </w:tc>
        <w:tc>
          <w:tcPr>
            <w:tcW w:type="dxa" w:w="1728"/>
          </w:tcPr>
          <w:p>
            <w:r/>
            <w:r>
              <w:rPr>
                <w:rFonts w:ascii="Times New Roman" w:hAnsi="Times New Roman" w:eastAsia="黑体"/>
                <w:b/>
                <w:sz w:val="21"/>
              </w:rPr>
              <w:t>备注</w:t>
            </w:r>
          </w:p>
        </w:tc>
      </w:tr>
      <w:tr>
        <w:tc>
          <w:tcPr>
            <w:tcW w:type="dxa" w:w="1728"/>
          </w:tcPr>
          <w:p>
            <w:r/>
            <w:r>
              <w:rPr>
                <w:rFonts w:ascii="Times New Roman" w:hAnsi="Times New Roman" w:eastAsia="仿宋"/>
                <w:sz w:val="21"/>
              </w:rPr>
              <w:t>1</w:t>
            </w:r>
          </w:p>
        </w:tc>
        <w:tc>
          <w:tcPr>
            <w:tcW w:type="dxa" w:w="1728"/>
          </w:tcPr>
          <w:p>
            <w:r/>
            <w:r>
              <w:rPr>
                <w:rFonts w:ascii="Times New Roman" w:hAnsi="Times New Roman" w:eastAsia="仿宋"/>
                <w:sz w:val="21"/>
              </w:rPr>
              <w:t>新能源发电（光伏200MW）</w:t>
            </w:r>
          </w:p>
        </w:tc>
        <w:tc>
          <w:tcPr>
            <w:tcW w:type="dxa" w:w="1728"/>
          </w:tcPr>
          <w:p>
            <w:r/>
            <w:r>
              <w:rPr>
                <w:rFonts w:ascii="Times New Roman" w:hAnsi="Times New Roman" w:eastAsia="仿宋"/>
                <w:sz w:val="21"/>
              </w:rPr>
              <w:t>65,000</w:t>
            </w:r>
          </w:p>
        </w:tc>
        <w:tc>
          <w:tcPr>
            <w:tcW w:type="dxa" w:w="1728"/>
          </w:tcPr>
          <w:p>
            <w:r/>
            <w:r>
              <w:rPr>
                <w:rFonts w:ascii="Times New Roman" w:hAnsi="Times New Roman" w:eastAsia="仿宋"/>
                <w:sz w:val="21"/>
              </w:rPr>
              <w:t>61.4%</w:t>
            </w:r>
          </w:p>
        </w:tc>
        <w:tc>
          <w:tcPr>
            <w:tcW w:type="dxa" w:w="1728"/>
          </w:tcPr>
          <w:p>
            <w:r/>
            <w:r>
              <w:rPr>
                <w:rFonts w:ascii="Times New Roman" w:hAnsi="Times New Roman" w:eastAsia="仿宋"/>
                <w:sz w:val="21"/>
              </w:rPr>
              <w:t>—</w:t>
            </w:r>
          </w:p>
        </w:tc>
      </w:tr>
      <w:tr>
        <w:tc>
          <w:tcPr>
            <w:tcW w:type="dxa" w:w="1728"/>
          </w:tcPr>
          <w:p>
            <w:r/>
            <w:r>
              <w:rPr>
                <w:rFonts w:ascii="Times New Roman" w:hAnsi="Times New Roman" w:eastAsia="仿宋"/>
                <w:sz w:val="21"/>
              </w:rPr>
              <w:t>2</w:t>
            </w:r>
          </w:p>
        </w:tc>
        <w:tc>
          <w:tcPr>
            <w:tcW w:type="dxa" w:w="1728"/>
          </w:tcPr>
          <w:p>
            <w:r/>
            <w:r>
              <w:rPr>
                <w:rFonts w:ascii="Times New Roman" w:hAnsi="Times New Roman" w:eastAsia="仿宋"/>
                <w:sz w:val="21"/>
              </w:rPr>
              <w:t>储能设施（150MWh）</w:t>
            </w:r>
          </w:p>
        </w:tc>
        <w:tc>
          <w:tcPr>
            <w:tcW w:type="dxa" w:w="1728"/>
          </w:tcPr>
          <w:p>
            <w:r/>
            <w:r>
              <w:rPr>
                <w:rFonts w:ascii="Times New Roman" w:hAnsi="Times New Roman" w:eastAsia="仿宋"/>
                <w:sz w:val="21"/>
              </w:rPr>
              <w:t>15,000</w:t>
            </w:r>
          </w:p>
        </w:tc>
        <w:tc>
          <w:tcPr>
            <w:tcW w:type="dxa" w:w="1728"/>
          </w:tcPr>
          <w:p>
            <w:r/>
            <w:r>
              <w:rPr>
                <w:rFonts w:ascii="Times New Roman" w:hAnsi="Times New Roman" w:eastAsia="仿宋"/>
                <w:sz w:val="21"/>
              </w:rPr>
              <w:t>14.2%</w:t>
            </w:r>
          </w:p>
        </w:tc>
        <w:tc>
          <w:tcPr>
            <w:tcW w:type="dxa" w:w="1728"/>
          </w:tcPr>
          <w:p>
            <w:r/>
            <w:r>
              <w:rPr>
                <w:rFonts w:ascii="Times New Roman" w:hAnsi="Times New Roman" w:eastAsia="仿宋"/>
                <w:sz w:val="21"/>
              </w:rPr>
              <w:t>—</w:t>
            </w:r>
          </w:p>
        </w:tc>
      </w:tr>
      <w:tr>
        <w:tc>
          <w:tcPr>
            <w:tcW w:type="dxa" w:w="1728"/>
          </w:tcPr>
          <w:p>
            <w:r/>
            <w:r>
              <w:rPr>
                <w:rFonts w:ascii="Times New Roman" w:hAnsi="Times New Roman" w:eastAsia="仿宋"/>
                <w:sz w:val="21"/>
              </w:rPr>
              <w:t>3</w:t>
            </w:r>
          </w:p>
        </w:tc>
        <w:tc>
          <w:tcPr>
            <w:tcW w:type="dxa" w:w="1728"/>
          </w:tcPr>
          <w:p>
            <w:r/>
            <w:r>
              <w:rPr>
                <w:rFonts w:ascii="Times New Roman" w:hAnsi="Times New Roman" w:eastAsia="仿宋"/>
                <w:sz w:val="21"/>
              </w:rPr>
              <w:t>充换电等绿色交通服务设施</w:t>
            </w:r>
          </w:p>
        </w:tc>
        <w:tc>
          <w:tcPr>
            <w:tcW w:type="dxa" w:w="1728"/>
          </w:tcPr>
          <w:p>
            <w:r/>
            <w:r>
              <w:rPr>
                <w:rFonts w:ascii="Times New Roman" w:hAnsi="Times New Roman" w:eastAsia="仿宋"/>
                <w:sz w:val="21"/>
              </w:rPr>
              <w:t>10,800</w:t>
            </w:r>
          </w:p>
        </w:tc>
        <w:tc>
          <w:tcPr>
            <w:tcW w:type="dxa" w:w="1728"/>
          </w:tcPr>
          <w:p>
            <w:r/>
            <w:r>
              <w:rPr>
                <w:rFonts w:ascii="Times New Roman" w:hAnsi="Times New Roman" w:eastAsia="仿宋"/>
                <w:sz w:val="21"/>
              </w:rPr>
              <w:t>10.2%</w:t>
            </w:r>
          </w:p>
        </w:tc>
        <w:tc>
          <w:tcPr>
            <w:tcW w:type="dxa" w:w="1728"/>
          </w:tcPr>
          <w:p>
            <w:r/>
            <w:r>
              <w:rPr>
                <w:rFonts w:ascii="Times New Roman" w:hAnsi="Times New Roman" w:eastAsia="仿宋"/>
                <w:sz w:val="21"/>
              </w:rPr>
              <w:t>50乘用车场站+6对充+3对换</w:t>
            </w:r>
          </w:p>
        </w:tc>
      </w:tr>
      <w:tr>
        <w:tc>
          <w:tcPr>
            <w:tcW w:type="dxa" w:w="1728"/>
          </w:tcPr>
          <w:p>
            <w:r/>
            <w:r>
              <w:rPr>
                <w:rFonts w:ascii="Times New Roman" w:hAnsi="Times New Roman" w:eastAsia="仿宋"/>
                <w:sz w:val="21"/>
              </w:rPr>
              <w:t>4</w:t>
            </w:r>
          </w:p>
        </w:tc>
        <w:tc>
          <w:tcPr>
            <w:tcW w:type="dxa" w:w="1728"/>
          </w:tcPr>
          <w:p>
            <w:r/>
            <w:r>
              <w:rPr>
                <w:rFonts w:ascii="Times New Roman" w:hAnsi="Times New Roman" w:eastAsia="仿宋"/>
                <w:sz w:val="21"/>
              </w:rPr>
              <w:t>虚拟电厂系统集成与柔性调节</w:t>
            </w:r>
          </w:p>
        </w:tc>
        <w:tc>
          <w:tcPr>
            <w:tcW w:type="dxa" w:w="1728"/>
          </w:tcPr>
          <w:p>
            <w:r/>
            <w:r>
              <w:rPr>
                <w:rFonts w:ascii="Times New Roman" w:hAnsi="Times New Roman" w:eastAsia="仿宋"/>
                <w:sz w:val="21"/>
              </w:rPr>
              <w:t>6,500</w:t>
            </w:r>
          </w:p>
        </w:tc>
        <w:tc>
          <w:tcPr>
            <w:tcW w:type="dxa" w:w="1728"/>
          </w:tcPr>
          <w:p>
            <w:r/>
            <w:r>
              <w:rPr>
                <w:rFonts w:ascii="Times New Roman" w:hAnsi="Times New Roman" w:eastAsia="仿宋"/>
                <w:sz w:val="21"/>
              </w:rPr>
              <w:t>6.1%</w:t>
            </w:r>
          </w:p>
        </w:tc>
        <w:tc>
          <w:tcPr>
            <w:tcW w:type="dxa" w:w="1728"/>
          </w:tcPr>
          <w:p>
            <w:r/>
            <w:r>
              <w:rPr>
                <w:rFonts w:ascii="Times New Roman" w:hAnsi="Times New Roman" w:eastAsia="仿宋"/>
                <w:sz w:val="21"/>
              </w:rPr>
              <w:t>系统/站端硬件、线路改造</w:t>
            </w:r>
          </w:p>
        </w:tc>
      </w:tr>
      <w:tr>
        <w:tc>
          <w:tcPr>
            <w:tcW w:type="dxa" w:w="1728"/>
          </w:tcPr>
          <w:p>
            <w:r/>
            <w:r>
              <w:rPr>
                <w:rFonts w:ascii="Times New Roman" w:hAnsi="Times New Roman" w:eastAsia="仿宋"/>
                <w:sz w:val="21"/>
              </w:rPr>
              <w:t>5</w:t>
            </w:r>
          </w:p>
        </w:tc>
        <w:tc>
          <w:tcPr>
            <w:tcW w:type="dxa" w:w="1728"/>
          </w:tcPr>
          <w:p>
            <w:r/>
            <w:r>
              <w:rPr>
                <w:rFonts w:ascii="Times New Roman" w:hAnsi="Times New Roman" w:eastAsia="仿宋"/>
                <w:sz w:val="21"/>
              </w:rPr>
              <w:t>分布式算力基础设施</w:t>
            </w:r>
          </w:p>
        </w:tc>
        <w:tc>
          <w:tcPr>
            <w:tcW w:type="dxa" w:w="1728"/>
          </w:tcPr>
          <w:p>
            <w:r/>
            <w:r>
              <w:rPr>
                <w:rFonts w:ascii="Times New Roman" w:hAnsi="Times New Roman" w:eastAsia="仿宋"/>
                <w:sz w:val="21"/>
              </w:rPr>
              <w:t>6,000</w:t>
            </w:r>
          </w:p>
        </w:tc>
        <w:tc>
          <w:tcPr>
            <w:tcW w:type="dxa" w:w="1728"/>
          </w:tcPr>
          <w:p>
            <w:r/>
            <w:r>
              <w:rPr>
                <w:rFonts w:ascii="Times New Roman" w:hAnsi="Times New Roman" w:eastAsia="仿宋"/>
                <w:sz w:val="21"/>
              </w:rPr>
              <w:t>5.7%</w:t>
            </w:r>
          </w:p>
        </w:tc>
        <w:tc>
          <w:tcPr>
            <w:tcW w:type="dxa" w:w="1728"/>
          </w:tcPr>
          <w:p>
            <w:r/>
            <w:r>
              <w:rPr>
                <w:rFonts w:ascii="Times New Roman" w:hAnsi="Times New Roman" w:eastAsia="仿宋"/>
                <w:sz w:val="21"/>
              </w:rPr>
              <w:t>3座，车路协同/视频AI</w:t>
            </w:r>
          </w:p>
        </w:tc>
      </w:tr>
      <w:tr>
        <w:tc>
          <w:tcPr>
            <w:tcW w:type="dxa" w:w="1728"/>
          </w:tcPr>
          <w:p>
            <w:r/>
            <w:r>
              <w:rPr>
                <w:rFonts w:ascii="Times New Roman" w:hAnsi="Times New Roman" w:eastAsia="仿宋"/>
                <w:sz w:val="21"/>
              </w:rPr>
              <w:t>6</w:t>
            </w:r>
          </w:p>
        </w:tc>
        <w:tc>
          <w:tcPr>
            <w:tcW w:type="dxa" w:w="1728"/>
          </w:tcPr>
          <w:p>
            <w:r/>
            <w:r>
              <w:rPr>
                <w:rFonts w:ascii="Times New Roman" w:hAnsi="Times New Roman" w:eastAsia="仿宋"/>
                <w:sz w:val="21"/>
              </w:rPr>
              <w:t>绿电制氢/氨/醇设施</w:t>
            </w:r>
          </w:p>
        </w:tc>
        <w:tc>
          <w:tcPr>
            <w:tcW w:type="dxa" w:w="1728"/>
          </w:tcPr>
          <w:p>
            <w:r/>
            <w:r>
              <w:rPr>
                <w:rFonts w:ascii="Times New Roman" w:hAnsi="Times New Roman" w:eastAsia="仿宋"/>
                <w:sz w:val="21"/>
              </w:rPr>
              <w:t>2,500</w:t>
            </w:r>
          </w:p>
        </w:tc>
        <w:tc>
          <w:tcPr>
            <w:tcW w:type="dxa" w:w="1728"/>
          </w:tcPr>
          <w:p>
            <w:r/>
            <w:r>
              <w:rPr>
                <w:rFonts w:ascii="Times New Roman" w:hAnsi="Times New Roman" w:eastAsia="仿宋"/>
                <w:sz w:val="21"/>
              </w:rPr>
              <w:t>2.4%</w:t>
            </w:r>
          </w:p>
        </w:tc>
        <w:tc>
          <w:tcPr>
            <w:tcW w:type="dxa" w:w="1728"/>
          </w:tcPr>
          <w:p>
            <w:r/>
            <w:r>
              <w:rPr>
                <w:rFonts w:ascii="Times New Roman" w:hAnsi="Times New Roman" w:eastAsia="仿宋"/>
                <w:sz w:val="21"/>
              </w:rPr>
              <w:t>氢/氨/醇重卡示范线</w:t>
            </w:r>
          </w:p>
        </w:tc>
      </w:tr>
      <w:tr>
        <w:tc>
          <w:tcPr>
            <w:tcW w:type="dxa" w:w="1728"/>
          </w:tcPr>
          <w:p>
            <w:r/>
            <w:r>
              <w:rPr>
                <w:rFonts w:ascii="Times New Roman" w:hAnsi="Times New Roman" w:eastAsia="仿宋"/>
                <w:sz w:val="21"/>
              </w:rPr>
              <w:t>—</w:t>
            </w:r>
          </w:p>
        </w:tc>
        <w:tc>
          <w:tcPr>
            <w:tcW w:type="dxa" w:w="1728"/>
          </w:tcPr>
          <w:p>
            <w:r/>
            <w:r>
              <w:rPr>
                <w:rFonts w:ascii="Times New Roman" w:hAnsi="Times New Roman" w:eastAsia="仿宋"/>
                <w:sz w:val="21"/>
              </w:rPr>
              <w:t>合计</w:t>
            </w:r>
          </w:p>
        </w:tc>
        <w:tc>
          <w:tcPr>
            <w:tcW w:type="dxa" w:w="1728"/>
          </w:tcPr>
          <w:p>
            <w:r/>
            <w:r>
              <w:rPr>
                <w:rFonts w:ascii="Times New Roman" w:hAnsi="Times New Roman" w:eastAsia="仿宋"/>
                <w:sz w:val="21"/>
              </w:rPr>
              <w:t>105,800</w:t>
            </w:r>
          </w:p>
        </w:tc>
        <w:tc>
          <w:tcPr>
            <w:tcW w:type="dxa" w:w="1728"/>
          </w:tcPr>
          <w:p>
            <w:r/>
            <w:r>
              <w:rPr>
                <w:rFonts w:ascii="Times New Roman" w:hAnsi="Times New Roman" w:eastAsia="仿宋"/>
                <w:sz w:val="21"/>
              </w:rPr>
              <w:t>100%</w:t>
            </w:r>
          </w:p>
        </w:tc>
        <w:tc>
          <w:tcPr>
            <w:tcW w:type="dxa" w:w="1728"/>
          </w:tcPr>
          <w:p>
            <w:r/>
            <w:r>
              <w:rPr>
                <w:rFonts w:ascii="Times New Roman" w:hAnsi="Times New Roman" w:eastAsia="仿宋"/>
                <w:sz w:val="21"/>
              </w:rPr>
              <w:t>约10.58亿元</w:t>
            </w:r>
          </w:p>
        </w:tc>
      </w:tr>
    </w:tbl>
    <w:p>
      <w:pPr>
        <w:spacing w:line="312" w:lineRule="auto"/>
      </w:pPr>
      <w:r>
        <w:rPr>
          <w:rFonts w:ascii="Times New Roman" w:hAnsi="Times New Roman" w:eastAsia="楷体"/>
          <w:i/>
          <w:color w:val="555555"/>
          <w:sz w:val="21"/>
        </w:rPr>
        <w:t>说明：已修正原稿"总计104,800万元"与分项之和（105,800万元）相差1,000万元的问题，按分项之和取值。</w:t>
      </w:r>
    </w:p>
    <w:p>
      <w:pPr>
        <w:spacing w:line="360" w:lineRule="auto"/>
        <w:ind w:firstLine="480"/>
      </w:pPr>
      <w:r>
        <w:rPr>
          <w:rFonts w:ascii="Times New Roman" w:hAnsi="Times New Roman" w:eastAsia="仿宋"/>
          <w:sz w:val="24"/>
        </w:rPr>
        <w:t>新能源发电及储能投资占比较大，是重卡零碳运输廊道得以成立的先决条件。项目通过重资产投入建立路域微电网，锁定未来25年平准化度电成本（LCOE），形成"以重资产投资换取低LCOE，再以低LCOE反哺零碳物流"的商业可持续模式。</w:t>
      </w:r>
    </w:p>
    <w:p>
      <w:pPr>
        <w:spacing w:before="80"/>
      </w:pPr>
      <w:r>
        <w:rPr>
          <w:rFonts w:ascii="Times New Roman" w:hAnsi="Times New Roman" w:eastAsia="楷体"/>
          <w:b/>
          <w:sz w:val="26"/>
        </w:rPr>
        <w:t>（二）电量平衡与消纳测算（达产年，测算）</w:t>
      </w:r>
    </w:p>
    <w:p>
      <w:pPr>
        <w:spacing w:line="360" w:lineRule="auto"/>
        <w:ind w:firstLine="480"/>
      </w:pPr>
      <w:r>
        <w:rPr>
          <w:rFonts w:ascii="Times New Roman" w:hAnsi="Times New Roman" w:eastAsia="仿宋"/>
          <w:sz w:val="24"/>
        </w:rPr>
        <w:t>按光伏200MW、河北地区路域分布式光伏年等效利用小时约1,200小时计，年发电量约24,000万kWh（2.4亿kWh）。在"交通主业负荷打底+算力/制氢弹性负荷调峰+储能时移+余电友好上网"的消纳逻辑下，电量平衡如下：</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1"/>
              </w:rPr>
              <w:t>消纳类别</w:t>
            </w:r>
          </w:p>
        </w:tc>
        <w:tc>
          <w:tcPr>
            <w:tcW w:type="dxa" w:w="2880"/>
          </w:tcPr>
          <w:p>
            <w:r/>
            <w:r>
              <w:rPr>
                <w:rFonts w:ascii="Times New Roman" w:hAnsi="Times New Roman" w:eastAsia="黑体"/>
                <w:b/>
                <w:sz w:val="21"/>
              </w:rPr>
              <w:t>年消纳电量(万kWh)</w:t>
            </w:r>
          </w:p>
        </w:tc>
        <w:tc>
          <w:tcPr>
            <w:tcW w:type="dxa" w:w="2880"/>
          </w:tcPr>
          <w:p>
            <w:r/>
            <w:r>
              <w:rPr>
                <w:rFonts w:ascii="Times New Roman" w:hAnsi="Times New Roman" w:eastAsia="黑体"/>
                <w:b/>
                <w:sz w:val="21"/>
              </w:rPr>
              <w:t>占总发电量</w:t>
            </w:r>
          </w:p>
        </w:tc>
      </w:tr>
      <w:tr>
        <w:tc>
          <w:tcPr>
            <w:tcW w:type="dxa" w:w="2880"/>
          </w:tcPr>
          <w:p>
            <w:r/>
            <w:r>
              <w:rPr>
                <w:rFonts w:ascii="Times New Roman" w:hAnsi="Times New Roman" w:eastAsia="仿宋"/>
                <w:sz w:val="21"/>
              </w:rPr>
              <w:t>交通运营基础用能(服务区/隧道/收费站/养护)</w:t>
            </w:r>
          </w:p>
        </w:tc>
        <w:tc>
          <w:tcPr>
            <w:tcW w:type="dxa" w:w="2880"/>
          </w:tcPr>
          <w:p>
            <w:r/>
            <w:r>
              <w:rPr>
                <w:rFonts w:ascii="Times New Roman" w:hAnsi="Times New Roman" w:eastAsia="仿宋"/>
                <w:sz w:val="21"/>
              </w:rPr>
              <w:t>5,000</w:t>
            </w:r>
          </w:p>
        </w:tc>
        <w:tc>
          <w:tcPr>
            <w:tcW w:type="dxa" w:w="2880"/>
          </w:tcPr>
          <w:p>
            <w:r/>
            <w:r>
              <w:rPr>
                <w:rFonts w:ascii="Times New Roman" w:hAnsi="Times New Roman" w:eastAsia="仿宋"/>
                <w:sz w:val="21"/>
              </w:rPr>
              <w:t>20.8%</w:t>
            </w:r>
          </w:p>
        </w:tc>
      </w:tr>
      <w:tr>
        <w:tc>
          <w:tcPr>
            <w:tcW w:type="dxa" w:w="2880"/>
          </w:tcPr>
          <w:p>
            <w:r/>
            <w:r>
              <w:rPr>
                <w:rFonts w:ascii="Times New Roman" w:hAnsi="Times New Roman" w:eastAsia="仿宋"/>
                <w:sz w:val="21"/>
              </w:rPr>
              <w:t>重卡充换电(6对充+3对换)</w:t>
            </w:r>
          </w:p>
        </w:tc>
        <w:tc>
          <w:tcPr>
            <w:tcW w:type="dxa" w:w="2880"/>
          </w:tcPr>
          <w:p>
            <w:r/>
            <w:r>
              <w:rPr>
                <w:rFonts w:ascii="Times New Roman" w:hAnsi="Times New Roman" w:eastAsia="仿宋"/>
                <w:sz w:val="21"/>
              </w:rPr>
              <w:t>3,800</w:t>
            </w:r>
          </w:p>
        </w:tc>
        <w:tc>
          <w:tcPr>
            <w:tcW w:type="dxa" w:w="2880"/>
          </w:tcPr>
          <w:p>
            <w:r/>
            <w:r>
              <w:rPr>
                <w:rFonts w:ascii="Times New Roman" w:hAnsi="Times New Roman" w:eastAsia="仿宋"/>
                <w:sz w:val="21"/>
              </w:rPr>
              <w:t>15.8%</w:t>
            </w:r>
          </w:p>
        </w:tc>
      </w:tr>
      <w:tr>
        <w:tc>
          <w:tcPr>
            <w:tcW w:type="dxa" w:w="2880"/>
          </w:tcPr>
          <w:p>
            <w:r/>
            <w:r>
              <w:rPr>
                <w:rFonts w:ascii="Times New Roman" w:hAnsi="Times New Roman" w:eastAsia="仿宋"/>
                <w:sz w:val="21"/>
              </w:rPr>
              <w:t>乘用车充电(50场站)</w:t>
            </w:r>
          </w:p>
        </w:tc>
        <w:tc>
          <w:tcPr>
            <w:tcW w:type="dxa" w:w="2880"/>
          </w:tcPr>
          <w:p>
            <w:r/>
            <w:r>
              <w:rPr>
                <w:rFonts w:ascii="Times New Roman" w:hAnsi="Times New Roman" w:eastAsia="仿宋"/>
                <w:sz w:val="21"/>
              </w:rPr>
              <w:t>2,400</w:t>
            </w:r>
          </w:p>
        </w:tc>
        <w:tc>
          <w:tcPr>
            <w:tcW w:type="dxa" w:w="2880"/>
          </w:tcPr>
          <w:p>
            <w:r/>
            <w:r>
              <w:rPr>
                <w:rFonts w:ascii="Times New Roman" w:hAnsi="Times New Roman" w:eastAsia="仿宋"/>
                <w:sz w:val="21"/>
              </w:rPr>
              <w:t>10.0%</w:t>
            </w:r>
          </w:p>
        </w:tc>
      </w:tr>
      <w:tr>
        <w:tc>
          <w:tcPr>
            <w:tcW w:type="dxa" w:w="2880"/>
          </w:tcPr>
          <w:p>
            <w:r/>
            <w:r>
              <w:rPr>
                <w:rFonts w:ascii="Times New Roman" w:hAnsi="Times New Roman" w:eastAsia="仿宋"/>
                <w:sz w:val="21"/>
              </w:rPr>
              <w:t>分布式算力(3座)</w:t>
            </w:r>
          </w:p>
        </w:tc>
        <w:tc>
          <w:tcPr>
            <w:tcW w:type="dxa" w:w="2880"/>
          </w:tcPr>
          <w:p>
            <w:r/>
            <w:r>
              <w:rPr>
                <w:rFonts w:ascii="Times New Roman" w:hAnsi="Times New Roman" w:eastAsia="仿宋"/>
                <w:sz w:val="21"/>
              </w:rPr>
              <w:t>2,600</w:t>
            </w:r>
          </w:p>
        </w:tc>
        <w:tc>
          <w:tcPr>
            <w:tcW w:type="dxa" w:w="2880"/>
          </w:tcPr>
          <w:p>
            <w:r/>
            <w:r>
              <w:rPr>
                <w:rFonts w:ascii="Times New Roman" w:hAnsi="Times New Roman" w:eastAsia="仿宋"/>
                <w:sz w:val="21"/>
              </w:rPr>
              <w:t>10.8%</w:t>
            </w:r>
          </w:p>
        </w:tc>
      </w:tr>
      <w:tr>
        <w:tc>
          <w:tcPr>
            <w:tcW w:type="dxa" w:w="2880"/>
          </w:tcPr>
          <w:p>
            <w:r/>
            <w:r>
              <w:rPr>
                <w:rFonts w:ascii="Times New Roman" w:hAnsi="Times New Roman" w:eastAsia="仿宋"/>
                <w:sz w:val="21"/>
              </w:rPr>
              <w:t>绿电制氢/氨/醇</w:t>
            </w:r>
          </w:p>
        </w:tc>
        <w:tc>
          <w:tcPr>
            <w:tcW w:type="dxa" w:w="2880"/>
          </w:tcPr>
          <w:p>
            <w:r/>
            <w:r>
              <w:rPr>
                <w:rFonts w:ascii="Times New Roman" w:hAnsi="Times New Roman" w:eastAsia="仿宋"/>
                <w:sz w:val="21"/>
              </w:rPr>
              <w:t>1,600</w:t>
            </w:r>
          </w:p>
        </w:tc>
        <w:tc>
          <w:tcPr>
            <w:tcW w:type="dxa" w:w="2880"/>
          </w:tcPr>
          <w:p>
            <w:r/>
            <w:r>
              <w:rPr>
                <w:rFonts w:ascii="Times New Roman" w:hAnsi="Times New Roman" w:eastAsia="仿宋"/>
                <w:sz w:val="21"/>
              </w:rPr>
              <w:t>6.7%</w:t>
            </w:r>
          </w:p>
        </w:tc>
      </w:tr>
      <w:tr>
        <w:tc>
          <w:tcPr>
            <w:tcW w:type="dxa" w:w="2880"/>
          </w:tcPr>
          <w:p>
            <w:r/>
            <w:r>
              <w:rPr>
                <w:rFonts w:ascii="Times New Roman" w:hAnsi="Times New Roman" w:eastAsia="仿宋"/>
                <w:sz w:val="21"/>
              </w:rPr>
              <w:t>自发自用合计</w:t>
            </w:r>
          </w:p>
        </w:tc>
        <w:tc>
          <w:tcPr>
            <w:tcW w:type="dxa" w:w="2880"/>
          </w:tcPr>
          <w:p>
            <w:r/>
            <w:r>
              <w:rPr>
                <w:rFonts w:ascii="Times New Roman" w:hAnsi="Times New Roman" w:eastAsia="仿宋"/>
                <w:sz w:val="21"/>
              </w:rPr>
              <w:t>15,400</w:t>
            </w:r>
          </w:p>
        </w:tc>
        <w:tc>
          <w:tcPr>
            <w:tcW w:type="dxa" w:w="2880"/>
          </w:tcPr>
          <w:p>
            <w:r/>
            <w:r>
              <w:rPr>
                <w:rFonts w:ascii="Times New Roman" w:hAnsi="Times New Roman" w:eastAsia="仿宋"/>
                <w:sz w:val="21"/>
              </w:rPr>
              <w:t>64.2%</w:t>
            </w:r>
          </w:p>
        </w:tc>
      </w:tr>
      <w:tr>
        <w:tc>
          <w:tcPr>
            <w:tcW w:type="dxa" w:w="2880"/>
          </w:tcPr>
          <w:p>
            <w:r/>
            <w:r>
              <w:rPr>
                <w:rFonts w:ascii="Times New Roman" w:hAnsi="Times New Roman" w:eastAsia="仿宋"/>
                <w:sz w:val="21"/>
              </w:rPr>
              <w:t>余电友好上网</w:t>
            </w:r>
          </w:p>
        </w:tc>
        <w:tc>
          <w:tcPr>
            <w:tcW w:type="dxa" w:w="2880"/>
          </w:tcPr>
          <w:p>
            <w:r/>
            <w:r>
              <w:rPr>
                <w:rFonts w:ascii="Times New Roman" w:hAnsi="Times New Roman" w:eastAsia="仿宋"/>
                <w:sz w:val="21"/>
              </w:rPr>
              <w:t>8,600</w:t>
            </w:r>
          </w:p>
        </w:tc>
        <w:tc>
          <w:tcPr>
            <w:tcW w:type="dxa" w:w="2880"/>
          </w:tcPr>
          <w:p>
            <w:r/>
            <w:r>
              <w:rPr>
                <w:rFonts w:ascii="Times New Roman" w:hAnsi="Times New Roman" w:eastAsia="仿宋"/>
                <w:sz w:val="21"/>
              </w:rPr>
              <w:t>35.8%</w:t>
            </w:r>
          </w:p>
        </w:tc>
      </w:tr>
      <w:tr>
        <w:tc>
          <w:tcPr>
            <w:tcW w:type="dxa" w:w="2880"/>
          </w:tcPr>
          <w:p>
            <w:r/>
            <w:r>
              <w:rPr>
                <w:rFonts w:ascii="Times New Roman" w:hAnsi="Times New Roman" w:eastAsia="仿宋"/>
                <w:sz w:val="21"/>
              </w:rPr>
              <w:t>年发电量合计</w:t>
            </w:r>
          </w:p>
        </w:tc>
        <w:tc>
          <w:tcPr>
            <w:tcW w:type="dxa" w:w="2880"/>
          </w:tcPr>
          <w:p>
            <w:r/>
            <w:r>
              <w:rPr>
                <w:rFonts w:ascii="Times New Roman" w:hAnsi="Times New Roman" w:eastAsia="仿宋"/>
                <w:sz w:val="21"/>
              </w:rPr>
              <w:t>24,000</w:t>
            </w:r>
          </w:p>
        </w:tc>
        <w:tc>
          <w:tcPr>
            <w:tcW w:type="dxa" w:w="2880"/>
          </w:tcPr>
          <w:p>
            <w:r/>
            <w:r>
              <w:rPr>
                <w:rFonts w:ascii="Times New Roman" w:hAnsi="Times New Roman" w:eastAsia="仿宋"/>
                <w:sz w:val="21"/>
              </w:rPr>
              <w:t>100%</w:t>
            </w:r>
          </w:p>
        </w:tc>
      </w:tr>
    </w:tbl>
    <w:p>
      <w:pPr>
        <w:spacing w:line="360" w:lineRule="auto"/>
        <w:ind w:firstLine="480"/>
      </w:pPr>
      <w:r>
        <w:rPr>
          <w:rFonts w:ascii="Times New Roman" w:hAnsi="Times New Roman" w:eastAsia="仿宋"/>
          <w:sz w:val="24"/>
        </w:rPr>
        <w:t>指标二达标验算：①年自发自用电量/年总可用发电量＝15,400/24,000≈64.2%≥60%，达标；②项目总用电量约18,000万kWh，年自发自用绿电/项目总用电量≈85%≥30%，大幅达标。光伏与各类负荷分期同步、动态匹配，确保自发自用比例稳定在60%以上。</w:t>
      </w:r>
    </w:p>
    <w:p>
      <w:pPr>
        <w:spacing w:before="80"/>
      </w:pPr>
      <w:r>
        <w:rPr>
          <w:rFonts w:ascii="Times New Roman" w:hAnsi="Times New Roman" w:eastAsia="楷体"/>
          <w:b/>
          <w:sz w:val="26"/>
        </w:rPr>
        <w:t>（三）碳减排成效测算（测算，以碳核证为准）</w:t>
      </w:r>
    </w:p>
    <w:p>
      <w:pPr>
        <w:spacing w:line="360" w:lineRule="auto"/>
        <w:ind w:firstLine="480"/>
      </w:pPr>
      <w:r>
        <w:rPr>
          <w:rFonts w:ascii="Times New Roman" w:hAnsi="Times New Roman" w:eastAsia="仿宋"/>
          <w:sz w:val="24"/>
        </w:rPr>
        <w:t>绿电替代减排：年绿电约240,000MWh，按电网平均CO₂排放因子约0.55tCO₂/MWh测算，年减排约13.2万吨；重卡油改电减排：期满200辆替代柴油重卡，年额外减排约2万吨。综合年减排约13万～15万吨CO₂，并形成可核证、可交易的碳资产。</w:t>
      </w:r>
    </w:p>
    <w:p>
      <w:pPr>
        <w:spacing w:before="80"/>
      </w:pPr>
      <w:r>
        <w:rPr>
          <w:rFonts w:ascii="Times New Roman" w:hAnsi="Times New Roman" w:eastAsia="楷体"/>
          <w:b/>
          <w:sz w:val="26"/>
        </w:rPr>
        <w:t>（四）财务效益（测算，以可研财务评价为准）</w:t>
      </w:r>
    </w:p>
    <w:p>
      <w:pPr>
        <w:spacing w:line="360" w:lineRule="auto"/>
        <w:ind w:firstLine="480"/>
      </w:pPr>
      <w:r>
        <w:rPr>
          <w:rFonts w:ascii="Times New Roman" w:hAnsi="Times New Roman" w:eastAsia="仿宋"/>
          <w:sz w:val="24"/>
        </w:rPr>
        <w:t>收入来源多元：绿电自用节费、余电上网、充换电服务费、算力/制氢增值收益、虚拟电厂需求响应与辅助服务收益。初步测算，全投资内部收益率（IRR）约6%～8%、投资回收期约10～12年，资本金IRR可达8%以上。</w:t>
      </w:r>
    </w:p>
    <w:p>
      <w:pPr>
        <w:spacing w:before="160" w:after="80"/>
      </w:pPr>
      <w:r>
        <w:rPr>
          <w:rFonts w:ascii="Times New Roman" w:hAnsi="Times New Roman" w:eastAsia="黑体"/>
          <w:b/>
          <w:sz w:val="30"/>
        </w:rPr>
        <w:t>五、项目量化指标达标情况</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1"/>
              </w:rPr>
              <w:t>指标事项</w:t>
            </w:r>
          </w:p>
        </w:tc>
        <w:tc>
          <w:tcPr>
            <w:tcW w:type="dxa" w:w="2880"/>
          </w:tcPr>
          <w:p>
            <w:r/>
            <w:r>
              <w:rPr>
                <w:rFonts w:ascii="Times New Roman" w:hAnsi="Times New Roman" w:eastAsia="黑体"/>
                <w:b/>
                <w:sz w:val="21"/>
              </w:rPr>
              <w:t>申报要求</w:t>
            </w:r>
          </w:p>
        </w:tc>
        <w:tc>
          <w:tcPr>
            <w:tcW w:type="dxa" w:w="2880"/>
          </w:tcPr>
          <w:p>
            <w:r/>
            <w:r>
              <w:rPr>
                <w:rFonts w:ascii="Times New Roman" w:hAnsi="Times New Roman" w:eastAsia="黑体"/>
                <w:b/>
                <w:sz w:val="21"/>
              </w:rPr>
              <w:t>项目达成情况</w:t>
            </w:r>
          </w:p>
        </w:tc>
      </w:tr>
      <w:tr>
        <w:tc>
          <w:tcPr>
            <w:tcW w:type="dxa" w:w="2880"/>
          </w:tcPr>
          <w:p>
            <w:r/>
            <w:r>
              <w:rPr>
                <w:rFonts w:ascii="Times New Roman" w:hAnsi="Times New Roman" w:eastAsia="仿宋"/>
                <w:sz w:val="21"/>
              </w:rPr>
              <w:t>清洁能源装机规模</w:t>
            </w:r>
          </w:p>
        </w:tc>
        <w:tc>
          <w:tcPr>
            <w:tcW w:type="dxa" w:w="2880"/>
          </w:tcPr>
          <w:p>
            <w:r/>
            <w:r>
              <w:rPr>
                <w:rFonts w:ascii="Times New Roman" w:hAnsi="Times New Roman" w:eastAsia="仿宋"/>
                <w:sz w:val="21"/>
              </w:rPr>
              <w:t>不低于6兆瓦</w:t>
            </w:r>
          </w:p>
        </w:tc>
        <w:tc>
          <w:tcPr>
            <w:tcW w:type="dxa" w:w="2880"/>
          </w:tcPr>
          <w:p>
            <w:r/>
            <w:r>
              <w:rPr>
                <w:rFonts w:ascii="Times New Roman" w:hAnsi="Times New Roman" w:eastAsia="仿宋"/>
                <w:sz w:val="21"/>
              </w:rPr>
              <w:t>光伏200MW(已并网100MW)，远高于门槛</w:t>
            </w:r>
          </w:p>
        </w:tc>
      </w:tr>
      <w:tr>
        <w:tc>
          <w:tcPr>
            <w:tcW w:type="dxa" w:w="2880"/>
          </w:tcPr>
          <w:p>
            <w:r/>
            <w:r>
              <w:rPr>
                <w:rFonts w:ascii="Times New Roman" w:hAnsi="Times New Roman" w:eastAsia="仿宋"/>
                <w:sz w:val="21"/>
              </w:rPr>
              <w:t>自发自用占总可用发电量</w:t>
            </w:r>
          </w:p>
        </w:tc>
        <w:tc>
          <w:tcPr>
            <w:tcW w:type="dxa" w:w="2880"/>
          </w:tcPr>
          <w:p>
            <w:r/>
            <w:r>
              <w:rPr>
                <w:rFonts w:ascii="Times New Roman" w:hAnsi="Times New Roman" w:eastAsia="仿宋"/>
                <w:sz w:val="21"/>
              </w:rPr>
              <w:t>不低于60%</w:t>
            </w:r>
          </w:p>
        </w:tc>
        <w:tc>
          <w:tcPr>
            <w:tcW w:type="dxa" w:w="2880"/>
          </w:tcPr>
          <w:p>
            <w:r/>
            <w:r>
              <w:rPr>
                <w:rFonts w:ascii="Times New Roman" w:hAnsi="Times New Roman" w:eastAsia="仿宋"/>
                <w:sz w:val="21"/>
              </w:rPr>
              <w:t>测算约64.2%，达标</w:t>
            </w:r>
          </w:p>
        </w:tc>
      </w:tr>
      <w:tr>
        <w:tc>
          <w:tcPr>
            <w:tcW w:type="dxa" w:w="2880"/>
          </w:tcPr>
          <w:p>
            <w:r/>
            <w:r>
              <w:rPr>
                <w:rFonts w:ascii="Times New Roman" w:hAnsi="Times New Roman" w:eastAsia="仿宋"/>
                <w:sz w:val="21"/>
              </w:rPr>
              <w:t>自发自用占项目总用电量</w:t>
            </w:r>
          </w:p>
        </w:tc>
        <w:tc>
          <w:tcPr>
            <w:tcW w:type="dxa" w:w="2880"/>
          </w:tcPr>
          <w:p>
            <w:r/>
            <w:r>
              <w:rPr>
                <w:rFonts w:ascii="Times New Roman" w:hAnsi="Times New Roman" w:eastAsia="仿宋"/>
                <w:sz w:val="21"/>
              </w:rPr>
              <w:t>不低于30%</w:t>
            </w:r>
          </w:p>
        </w:tc>
        <w:tc>
          <w:tcPr>
            <w:tcW w:type="dxa" w:w="2880"/>
          </w:tcPr>
          <w:p>
            <w:r/>
            <w:r>
              <w:rPr>
                <w:rFonts w:ascii="Times New Roman" w:hAnsi="Times New Roman" w:eastAsia="仿宋"/>
                <w:sz w:val="21"/>
              </w:rPr>
              <w:t>测算约85%，大幅达标</w:t>
            </w:r>
          </w:p>
        </w:tc>
      </w:tr>
      <w:tr>
        <w:tc>
          <w:tcPr>
            <w:tcW w:type="dxa" w:w="2880"/>
          </w:tcPr>
          <w:p>
            <w:r/>
            <w:r>
              <w:rPr>
                <w:rFonts w:ascii="Times New Roman" w:hAnsi="Times New Roman" w:eastAsia="仿宋"/>
                <w:sz w:val="21"/>
              </w:rPr>
              <w:t>零碳运输线路</w:t>
            </w:r>
          </w:p>
        </w:tc>
        <w:tc>
          <w:tcPr>
            <w:tcW w:type="dxa" w:w="2880"/>
          </w:tcPr>
          <w:p>
            <w:r/>
            <w:r>
              <w:rPr>
                <w:rFonts w:ascii="Times New Roman" w:hAnsi="Times New Roman" w:eastAsia="仿宋"/>
                <w:sz w:val="21"/>
              </w:rPr>
              <w:t>单程≥100km、车≥50辆、年运量≥20万吨</w:t>
            </w:r>
          </w:p>
        </w:tc>
        <w:tc>
          <w:tcPr>
            <w:tcW w:type="dxa" w:w="2880"/>
          </w:tcPr>
          <w:p>
            <w:r/>
            <w:r>
              <w:rPr>
                <w:rFonts w:ascii="Times New Roman" w:hAnsi="Times New Roman" w:eastAsia="仿宋"/>
                <w:sz w:val="21"/>
              </w:rPr>
              <w:t>单程100km+；首批≥50辆/≥20万吨，期满≥200辆/≥80万吨</w:t>
            </w:r>
          </w:p>
        </w:tc>
      </w:tr>
      <w:tr>
        <w:tc>
          <w:tcPr>
            <w:tcW w:type="dxa" w:w="2880"/>
          </w:tcPr>
          <w:p>
            <w:r/>
            <w:r>
              <w:rPr>
                <w:rFonts w:ascii="Times New Roman" w:hAnsi="Times New Roman" w:eastAsia="仿宋"/>
                <w:sz w:val="21"/>
              </w:rPr>
              <w:t>零碳枢纽设施</w:t>
            </w:r>
          </w:p>
        </w:tc>
        <w:tc>
          <w:tcPr>
            <w:tcW w:type="dxa" w:w="2880"/>
          </w:tcPr>
          <w:p>
            <w:r/>
            <w:r>
              <w:rPr>
                <w:rFonts w:ascii="Times New Roman" w:hAnsi="Times New Roman" w:eastAsia="仿宋"/>
                <w:sz w:val="21"/>
              </w:rPr>
              <w:t>用能供能100%新能源/清洁能源</w:t>
            </w:r>
          </w:p>
        </w:tc>
        <w:tc>
          <w:tcPr>
            <w:tcW w:type="dxa" w:w="2880"/>
          </w:tcPr>
          <w:p>
            <w:r/>
            <w:r>
              <w:rPr>
                <w:rFonts w:ascii="Times New Roman" w:hAnsi="Times New Roman" w:eastAsia="仿宋"/>
                <w:sz w:val="21"/>
              </w:rPr>
              <w:t>光储直供为主+绿电交易补充+绿证兜底，达标</w:t>
            </w:r>
          </w:p>
        </w:tc>
      </w:tr>
    </w:tbl>
    <w:p>
      <w:pPr>
        <w:spacing w:before="160" w:after="80"/>
      </w:pPr>
      <w:r>
        <w:rPr>
          <w:rFonts w:ascii="Times New Roman" w:hAnsi="Times New Roman" w:eastAsia="黑体"/>
          <w:b/>
          <w:sz w:val="30"/>
        </w:rPr>
        <w:t>六、当前工作推进情况</w:t>
      </w:r>
    </w:p>
    <w:p>
      <w:pPr>
        <w:spacing w:line="360" w:lineRule="auto"/>
        <w:ind w:firstLine="480"/>
      </w:pPr>
      <w:r>
        <w:rPr>
          <w:rFonts w:ascii="Times New Roman" w:hAnsi="Times New Roman" w:eastAsia="仿宋"/>
          <w:sz w:val="24"/>
        </w:rPr>
        <w:t>（一）路域光伏建设快速推进。已并网100MW稳定发电，剩余100MW有序推进场站化改造和建设；张石、津石等路段已形成较好实物工作量。</w:t>
      </w:r>
    </w:p>
    <w:p>
      <w:pPr>
        <w:spacing w:line="360" w:lineRule="auto"/>
        <w:ind w:firstLine="480"/>
      </w:pPr>
      <w:r>
        <w:rPr>
          <w:rFonts w:ascii="Times New Roman" w:hAnsi="Times New Roman" w:eastAsia="仿宋"/>
          <w:sz w:val="24"/>
        </w:rPr>
        <w:t>（二）储能与综合补能同步推进。已投运储能32MWh，将扩容至150MWh；充电设施选址、负荷接入和踏勘基本完成。</w:t>
      </w:r>
    </w:p>
    <w:p>
      <w:pPr>
        <w:spacing w:line="360" w:lineRule="auto"/>
        <w:ind w:firstLine="480"/>
      </w:pPr>
      <w:r>
        <w:rPr>
          <w:rFonts w:ascii="Times New Roman" w:hAnsi="Times New Roman" w:eastAsia="仿宋"/>
          <w:sz w:val="24"/>
        </w:rPr>
        <w:t>（三）虚拟电厂和综合能源管理平台前期有序开展。已结合冀北电网、河北南网准入要求推进聚合商资质申报和资源摸排。</w:t>
      </w:r>
    </w:p>
    <w:p>
      <w:pPr>
        <w:spacing w:line="360" w:lineRule="auto"/>
        <w:ind w:firstLine="480"/>
      </w:pPr>
      <w:r>
        <w:rPr>
          <w:rFonts w:ascii="Times New Roman" w:hAnsi="Times New Roman" w:eastAsia="仿宋"/>
          <w:sz w:val="24"/>
        </w:rPr>
        <w:t>（四）零碳枢纽和多元消纳场景加快论证。零碳改造实施方案细化中，分布式算力、绿电制氢场景开展前期论证。</w:t>
      </w:r>
    </w:p>
    <w:p>
      <w:pPr>
        <w:spacing w:before="160" w:after="80"/>
      </w:pPr>
      <w:r>
        <w:rPr>
          <w:rFonts w:ascii="Times New Roman" w:hAnsi="Times New Roman" w:eastAsia="黑体"/>
          <w:b/>
          <w:sz w:val="30"/>
        </w:rPr>
        <w:t>七、组织保障与进度安排</w:t>
      </w:r>
    </w:p>
    <w:p>
      <w:pPr>
        <w:spacing w:line="360" w:lineRule="auto"/>
        <w:ind w:firstLine="480"/>
      </w:pPr>
      <w:r>
        <w:rPr>
          <w:rFonts w:ascii="Times New Roman" w:hAnsi="Times New Roman" w:eastAsia="仿宋"/>
          <w:sz w:val="24"/>
        </w:rPr>
        <w:t>组织保障：河北交投集团牵头成立项目专班，统筹规划建设运营申报；铧景昱仁、铧景石能负责建设运营；华能景顺私募基金统筹投融资；与电网、物流货主、整车电池、算力制氢合作方建立协同机制。</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1"/>
              </w:rPr>
              <w:t>阶段</w:t>
            </w:r>
          </w:p>
        </w:tc>
        <w:tc>
          <w:tcPr>
            <w:tcW w:type="dxa" w:w="2880"/>
          </w:tcPr>
          <w:p>
            <w:r/>
            <w:r>
              <w:rPr>
                <w:rFonts w:ascii="Times New Roman" w:hAnsi="Times New Roman" w:eastAsia="黑体"/>
                <w:b/>
                <w:sz w:val="21"/>
              </w:rPr>
              <w:t>时间</w:t>
            </w:r>
          </w:p>
        </w:tc>
        <w:tc>
          <w:tcPr>
            <w:tcW w:type="dxa" w:w="2880"/>
          </w:tcPr>
          <w:p>
            <w:r/>
            <w:r>
              <w:rPr>
                <w:rFonts w:ascii="Times New Roman" w:hAnsi="Times New Roman" w:eastAsia="黑体"/>
                <w:b/>
                <w:sz w:val="21"/>
              </w:rPr>
              <w:t>主要里程碑</w:t>
            </w:r>
          </w:p>
        </w:tc>
      </w:tr>
      <w:tr>
        <w:tc>
          <w:tcPr>
            <w:tcW w:type="dxa" w:w="2880"/>
          </w:tcPr>
          <w:p>
            <w:r/>
            <w:r>
              <w:rPr>
                <w:rFonts w:ascii="Times New Roman" w:hAnsi="Times New Roman" w:eastAsia="仿宋"/>
                <w:sz w:val="21"/>
              </w:rPr>
              <w:t>申报完善期</w:t>
            </w:r>
          </w:p>
        </w:tc>
        <w:tc>
          <w:tcPr>
            <w:tcW w:type="dxa" w:w="2880"/>
          </w:tcPr>
          <w:p>
            <w:r/>
            <w:r>
              <w:rPr>
                <w:rFonts w:ascii="Times New Roman" w:hAnsi="Times New Roman" w:eastAsia="仿宋"/>
                <w:sz w:val="21"/>
              </w:rPr>
              <w:t>2026年二季度</w:t>
            </w:r>
          </w:p>
        </w:tc>
        <w:tc>
          <w:tcPr>
            <w:tcW w:type="dxa" w:w="2880"/>
          </w:tcPr>
          <w:p>
            <w:r/>
            <w:r>
              <w:rPr>
                <w:rFonts w:ascii="Times New Roman" w:hAnsi="Times New Roman" w:eastAsia="仿宋"/>
                <w:sz w:val="21"/>
              </w:rPr>
              <w:t>完善申报文本、可研与财务测算，正式报送</w:t>
            </w:r>
          </w:p>
        </w:tc>
      </w:tr>
      <w:tr>
        <w:tc>
          <w:tcPr>
            <w:tcW w:type="dxa" w:w="2880"/>
          </w:tcPr>
          <w:p>
            <w:r/>
            <w:r>
              <w:rPr>
                <w:rFonts w:ascii="Times New Roman" w:hAnsi="Times New Roman" w:eastAsia="仿宋"/>
                <w:sz w:val="21"/>
              </w:rPr>
              <w:t>加速建设期</w:t>
            </w:r>
          </w:p>
        </w:tc>
        <w:tc>
          <w:tcPr>
            <w:tcW w:type="dxa" w:w="2880"/>
          </w:tcPr>
          <w:p>
            <w:r/>
            <w:r>
              <w:rPr>
                <w:rFonts w:ascii="Times New Roman" w:hAnsi="Times New Roman" w:eastAsia="仿宋"/>
                <w:sz w:val="21"/>
              </w:rPr>
              <w:t>2026年三季度—2027年</w:t>
            </w:r>
          </w:p>
        </w:tc>
        <w:tc>
          <w:tcPr>
            <w:tcW w:type="dxa" w:w="2880"/>
          </w:tcPr>
          <w:p>
            <w:r/>
            <w:r>
              <w:rPr>
                <w:rFonts w:ascii="Times New Roman" w:hAnsi="Times New Roman" w:eastAsia="仿宋"/>
                <w:sz w:val="21"/>
              </w:rPr>
              <w:t>完成剩余100MW光伏、储能扩至150MWh，建成首批充换电站</w:t>
            </w:r>
          </w:p>
        </w:tc>
      </w:tr>
      <w:tr>
        <w:tc>
          <w:tcPr>
            <w:tcW w:type="dxa" w:w="2880"/>
          </w:tcPr>
          <w:p>
            <w:r/>
            <w:r>
              <w:rPr>
                <w:rFonts w:ascii="Times New Roman" w:hAnsi="Times New Roman" w:eastAsia="仿宋"/>
                <w:sz w:val="21"/>
              </w:rPr>
              <w:t>示范运营期</w:t>
            </w:r>
          </w:p>
        </w:tc>
        <w:tc>
          <w:tcPr>
            <w:tcW w:type="dxa" w:w="2880"/>
          </w:tcPr>
          <w:p>
            <w:r/>
            <w:r>
              <w:rPr>
                <w:rFonts w:ascii="Times New Roman" w:hAnsi="Times New Roman" w:eastAsia="仿宋"/>
                <w:sz w:val="21"/>
              </w:rPr>
              <w:t>2027—2028年</w:t>
            </w:r>
          </w:p>
        </w:tc>
        <w:tc>
          <w:tcPr>
            <w:tcW w:type="dxa" w:w="2880"/>
          </w:tcPr>
          <w:p>
            <w:r/>
            <w:r>
              <w:rPr>
                <w:rFonts w:ascii="Times New Roman" w:hAnsi="Times New Roman" w:eastAsia="仿宋"/>
                <w:sz w:val="21"/>
              </w:rPr>
              <w:t>首批≥50辆/≥100km/≥20万吨达标，建成统一平台与虚拟电厂</w:t>
            </w:r>
          </w:p>
        </w:tc>
      </w:tr>
      <w:tr>
        <w:tc>
          <w:tcPr>
            <w:tcW w:type="dxa" w:w="2880"/>
          </w:tcPr>
          <w:p>
            <w:r/>
            <w:r>
              <w:rPr>
                <w:rFonts w:ascii="Times New Roman" w:hAnsi="Times New Roman" w:eastAsia="仿宋"/>
                <w:sz w:val="21"/>
              </w:rPr>
              <w:t>推广深化期</w:t>
            </w:r>
          </w:p>
        </w:tc>
        <w:tc>
          <w:tcPr>
            <w:tcW w:type="dxa" w:w="2880"/>
          </w:tcPr>
          <w:p>
            <w:r/>
            <w:r>
              <w:rPr>
                <w:rFonts w:ascii="Times New Roman" w:hAnsi="Times New Roman" w:eastAsia="仿宋"/>
                <w:sz w:val="21"/>
              </w:rPr>
              <w:t>2028年起</w:t>
            </w:r>
          </w:p>
        </w:tc>
        <w:tc>
          <w:tcPr>
            <w:tcW w:type="dxa" w:w="2880"/>
          </w:tcPr>
          <w:p>
            <w:r/>
            <w:r>
              <w:rPr>
                <w:rFonts w:ascii="Times New Roman" w:hAnsi="Times New Roman" w:eastAsia="仿宋"/>
                <w:sz w:val="21"/>
              </w:rPr>
              <w:t>扩展至≥200辆/≥80万吨，固化标准形成"河北方案"</w:t>
            </w:r>
          </w:p>
        </w:tc>
      </w:tr>
    </w:tbl>
    <w:p>
      <w:pPr>
        <w:spacing w:before="160" w:after="80"/>
      </w:pPr>
      <w:r>
        <w:rPr>
          <w:rFonts w:ascii="Times New Roman" w:hAnsi="Times New Roman" w:eastAsia="黑体"/>
          <w:b/>
          <w:sz w:val="30"/>
        </w:rPr>
        <w:t>八、风险分析与应对</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eastAsia="黑体"/>
                <w:b/>
                <w:sz w:val="21"/>
              </w:rPr>
              <w:t>风险类别</w:t>
            </w:r>
          </w:p>
        </w:tc>
        <w:tc>
          <w:tcPr>
            <w:tcW w:type="dxa" w:w="2880"/>
          </w:tcPr>
          <w:p>
            <w:r/>
            <w:r>
              <w:rPr>
                <w:rFonts w:ascii="Times New Roman" w:hAnsi="Times New Roman" w:eastAsia="黑体"/>
                <w:b/>
                <w:sz w:val="21"/>
              </w:rPr>
              <w:t>主要风险</w:t>
            </w:r>
          </w:p>
        </w:tc>
        <w:tc>
          <w:tcPr>
            <w:tcW w:type="dxa" w:w="2880"/>
          </w:tcPr>
          <w:p>
            <w:r/>
            <w:r>
              <w:rPr>
                <w:rFonts w:ascii="Times New Roman" w:hAnsi="Times New Roman" w:eastAsia="黑体"/>
                <w:b/>
                <w:sz w:val="21"/>
              </w:rPr>
              <w:t>应对措施</w:t>
            </w:r>
          </w:p>
        </w:tc>
      </w:tr>
      <w:tr>
        <w:tc>
          <w:tcPr>
            <w:tcW w:type="dxa" w:w="2880"/>
          </w:tcPr>
          <w:p>
            <w:r/>
            <w:r>
              <w:rPr>
                <w:rFonts w:ascii="Times New Roman" w:hAnsi="Times New Roman" w:eastAsia="仿宋"/>
                <w:sz w:val="21"/>
              </w:rPr>
              <w:t>并网与消纳</w:t>
            </w:r>
          </w:p>
        </w:tc>
        <w:tc>
          <w:tcPr>
            <w:tcW w:type="dxa" w:w="2880"/>
          </w:tcPr>
          <w:p>
            <w:r/>
            <w:r>
              <w:rPr>
                <w:rFonts w:ascii="Times New Roman" w:hAnsi="Times New Roman" w:eastAsia="仿宋"/>
                <w:sz w:val="21"/>
              </w:rPr>
              <w:t>余电上网受限、局部消纳不足</w:t>
            </w:r>
          </w:p>
        </w:tc>
        <w:tc>
          <w:tcPr>
            <w:tcW w:type="dxa" w:w="2880"/>
          </w:tcPr>
          <w:p>
            <w:r/>
            <w:r>
              <w:rPr>
                <w:rFonts w:ascii="Times New Roman" w:hAnsi="Times New Roman" w:eastAsia="仿宋"/>
                <w:sz w:val="21"/>
              </w:rPr>
              <w:t>储能时移+弹性负荷调峰+虚拟电厂友好并网</w:t>
            </w:r>
          </w:p>
        </w:tc>
      </w:tr>
      <w:tr>
        <w:tc>
          <w:tcPr>
            <w:tcW w:type="dxa" w:w="2880"/>
          </w:tcPr>
          <w:p>
            <w:r/>
            <w:r>
              <w:rPr>
                <w:rFonts w:ascii="Times New Roman" w:hAnsi="Times New Roman" w:eastAsia="仿宋"/>
                <w:sz w:val="21"/>
              </w:rPr>
              <w:t>政策与市场</w:t>
            </w:r>
          </w:p>
        </w:tc>
        <w:tc>
          <w:tcPr>
            <w:tcW w:type="dxa" w:w="2880"/>
          </w:tcPr>
          <w:p>
            <w:r/>
            <w:r>
              <w:rPr>
                <w:rFonts w:ascii="Times New Roman" w:hAnsi="Times New Roman" w:eastAsia="仿宋"/>
                <w:sz w:val="21"/>
              </w:rPr>
              <w:t>绿电直供/绿证/电价政策变动</w:t>
            </w:r>
          </w:p>
        </w:tc>
        <w:tc>
          <w:tcPr>
            <w:tcW w:type="dxa" w:w="2880"/>
          </w:tcPr>
          <w:p>
            <w:r/>
            <w:r>
              <w:rPr>
                <w:rFonts w:ascii="Times New Roman" w:hAnsi="Times New Roman" w:eastAsia="仿宋"/>
                <w:sz w:val="21"/>
              </w:rPr>
              <w:t>跟踪准入规则，多情景测算，物理绿电优先、绿证兜底</w:t>
            </w:r>
          </w:p>
        </w:tc>
      </w:tr>
      <w:tr>
        <w:tc>
          <w:tcPr>
            <w:tcW w:type="dxa" w:w="2880"/>
          </w:tcPr>
          <w:p>
            <w:r/>
            <w:r>
              <w:rPr>
                <w:rFonts w:ascii="Times New Roman" w:hAnsi="Times New Roman" w:eastAsia="仿宋"/>
                <w:sz w:val="21"/>
              </w:rPr>
              <w:t>技术与设备</w:t>
            </w:r>
          </w:p>
        </w:tc>
        <w:tc>
          <w:tcPr>
            <w:tcW w:type="dxa" w:w="2880"/>
          </w:tcPr>
          <w:p>
            <w:r/>
            <w:r>
              <w:rPr>
                <w:rFonts w:ascii="Times New Roman" w:hAnsi="Times New Roman" w:eastAsia="仿宋"/>
                <w:sz w:val="21"/>
              </w:rPr>
              <w:t>高功率充换电、储能安全</w:t>
            </w:r>
          </w:p>
        </w:tc>
        <w:tc>
          <w:tcPr>
            <w:tcW w:type="dxa" w:w="2880"/>
          </w:tcPr>
          <w:p>
            <w:r/>
            <w:r>
              <w:rPr>
                <w:rFonts w:ascii="Times New Roman" w:hAnsi="Times New Roman" w:eastAsia="仿宋"/>
                <w:sz w:val="21"/>
              </w:rPr>
              <w:t>本质安全设计、消防灾害监测、设备在线监测</w:t>
            </w:r>
          </w:p>
        </w:tc>
      </w:tr>
      <w:tr>
        <w:tc>
          <w:tcPr>
            <w:tcW w:type="dxa" w:w="2880"/>
          </w:tcPr>
          <w:p>
            <w:r/>
            <w:r>
              <w:rPr>
                <w:rFonts w:ascii="Times New Roman" w:hAnsi="Times New Roman" w:eastAsia="仿宋"/>
                <w:sz w:val="21"/>
              </w:rPr>
              <w:t>运营组织</w:t>
            </w:r>
          </w:p>
        </w:tc>
        <w:tc>
          <w:tcPr>
            <w:tcW w:type="dxa" w:w="2880"/>
          </w:tcPr>
          <w:p>
            <w:r/>
            <w:r>
              <w:rPr>
                <w:rFonts w:ascii="Times New Roman" w:hAnsi="Times New Roman" w:eastAsia="仿宋"/>
                <w:sz w:val="21"/>
              </w:rPr>
              <w:t>示范车队货源运量不足</w:t>
            </w:r>
          </w:p>
        </w:tc>
        <w:tc>
          <w:tcPr>
            <w:tcW w:type="dxa" w:w="2880"/>
          </w:tcPr>
          <w:p>
            <w:r/>
            <w:r>
              <w:rPr>
                <w:rFonts w:ascii="Times New Roman" w:hAnsi="Times New Roman" w:eastAsia="仿宋"/>
                <w:sz w:val="21"/>
              </w:rPr>
              <w:t>提前锁定货主与物流协议，一体化运营</w:t>
            </w:r>
          </w:p>
        </w:tc>
      </w:tr>
      <w:tr>
        <w:tc>
          <w:tcPr>
            <w:tcW w:type="dxa" w:w="2880"/>
          </w:tcPr>
          <w:p>
            <w:r/>
            <w:r>
              <w:rPr>
                <w:rFonts w:ascii="Times New Roman" w:hAnsi="Times New Roman" w:eastAsia="仿宋"/>
                <w:sz w:val="21"/>
              </w:rPr>
              <w:t>安全韧性</w:t>
            </w:r>
          </w:p>
        </w:tc>
        <w:tc>
          <w:tcPr>
            <w:tcW w:type="dxa" w:w="2880"/>
          </w:tcPr>
          <w:p>
            <w:r/>
            <w:r>
              <w:rPr>
                <w:rFonts w:ascii="Times New Roman" w:hAnsi="Times New Roman" w:eastAsia="仿宋"/>
                <w:sz w:val="21"/>
              </w:rPr>
              <w:t>极端天气、外部电网波动</w:t>
            </w:r>
          </w:p>
        </w:tc>
        <w:tc>
          <w:tcPr>
            <w:tcW w:type="dxa" w:w="2880"/>
          </w:tcPr>
          <w:p>
            <w:r/>
            <w:r>
              <w:rPr>
                <w:rFonts w:ascii="Times New Roman" w:hAnsi="Times New Roman" w:eastAsia="仿宋"/>
                <w:sz w:val="21"/>
              </w:rPr>
              <w:t>光储协同保供核心业务，安全韧性提升≥20%</w:t>
            </w:r>
          </w:p>
        </w:tc>
      </w:tr>
    </w:tbl>
    <w:p>
      <w:pPr>
        <w:spacing w:before="160" w:after="80"/>
      </w:pPr>
      <w:r>
        <w:rPr>
          <w:rFonts w:ascii="Times New Roman" w:hAnsi="Times New Roman" w:eastAsia="黑体"/>
          <w:b/>
          <w:sz w:val="30"/>
        </w:rPr>
        <w:t>九、下一步工作安排</w:t>
      </w:r>
    </w:p>
    <w:p>
      <w:pPr>
        <w:spacing w:line="360" w:lineRule="auto"/>
        <w:ind w:firstLine="480"/>
      </w:pPr>
      <w:r>
        <w:rPr>
          <w:rFonts w:ascii="Times New Roman" w:hAnsi="Times New Roman" w:eastAsia="仿宋"/>
          <w:sz w:val="24"/>
        </w:rPr>
        <w:t>（一）高标准完善试点申报方案，紧扣《指引2025》相关方向完善建设目标、技术路线、投资测算、碳减排成效和复制推广机制。</w:t>
      </w:r>
    </w:p>
    <w:p>
      <w:pPr>
        <w:spacing w:line="360" w:lineRule="auto"/>
        <w:ind w:firstLine="480"/>
      </w:pPr>
      <w:r>
        <w:rPr>
          <w:rFonts w:ascii="Times New Roman" w:hAnsi="Times New Roman" w:eastAsia="仿宋"/>
          <w:sz w:val="24"/>
        </w:rPr>
        <w:t>（二）加快剩余光伏和储能建设，优化并网接入、场站布局和消纳方案，逐步形成150MWh储能支撑能力。</w:t>
      </w:r>
    </w:p>
    <w:p>
      <w:pPr>
        <w:spacing w:line="360" w:lineRule="auto"/>
        <w:ind w:firstLine="480"/>
      </w:pPr>
      <w:r>
        <w:rPr>
          <w:rFonts w:ascii="Times New Roman" w:hAnsi="Times New Roman" w:eastAsia="仿宋"/>
          <w:sz w:val="24"/>
        </w:rPr>
        <w:t>（三）尽快落地零碳重卡示范通道，确定示范线路、货源组织、车辆投放和运营模式，首批形成不少于50辆、单程不低于100公里、年运输量不低于20万吨的实质性运营场景。</w:t>
      </w:r>
    </w:p>
    <w:p>
      <w:pPr>
        <w:spacing w:line="360" w:lineRule="auto"/>
        <w:ind w:firstLine="480"/>
      </w:pPr>
      <w:r>
        <w:rPr>
          <w:rFonts w:ascii="Times New Roman" w:hAnsi="Times New Roman" w:eastAsia="仿宋"/>
          <w:sz w:val="24"/>
        </w:rPr>
        <w:t>（四）同步推进零碳枢纽和服务区改造，形成一批100%清洁能源供用能示范节点。</w:t>
      </w:r>
    </w:p>
    <w:p>
      <w:pPr>
        <w:spacing w:line="360" w:lineRule="auto"/>
        <w:ind w:firstLine="480"/>
      </w:pPr>
      <w:r>
        <w:rPr>
          <w:rFonts w:ascii="Times New Roman" w:hAnsi="Times New Roman" w:eastAsia="仿宋"/>
          <w:sz w:val="24"/>
        </w:rPr>
        <w:t>（五）加快建设统一平台和碳管理体系，完善绿电追溯、充换电调度、碳减排核证、安全监测和运营评价功能。</w:t>
      </w:r>
    </w:p>
    <w:p>
      <w:pPr>
        <w:spacing w:line="360" w:lineRule="auto"/>
        <w:ind w:firstLine="480"/>
      </w:pPr>
      <w:r>
        <w:rPr>
          <w:rFonts w:ascii="Times New Roman" w:hAnsi="Times New Roman" w:eastAsia="仿宋"/>
          <w:sz w:val="24"/>
        </w:rPr>
        <w:t>（六）强化标准机制和复制推广，形成路域光伏开发、零碳重卡运输、零碳枢纽建设、绿电消纳调度、安全韧性保障等标准规范和运营机制。</w:t>
      </w:r>
    </w:p>
    <w:p/>
    <w:p>
      <w:pPr>
        <w:jc w:val="right"/>
      </w:pPr>
      <w:r>
        <w:rPr>
          <w:rFonts w:ascii="Times New Roman" w:hAnsi="Times New Roman" w:eastAsia="仿宋"/>
          <w:sz w:val="24"/>
        </w:rPr>
        <w:t>特此汇报。</w:t>
      </w:r>
    </w:p>
    <w:p>
      <w:pPr>
        <w:jc w:val="right"/>
      </w:pPr>
      <w:r>
        <w:rPr>
          <w:rFonts w:ascii="Times New Roman" w:hAnsi="Times New Roman" w:eastAsia="仿宋"/>
          <w:b/>
          <w:sz w:val="24"/>
        </w:rPr>
        <w:t>报送单位：河北交通投资集团有限公司（项目专班）</w:t>
      </w:r>
    </w:p>
    <w:p>
      <w:pPr>
        <w:jc w:val="right"/>
      </w:pPr>
      <w:r>
        <w:rPr>
          <w:rFonts w:ascii="Times New Roman" w:hAnsi="Times New Roman" w:eastAsia="仿宋"/>
          <w:b/>
          <w:sz w:val="24"/>
        </w:rPr>
        <w:t>二〇二六年五月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