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49A9A" w14:textId="77777777" w:rsidR="00222B4A" w:rsidRDefault="00222B4A">
      <w:pPr>
        <w:spacing w:line="700" w:lineRule="exact"/>
        <w:jc w:val="left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附件</w:t>
      </w:r>
    </w:p>
    <w:p w14:paraId="528BF211" w14:textId="77777777" w:rsidR="00222B4A" w:rsidRDefault="00222B4A">
      <w:pPr>
        <w:spacing w:line="700" w:lineRule="exact"/>
        <w:jc w:val="center"/>
        <w:rPr>
          <w:rFonts w:ascii="Times New Roman" w:eastAsia="方正小标宋_GBK" w:hAnsi="Times New Roman"/>
          <w:sz w:val="44"/>
          <w:szCs w:val="28"/>
        </w:rPr>
      </w:pPr>
    </w:p>
    <w:p w14:paraId="5DD25436" w14:textId="77777777" w:rsidR="00222B4A" w:rsidRDefault="00222B4A">
      <w:pPr>
        <w:spacing w:line="700" w:lineRule="exact"/>
        <w:jc w:val="center"/>
        <w:rPr>
          <w:rFonts w:ascii="Times New Roman" w:eastAsia="方正小标宋_GBK" w:hAnsi="Times New Roman"/>
          <w:sz w:val="44"/>
          <w:szCs w:val="28"/>
        </w:rPr>
      </w:pPr>
      <w:r>
        <w:rPr>
          <w:rFonts w:ascii="Times New Roman" w:eastAsia="方正小标宋_GBK" w:hAnsi="Times New Roman"/>
          <w:sz w:val="44"/>
          <w:szCs w:val="28"/>
        </w:rPr>
        <w:t>交通强国建设试点申报方向指引（</w:t>
      </w:r>
      <w:r>
        <w:rPr>
          <w:rFonts w:ascii="Times New Roman" w:eastAsia="方正小标宋_GBK" w:hAnsi="Times New Roman"/>
          <w:sz w:val="44"/>
          <w:szCs w:val="28"/>
        </w:rPr>
        <w:t>2025</w:t>
      </w:r>
      <w:r>
        <w:rPr>
          <w:rFonts w:ascii="Times New Roman" w:eastAsia="方正小标宋_GBK" w:hAnsi="Times New Roman"/>
          <w:sz w:val="44"/>
          <w:szCs w:val="28"/>
        </w:rPr>
        <w:t>年）</w:t>
      </w:r>
    </w:p>
    <w:p w14:paraId="68F573E1" w14:textId="77777777" w:rsidR="00222B4A" w:rsidRDefault="00222B4A">
      <w:pPr>
        <w:spacing w:line="700" w:lineRule="exact"/>
        <w:jc w:val="center"/>
        <w:rPr>
          <w:rFonts w:ascii="Times New Roman" w:eastAsia="方正小标宋_GBK" w:hAnsi="Times New Roman"/>
          <w:sz w:val="44"/>
          <w:szCs w:val="28"/>
        </w:rPr>
      </w:pPr>
    </w:p>
    <w:p w14:paraId="2B6B7DE5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交通基础设施更新提质</w:t>
      </w:r>
    </w:p>
    <w:p w14:paraId="55C97708" w14:textId="77777777" w:rsidR="00222B4A" w:rsidRDefault="00222B4A">
      <w:pPr>
        <w:numPr>
          <w:ilvl w:val="0"/>
          <w:numId w:val="2"/>
        </w:numPr>
        <w:spacing w:line="580" w:lineRule="exact"/>
        <w:ind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</w:t>
      </w:r>
      <w:r>
        <w:rPr>
          <w:rFonts w:ascii="Times New Roman" w:eastAsia="楷体_GB2312" w:hAnsi="Times New Roman" w:hint="eastAsia"/>
          <w:sz w:val="32"/>
          <w:szCs w:val="21"/>
        </w:rPr>
        <w:t>交通</w:t>
      </w:r>
      <w:r>
        <w:rPr>
          <w:rFonts w:ascii="Times New Roman" w:eastAsia="楷体_GB2312" w:hAnsi="Times New Roman"/>
          <w:sz w:val="32"/>
          <w:szCs w:val="21"/>
        </w:rPr>
        <w:t>基础设施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四化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同步建设。</w:t>
      </w:r>
    </w:p>
    <w:p w14:paraId="2CE85AA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存量交通基础设施更新和数字化改造过程中，注重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融合化、安全化、智慧化、绿色化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同步，实现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一次更新、全方位提升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，促进交通基础设施网络提质效、优服务、扩功能。</w:t>
      </w:r>
    </w:p>
    <w:p w14:paraId="68E99B7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64FE2149" w14:textId="77777777" w:rsidR="00222B4A" w:rsidRDefault="00222B4A">
      <w:pPr>
        <w:numPr>
          <w:ilvl w:val="0"/>
          <w:numId w:val="2"/>
        </w:numPr>
        <w:spacing w:line="580" w:lineRule="exact"/>
        <w:ind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公路基础设施养护新模式。</w:t>
      </w:r>
    </w:p>
    <w:p w14:paraId="044FCD6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探索创新集约化规模化养护组织模式，开展公路基础设施长周期、建养一体化、集中养护等，提升养护管理精细化、专业化、规范化水平，提高周期性养护效率和资金使用效益。</w:t>
      </w:r>
    </w:p>
    <w:p w14:paraId="0488BB9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部公路局。</w:t>
      </w:r>
    </w:p>
    <w:p w14:paraId="0C928141" w14:textId="77777777" w:rsidR="00222B4A" w:rsidRDefault="00222B4A">
      <w:pPr>
        <w:numPr>
          <w:ilvl w:val="0"/>
          <w:numId w:val="2"/>
        </w:numPr>
        <w:spacing w:line="580" w:lineRule="exact"/>
        <w:ind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农村公路精准更新改造。</w:t>
      </w:r>
    </w:p>
    <w:p w14:paraId="6B7560D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结合村庄分类、人口分布、产业结构、经济社会发展等因素，以质量和效益为导向，因地制宜明确农村公路更新改造的目标任务和发展对策。从优化农村公路规划布局、开展全生命周期管理、提升服务能力、建立动态调整机制等方面，推进农村公路精准更新改造。聚焦组织保障、</w:t>
      </w:r>
      <w:r>
        <w:rPr>
          <w:rFonts w:ascii="Times New Roman" w:eastAsia="仿宋_GB2312" w:hAnsi="Times New Roman"/>
          <w:sz w:val="32"/>
          <w:szCs w:val="21"/>
        </w:rPr>
        <w:lastRenderedPageBreak/>
        <w:t>要素保障、制度保障、技术保障等方面，探索建立农村公路精准更新改造的长效发展机制。</w:t>
      </w:r>
    </w:p>
    <w:p w14:paraId="111039B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部公路局。</w:t>
      </w:r>
    </w:p>
    <w:p w14:paraId="36824099" w14:textId="77777777" w:rsidR="00222B4A" w:rsidRDefault="00222B4A">
      <w:pPr>
        <w:numPr>
          <w:ilvl w:val="0"/>
          <w:numId w:val="2"/>
        </w:numPr>
        <w:spacing w:line="580" w:lineRule="exact"/>
        <w:ind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水运工程建设标准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走出去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。</w:t>
      </w:r>
    </w:p>
    <w:p w14:paraId="3DF50CB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推动水运工程建设标准通过国内国际行业协会、国际组织等平台渠道，进一步实现国际转化。推动有关行业协会在推荐科研单位、行业专家参与国际标准研制中，强化组织管理，支持更好发挥作用，全面分享中国标准化实践成果。</w:t>
      </w:r>
    </w:p>
    <w:p w14:paraId="7CF6A2B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部水运局。</w:t>
      </w:r>
    </w:p>
    <w:p w14:paraId="1CCD7AE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推进铁路科技创新和智能化发展。</w:t>
      </w:r>
    </w:p>
    <w:p w14:paraId="11F0FF1C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加强前沿关键领域科技研发，大力发展智慧交通，推动大数据、互联网、人工智能等新技术在铁路行业的融合运用。鼓励开展</w:t>
      </w:r>
      <w:r>
        <w:rPr>
          <w:rFonts w:ascii="Times New Roman" w:eastAsia="仿宋_GB2312" w:hAnsi="Times New Roman"/>
          <w:sz w:val="32"/>
          <w:szCs w:val="21"/>
        </w:rPr>
        <w:t>5G</w:t>
      </w:r>
      <w:r>
        <w:rPr>
          <w:rFonts w:ascii="Times New Roman" w:eastAsia="仿宋_GB2312" w:hAnsi="Times New Roman"/>
          <w:sz w:val="32"/>
          <w:szCs w:val="21"/>
        </w:rPr>
        <w:t>、人工智能、北斗导航等新技术在铁路领域的产业化应用。加强铁路新型运载工具的研发，推动装备技术升级。</w:t>
      </w:r>
    </w:p>
    <w:p w14:paraId="65778D1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国家铁路局科技与法制司。</w:t>
      </w:r>
    </w:p>
    <w:p w14:paraId="366BB25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研究建设高速磁浮系统。</w:t>
      </w:r>
    </w:p>
    <w:p w14:paraId="5CA5CCC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32"/>
        </w:rPr>
        <w:t>突破高速磁浮智能建造技术瓶颈，在运输需求集中的城市群或都市圈，坚持经济适用的原则，建设时速</w:t>
      </w:r>
      <w:r>
        <w:rPr>
          <w:rFonts w:ascii="Times New Roman" w:eastAsia="仿宋_GB2312" w:hAnsi="Times New Roman"/>
          <w:sz w:val="32"/>
          <w:szCs w:val="32"/>
        </w:rPr>
        <w:t>600km</w:t>
      </w:r>
      <w:r>
        <w:rPr>
          <w:rFonts w:ascii="Times New Roman" w:eastAsia="仿宋_GB2312" w:hAnsi="Times New Roman"/>
          <w:sz w:val="32"/>
          <w:szCs w:val="32"/>
        </w:rPr>
        <w:t>高速磁浮达</w:t>
      </w:r>
      <w:proofErr w:type="gramStart"/>
      <w:r>
        <w:rPr>
          <w:rFonts w:ascii="Times New Roman" w:eastAsia="仿宋_GB2312" w:hAnsi="Times New Roman"/>
          <w:sz w:val="32"/>
          <w:szCs w:val="32"/>
        </w:rPr>
        <w:t>速试验</w:t>
      </w:r>
      <w:proofErr w:type="gramEnd"/>
      <w:r>
        <w:rPr>
          <w:rFonts w:ascii="Times New Roman" w:eastAsia="仿宋_GB2312" w:hAnsi="Times New Roman"/>
          <w:sz w:val="32"/>
          <w:szCs w:val="32"/>
        </w:rPr>
        <w:t>线，系统验证运营工况下高速磁浮装备性能，并</w:t>
      </w:r>
      <w:proofErr w:type="gramStart"/>
      <w:r>
        <w:rPr>
          <w:rFonts w:ascii="Times New Roman" w:eastAsia="仿宋_GB2312" w:hAnsi="Times New Roman"/>
          <w:sz w:val="32"/>
          <w:szCs w:val="32"/>
        </w:rPr>
        <w:t>构建全</w:t>
      </w:r>
      <w:proofErr w:type="gramEnd"/>
      <w:r>
        <w:rPr>
          <w:rFonts w:ascii="Times New Roman" w:eastAsia="仿宋_GB2312" w:hAnsi="Times New Roman"/>
          <w:sz w:val="32"/>
          <w:szCs w:val="32"/>
        </w:rPr>
        <w:t>链路试验验证体系，为建设商业运营线路奠定技术基础。</w:t>
      </w:r>
    </w:p>
    <w:p w14:paraId="5FAD12C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  <w:highlight w:val="yellow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国家铁路局科技与法制司</w:t>
      </w:r>
      <w:r>
        <w:rPr>
          <w:rFonts w:ascii="Times New Roman" w:eastAsia="仿宋_GB2312" w:hAnsi="Times New Roman" w:hint="eastAsia"/>
          <w:sz w:val="32"/>
          <w:szCs w:val="21"/>
        </w:rPr>
        <w:t>，</w:t>
      </w:r>
      <w:r>
        <w:rPr>
          <w:rFonts w:ascii="Times New Roman" w:eastAsia="仿宋_GB2312" w:hAnsi="Times New Roman"/>
          <w:sz w:val="32"/>
          <w:szCs w:val="21"/>
        </w:rPr>
        <w:t>部科技司、综合</w:t>
      </w:r>
      <w:r>
        <w:rPr>
          <w:rFonts w:ascii="Times New Roman" w:eastAsia="仿宋_GB2312" w:hAnsi="Times New Roman"/>
          <w:sz w:val="32"/>
          <w:szCs w:val="21"/>
        </w:rPr>
        <w:lastRenderedPageBreak/>
        <w:t>规划司。</w:t>
      </w:r>
    </w:p>
    <w:p w14:paraId="0DB74AFF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推进智慧大通道建设</w:t>
      </w:r>
    </w:p>
    <w:p w14:paraId="4BC4CA2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公路水路交通基础设施数字化转型升级。</w:t>
      </w:r>
    </w:p>
    <w:p w14:paraId="578C899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以数据资源为关键要素，</w:t>
      </w:r>
      <w:r>
        <w:rPr>
          <w:rFonts w:ascii="Times New Roman" w:eastAsia="仿宋_GB2312" w:hAnsi="Times New Roman" w:hint="eastAsia"/>
          <w:sz w:val="32"/>
          <w:szCs w:val="21"/>
        </w:rPr>
        <w:t>通过</w:t>
      </w:r>
      <w:r>
        <w:rPr>
          <w:rFonts w:ascii="Times New Roman" w:eastAsia="仿宋_GB2312" w:hAnsi="Times New Roman"/>
          <w:sz w:val="32"/>
          <w:szCs w:val="21"/>
        </w:rPr>
        <w:t>信息通信技术融合应用，聚焦</w:t>
      </w:r>
      <w:r>
        <w:rPr>
          <w:rFonts w:ascii="Times New Roman" w:eastAsia="仿宋_GB2312" w:hAnsi="Times New Roman" w:hint="eastAsia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一张网</w:t>
      </w:r>
      <w:r>
        <w:rPr>
          <w:rFonts w:ascii="Times New Roman" w:eastAsia="仿宋_GB2312" w:hAnsi="Times New Roman" w:hint="eastAsia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出行服务、路网运行监测预警、电子航道图</w:t>
      </w:r>
      <w:r>
        <w:rPr>
          <w:rFonts w:ascii="Times New Roman" w:eastAsia="仿宋_GB2312" w:hAnsi="Times New Roman" w:hint="eastAsia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一张图</w:t>
      </w:r>
      <w:r>
        <w:rPr>
          <w:rFonts w:ascii="Times New Roman" w:eastAsia="仿宋_GB2312" w:hAnsi="Times New Roman" w:hint="eastAsia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服务等重点方向，推动实施基础设施全要素数字化转型，促进交通基础设施智慧扩容、安全增效、产业融合，推动体制机制创新。</w:t>
      </w:r>
    </w:p>
    <w:p w14:paraId="4586777C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52A2BAE5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普通国省道交通调查能力全面提升。</w:t>
      </w:r>
    </w:p>
    <w:p w14:paraId="47E8BDC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聚焦普通国省道，按照统一布局、分类实施、能融尽融、边建边用的原则，推动多功能交通调查站布局和建设。积极与公安部对接，联合开展交通调查站与公安交管卡口数据共享共用。统筹运用多功能交通调查站、企业联网直报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治超非现场</w:t>
      </w:r>
      <w:proofErr w:type="gramEnd"/>
      <w:r>
        <w:rPr>
          <w:rFonts w:ascii="Times New Roman" w:eastAsia="仿宋_GB2312" w:hAnsi="Times New Roman"/>
          <w:sz w:val="32"/>
          <w:szCs w:val="21"/>
        </w:rPr>
        <w:t>执法站等多源数据，研究创新公路货运统计方法。深化客运统计改革，研究公路人员流动量分省、分地市统计方法。</w:t>
      </w:r>
    </w:p>
    <w:p w14:paraId="46C56C49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1ED80310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 w:hint="eastAsia"/>
          <w:sz w:val="32"/>
          <w:szCs w:val="21"/>
        </w:rPr>
        <w:t>探索</w:t>
      </w:r>
      <w:r>
        <w:rPr>
          <w:rFonts w:ascii="Times New Roman" w:eastAsia="楷体_GB2312" w:hAnsi="Times New Roman"/>
          <w:sz w:val="32"/>
          <w:szCs w:val="21"/>
        </w:rPr>
        <w:t>大通道货车自动驾驶技术。</w:t>
      </w:r>
    </w:p>
    <w:p w14:paraId="5FFA4EC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以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科技</w:t>
      </w:r>
      <w:r>
        <w:rPr>
          <w:rFonts w:ascii="Times New Roman" w:eastAsia="仿宋_GB2312" w:hAnsi="Times New Roman"/>
          <w:sz w:val="32"/>
          <w:szCs w:val="21"/>
        </w:rPr>
        <w:t>+</w:t>
      </w:r>
      <w:r>
        <w:rPr>
          <w:rFonts w:ascii="Times New Roman" w:eastAsia="仿宋_GB2312" w:hAnsi="Times New Roman"/>
          <w:sz w:val="32"/>
          <w:szCs w:val="21"/>
        </w:rPr>
        <w:t>工程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融合的方式，面向大宗货物运输场景，突破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车</w:t>
      </w:r>
      <w:r>
        <w:rPr>
          <w:rFonts w:ascii="Times New Roman" w:eastAsia="仿宋_GB2312" w:hAnsi="Times New Roman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路</w:t>
      </w:r>
      <w:r>
        <w:rPr>
          <w:rFonts w:ascii="Times New Roman" w:eastAsia="仿宋_GB2312" w:hAnsi="Times New Roman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云</w:t>
      </w:r>
      <w:r>
        <w:rPr>
          <w:rFonts w:ascii="Times New Roman" w:eastAsia="仿宋_GB2312" w:hAnsi="Times New Roman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能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一体化重载货车自动驾驶运输系统关键技术。部署集成智能化装备的道路基础设施，</w:t>
      </w:r>
      <w:r>
        <w:rPr>
          <w:rFonts w:ascii="Times New Roman" w:eastAsia="仿宋_GB2312" w:hAnsi="Times New Roman" w:hint="eastAsia"/>
          <w:sz w:val="32"/>
          <w:szCs w:val="21"/>
        </w:rPr>
        <w:t>探索</w:t>
      </w:r>
      <w:r>
        <w:rPr>
          <w:rFonts w:ascii="Times New Roman" w:eastAsia="仿宋_GB2312" w:hAnsi="Times New Roman"/>
          <w:sz w:val="32"/>
          <w:szCs w:val="21"/>
        </w:rPr>
        <w:t>建设数字化、智能化货车自动驾驶运输大通道。</w:t>
      </w:r>
    </w:p>
    <w:p w14:paraId="20AD43EC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部科技司。</w:t>
      </w:r>
    </w:p>
    <w:p w14:paraId="3213727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lastRenderedPageBreak/>
        <w:t>推动公路自由流收费。</w:t>
      </w:r>
    </w:p>
    <w:p w14:paraId="2F1B7F9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建设若干区域或不少于</w:t>
      </w:r>
      <w:r>
        <w:rPr>
          <w:rFonts w:ascii="Times New Roman" w:eastAsia="仿宋_GB2312" w:hAnsi="Times New Roman"/>
          <w:sz w:val="32"/>
          <w:szCs w:val="21"/>
        </w:rPr>
        <w:t>100</w:t>
      </w:r>
      <w:r>
        <w:rPr>
          <w:rFonts w:ascii="Times New Roman" w:eastAsia="仿宋_GB2312" w:hAnsi="Times New Roman"/>
          <w:sz w:val="32"/>
          <w:szCs w:val="21"/>
        </w:rPr>
        <w:t>条车道的全车型适配的自由流收费技术示范通道，突破车辆精准识别、路径还原、动态计费、信用体系等关键技术，全面验证技术可行性，实现车辆通行效率显著提升、用户满意度大幅提高，形成公路自由流收费技术体系和管理体系，为推广奠定基础。</w:t>
      </w:r>
    </w:p>
    <w:p w14:paraId="4CF9E84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部公路局、科技司。</w:t>
      </w:r>
    </w:p>
    <w:p w14:paraId="2A51606F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推进现代化都市</w:t>
      </w:r>
      <w:proofErr w:type="gramStart"/>
      <w:r>
        <w:rPr>
          <w:rFonts w:ascii="Times New Roman" w:eastAsia="黑体" w:hAnsi="Times New Roman"/>
          <w:sz w:val="32"/>
          <w:szCs w:val="21"/>
        </w:rPr>
        <w:t>圈综合</w:t>
      </w:r>
      <w:proofErr w:type="gramEnd"/>
      <w:r>
        <w:rPr>
          <w:rFonts w:ascii="Times New Roman" w:eastAsia="黑体" w:hAnsi="Times New Roman"/>
          <w:sz w:val="32"/>
          <w:szCs w:val="21"/>
        </w:rPr>
        <w:t>交通运输体系建设</w:t>
      </w:r>
    </w:p>
    <w:p w14:paraId="0EED5E57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提升公路出行服务品质和管理能力。</w:t>
      </w:r>
    </w:p>
    <w:p w14:paraId="4348E52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一是加强高速公路繁忙路段拥堵治理。选取高速公路大通道易拥堵路段，开展交通、公安、气象、</w:t>
      </w:r>
      <w:r>
        <w:rPr>
          <w:rFonts w:ascii="Times New Roman" w:eastAsia="仿宋_GB2312" w:hAnsi="Times New Roman" w:hint="eastAsia"/>
          <w:sz w:val="32"/>
          <w:szCs w:val="21"/>
        </w:rPr>
        <w:t>高速公路运营管理单位</w:t>
      </w:r>
      <w:r>
        <w:rPr>
          <w:rFonts w:ascii="Times New Roman" w:eastAsia="仿宋_GB2312" w:hAnsi="Times New Roman"/>
          <w:sz w:val="32"/>
          <w:szCs w:val="21"/>
        </w:rPr>
        <w:t>等跨部门、跨区域联合治理，推动信息互通共享、管</w:t>
      </w:r>
      <w:proofErr w:type="gramStart"/>
      <w:r>
        <w:rPr>
          <w:rFonts w:ascii="Times New Roman" w:eastAsia="仿宋_GB2312" w:hAnsi="Times New Roman"/>
          <w:sz w:val="32"/>
          <w:szCs w:val="21"/>
        </w:rPr>
        <w:t>控标准</w:t>
      </w:r>
      <w:proofErr w:type="gramEnd"/>
      <w:r>
        <w:rPr>
          <w:rFonts w:ascii="Times New Roman" w:eastAsia="仿宋_GB2312" w:hAnsi="Times New Roman"/>
          <w:sz w:val="32"/>
          <w:szCs w:val="21"/>
        </w:rPr>
        <w:t>精准衔接、路段通行能力衔接、跨省互相叫应等，探索完善在全国范围内可推广、可复制的疏堵保</w:t>
      </w:r>
      <w:proofErr w:type="gramStart"/>
      <w:r>
        <w:rPr>
          <w:rFonts w:ascii="Times New Roman" w:eastAsia="仿宋_GB2312" w:hAnsi="Times New Roman"/>
          <w:sz w:val="32"/>
          <w:szCs w:val="21"/>
        </w:rPr>
        <w:t>畅措施</w:t>
      </w:r>
      <w:proofErr w:type="gramEnd"/>
      <w:r>
        <w:rPr>
          <w:rFonts w:ascii="Times New Roman" w:eastAsia="仿宋_GB2312" w:hAnsi="Times New Roman"/>
          <w:sz w:val="32"/>
          <w:szCs w:val="21"/>
        </w:rPr>
        <w:t>经验。二是建立完善汛期公路灾害天气防御应对体系。建立健全公路灾害天气防御应对工作机制以及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一路多方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协同联动工作机制，加强气象会商</w:t>
      </w:r>
      <w:proofErr w:type="gramStart"/>
      <w:r>
        <w:rPr>
          <w:rFonts w:ascii="Times New Roman" w:eastAsia="仿宋_GB2312" w:hAnsi="Times New Roman"/>
          <w:sz w:val="32"/>
          <w:szCs w:val="21"/>
        </w:rPr>
        <w:t>研</w:t>
      </w:r>
      <w:proofErr w:type="gramEnd"/>
      <w:r>
        <w:rPr>
          <w:rFonts w:ascii="Times New Roman" w:eastAsia="仿宋_GB2312" w:hAnsi="Times New Roman"/>
          <w:sz w:val="32"/>
          <w:szCs w:val="21"/>
        </w:rPr>
        <w:t>判，强化交通管控，落实预警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叫应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闭环，推动会商及时、</w:t>
      </w:r>
      <w:r>
        <w:rPr>
          <w:rFonts w:ascii="Times New Roman" w:eastAsia="仿宋_GB2312" w:hAnsi="Times New Roman" w:hint="eastAsia"/>
          <w:sz w:val="32"/>
          <w:szCs w:val="21"/>
        </w:rPr>
        <w:t>研判精准、</w:t>
      </w:r>
      <w:r>
        <w:rPr>
          <w:rFonts w:ascii="Times New Roman" w:eastAsia="仿宋_GB2312" w:hAnsi="Times New Roman"/>
          <w:sz w:val="32"/>
          <w:szCs w:val="21"/>
        </w:rPr>
        <w:t>预警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叫应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顺畅、管控措施</w:t>
      </w:r>
      <w:r>
        <w:rPr>
          <w:rFonts w:ascii="Times New Roman" w:eastAsia="仿宋_GB2312" w:hAnsi="Times New Roman" w:hint="eastAsia"/>
          <w:sz w:val="32"/>
          <w:szCs w:val="21"/>
        </w:rPr>
        <w:t>精准到位</w:t>
      </w:r>
      <w:r>
        <w:rPr>
          <w:rFonts w:ascii="Times New Roman" w:eastAsia="仿宋_GB2312" w:hAnsi="Times New Roman"/>
          <w:sz w:val="32"/>
          <w:szCs w:val="21"/>
        </w:rPr>
        <w:t>，探索完善可推广、可借鉴的汛期公路灾害天气防御应对经验。三是推动服务区高质量发展。通过持续完善人性化服务设施，推进老旧设施设备改造、绿色低碳建设改造，加密优化充电基础设施，推动开放式服务区建设，加快服务区数字化转型，加强重大节假日服务保障，完善服务区医疗设施，打造特色服务区等，全面提升公路服</w:t>
      </w:r>
      <w:r>
        <w:rPr>
          <w:rFonts w:ascii="Times New Roman" w:eastAsia="仿宋_GB2312" w:hAnsi="Times New Roman"/>
          <w:sz w:val="32"/>
          <w:szCs w:val="21"/>
        </w:rPr>
        <w:lastRenderedPageBreak/>
        <w:t>务区服务水平。四是构建公路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一张网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出行服务体系。</w:t>
      </w:r>
      <w:r>
        <w:rPr>
          <w:rFonts w:ascii="Times New Roman" w:eastAsia="仿宋_GB2312" w:hAnsi="Times New Roman" w:hint="eastAsia"/>
          <w:sz w:val="32"/>
          <w:szCs w:val="21"/>
        </w:rPr>
        <w:t>围绕</w:t>
      </w:r>
      <w:r>
        <w:rPr>
          <w:rFonts w:ascii="Times New Roman" w:eastAsia="仿宋_GB2312" w:hAnsi="Times New Roman"/>
          <w:sz w:val="32"/>
          <w:szCs w:val="21"/>
        </w:rPr>
        <w:t>聚合一个出行服务矩阵</w:t>
      </w:r>
      <w:r>
        <w:rPr>
          <w:rFonts w:ascii="Times New Roman" w:eastAsia="仿宋_GB2312" w:hAnsi="Times New Roman" w:hint="eastAsia"/>
          <w:sz w:val="32"/>
          <w:szCs w:val="21"/>
        </w:rPr>
        <w:t>、</w:t>
      </w:r>
      <w:r>
        <w:rPr>
          <w:rFonts w:ascii="Times New Roman" w:eastAsia="仿宋_GB2312" w:hAnsi="Times New Roman"/>
          <w:sz w:val="32"/>
          <w:szCs w:val="21"/>
        </w:rPr>
        <w:t>提供一系列实用功能</w:t>
      </w:r>
      <w:r>
        <w:rPr>
          <w:rFonts w:ascii="Times New Roman" w:eastAsia="仿宋_GB2312" w:hAnsi="Times New Roman" w:hint="eastAsia"/>
          <w:sz w:val="32"/>
          <w:szCs w:val="21"/>
        </w:rPr>
        <w:t>、</w:t>
      </w:r>
      <w:r>
        <w:rPr>
          <w:rFonts w:ascii="Times New Roman" w:eastAsia="仿宋_GB2312" w:hAnsi="Times New Roman"/>
          <w:sz w:val="32"/>
          <w:szCs w:val="21"/>
        </w:rPr>
        <w:t>建立一套信息发布机制等方面，有序推动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一张网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出行服务工作。五是优化联网收费运营服务。研究推进高速公路收费新模式，推动智慧站点数字化建设改造。健全</w:t>
      </w:r>
      <w:r>
        <w:rPr>
          <w:rFonts w:ascii="Times New Roman" w:eastAsia="仿宋_GB2312" w:hAnsi="Times New Roman"/>
          <w:sz w:val="32"/>
          <w:szCs w:val="21"/>
        </w:rPr>
        <w:t>ETC</w:t>
      </w:r>
      <w:r>
        <w:rPr>
          <w:rFonts w:ascii="Times New Roman" w:eastAsia="仿宋_GB2312" w:hAnsi="Times New Roman"/>
          <w:sz w:val="32"/>
          <w:szCs w:val="21"/>
        </w:rPr>
        <w:t>服务体系，</w:t>
      </w:r>
      <w:proofErr w:type="gramStart"/>
      <w:r>
        <w:rPr>
          <w:rFonts w:ascii="Times New Roman" w:eastAsia="仿宋_GB2312" w:hAnsi="Times New Roman"/>
          <w:sz w:val="32"/>
          <w:szCs w:val="21"/>
        </w:rPr>
        <w:t>强化线上渠道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服务能力，推进异地服务试点。</w:t>
      </w:r>
    </w:p>
    <w:p w14:paraId="5E8CEAA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部公路局。</w:t>
      </w:r>
    </w:p>
    <w:p w14:paraId="5F13EE4D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 w:hint="eastAsia"/>
          <w:sz w:val="32"/>
          <w:szCs w:val="21"/>
        </w:rPr>
        <w:t>实施</w:t>
      </w:r>
      <w:r>
        <w:rPr>
          <w:rFonts w:ascii="Times New Roman" w:eastAsia="楷体_GB2312" w:hAnsi="Times New Roman"/>
          <w:sz w:val="32"/>
          <w:szCs w:val="21"/>
        </w:rPr>
        <w:t>都市圈城际通勤效率提升</w:t>
      </w:r>
      <w:r>
        <w:rPr>
          <w:rFonts w:ascii="Times New Roman" w:eastAsia="楷体_GB2312" w:hAnsi="Times New Roman" w:hint="eastAsia"/>
          <w:sz w:val="32"/>
          <w:szCs w:val="21"/>
        </w:rPr>
        <w:t>工程</w:t>
      </w:r>
      <w:r>
        <w:rPr>
          <w:rFonts w:ascii="Times New Roman" w:eastAsia="楷体_GB2312" w:hAnsi="Times New Roman"/>
          <w:sz w:val="32"/>
          <w:szCs w:val="21"/>
        </w:rPr>
        <w:t>。</w:t>
      </w:r>
    </w:p>
    <w:p w14:paraId="1AA9D8B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分析都市</w:t>
      </w:r>
      <w:proofErr w:type="gramStart"/>
      <w:r>
        <w:rPr>
          <w:rFonts w:ascii="Times New Roman" w:eastAsia="仿宋_GB2312" w:hAnsi="Times New Roman"/>
          <w:sz w:val="32"/>
          <w:szCs w:val="21"/>
        </w:rPr>
        <w:t>圈综合</w:t>
      </w:r>
      <w:proofErr w:type="gramEnd"/>
      <w:r>
        <w:rPr>
          <w:rFonts w:ascii="Times New Roman" w:eastAsia="仿宋_GB2312" w:hAnsi="Times New Roman"/>
          <w:sz w:val="32"/>
          <w:szCs w:val="21"/>
        </w:rPr>
        <w:t>交通设施条件、城际通勤特征、城际通勤存在的问题与瓶颈，研究都市圈城际通勤效率提升的发展要求、主要目标</w:t>
      </w:r>
      <w:r>
        <w:rPr>
          <w:rFonts w:ascii="Times New Roman" w:eastAsia="仿宋_GB2312" w:hAnsi="Times New Roman" w:hint="eastAsia"/>
          <w:sz w:val="32"/>
          <w:szCs w:val="21"/>
        </w:rPr>
        <w:t>、</w:t>
      </w:r>
      <w:r>
        <w:rPr>
          <w:rFonts w:ascii="Times New Roman" w:eastAsia="仿宋_GB2312" w:hAnsi="Times New Roman"/>
          <w:sz w:val="32"/>
          <w:szCs w:val="21"/>
        </w:rPr>
        <w:t>基本思路、重点任务和实施项目，提出提升都市圈城际通勤效率的重要支持政策举措、跨界合作、成本共担</w:t>
      </w:r>
      <w:proofErr w:type="gramStart"/>
      <w:r>
        <w:rPr>
          <w:rFonts w:ascii="Times New Roman" w:eastAsia="仿宋_GB2312" w:hAnsi="Times New Roman" w:hint="eastAsia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利益</w:t>
      </w:r>
      <w:proofErr w:type="gramEnd"/>
      <w:r>
        <w:rPr>
          <w:rFonts w:ascii="Times New Roman" w:eastAsia="仿宋_GB2312" w:hAnsi="Times New Roman"/>
          <w:sz w:val="32"/>
          <w:szCs w:val="21"/>
        </w:rPr>
        <w:t>共享机制等保障措施。</w:t>
      </w:r>
    </w:p>
    <w:p w14:paraId="00EAB42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部综合规划司、运输服务司。</w:t>
      </w:r>
    </w:p>
    <w:p w14:paraId="470EECD4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 w:hint="eastAsia"/>
          <w:sz w:val="32"/>
          <w:szCs w:val="21"/>
        </w:rPr>
        <w:t>优化提升</w:t>
      </w:r>
      <w:r>
        <w:rPr>
          <w:rFonts w:ascii="Times New Roman" w:eastAsia="楷体_GB2312" w:hAnsi="Times New Roman"/>
          <w:sz w:val="32"/>
          <w:szCs w:val="21"/>
        </w:rPr>
        <w:t>城市公共交通优先发展</w:t>
      </w:r>
      <w:r>
        <w:rPr>
          <w:rFonts w:ascii="Times New Roman" w:eastAsia="楷体_GB2312" w:hAnsi="Times New Roman" w:hint="eastAsia"/>
          <w:sz w:val="32"/>
          <w:szCs w:val="21"/>
        </w:rPr>
        <w:t>战略</w:t>
      </w:r>
      <w:r>
        <w:rPr>
          <w:rFonts w:ascii="Times New Roman" w:eastAsia="楷体_GB2312" w:hAnsi="Times New Roman"/>
          <w:sz w:val="32"/>
          <w:szCs w:val="21"/>
        </w:rPr>
        <w:t>。</w:t>
      </w:r>
    </w:p>
    <w:p w14:paraId="22A049A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优化提升城市公共交通优先发展战略，出台支持城市公共交通优先发展的政策文件。增强城市公共交通服务吸引力，提升公交站点可及性、推动城市公交和城市轨道交通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两网融合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、提高城市公交运行速度和准点率、扩展多元化公交服务、改善</w:t>
      </w:r>
      <w:proofErr w:type="gramStart"/>
      <w:r>
        <w:rPr>
          <w:rFonts w:ascii="Times New Roman" w:eastAsia="仿宋_GB2312" w:hAnsi="Times New Roman"/>
          <w:sz w:val="32"/>
          <w:szCs w:val="21"/>
        </w:rPr>
        <w:t>适</w:t>
      </w:r>
      <w:proofErr w:type="gramEnd"/>
      <w:r>
        <w:rPr>
          <w:rFonts w:ascii="Times New Roman" w:eastAsia="仿宋_GB2312" w:hAnsi="Times New Roman"/>
          <w:sz w:val="32"/>
          <w:szCs w:val="21"/>
        </w:rPr>
        <w:t>老化无障碍公共交通出行环境。推进城市公共交通可持续发展，推动城市公共交通票制票价改革，建立用地综合开发收益反哺城市公共交通发展机制，加强对个体机动化交通需求的综合调控和合理引导。</w:t>
      </w:r>
    </w:p>
    <w:p w14:paraId="7A353E7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服务司。</w:t>
      </w:r>
    </w:p>
    <w:p w14:paraId="67A93B2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lastRenderedPageBreak/>
        <w:t>推动轨道交通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四网融合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。</w:t>
      </w:r>
    </w:p>
    <w:p w14:paraId="6250548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推进干线铁路、城际铁路、市域（郊）铁路、城市轨道交通融合发展，以设施互联、票制互通、安检互信、信息共享、支付兼容、管理协同为重点方向，坚持规划引领，强化标准支撑，加强运输服务，深化科技创新，推动基础设施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硬联通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和规则标准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软联通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，更好服务区域一体化发展。</w:t>
      </w:r>
    </w:p>
    <w:p w14:paraId="3EC708A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国家铁路局科技与法制司，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服务司。</w:t>
      </w:r>
    </w:p>
    <w:p w14:paraId="74A380B9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加强综合交通枢纽城市建设</w:t>
      </w:r>
    </w:p>
    <w:p w14:paraId="3F8E30CB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推动国家综合交通枢纽城市建设。</w:t>
      </w:r>
    </w:p>
    <w:p w14:paraId="4CF2B1B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以国际性、全国性综合交通枢纽城市为载体，准确把握城市在国家重大战略中的定位，注重软硬结合、新建和存量设施更新结合，完善工作机制，统筹谋划枢纽港站体系、集疏运体系、内联体系、外接体系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四个体系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建设。优化枢纽港站布局、结构和功能，完善枢纽港站集疏运体系，强化枢纽港站间互联互通，增强枢纽城市对外联通水平，提升枢纽城市集聚辐射能力。具备条件的城市，建设国际物流枢纽中心。</w:t>
      </w:r>
    </w:p>
    <w:p w14:paraId="159793E4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73115B54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综合交通枢纽一体化规划建设。</w:t>
      </w:r>
    </w:p>
    <w:p w14:paraId="7BE9ACFC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优化综合交通枢纽规划建设机制，增强部门间协同联动，推动枢纽一体化规划建设运行。注重存量设施优化利用，推动综合交通枢纽各方式功能系统集成。综合客运枢纽实现</w:t>
      </w:r>
      <w:proofErr w:type="gramStart"/>
      <w:r>
        <w:rPr>
          <w:rFonts w:ascii="Times New Roman" w:eastAsia="仿宋_GB2312" w:hAnsi="Times New Roman"/>
          <w:sz w:val="32"/>
          <w:szCs w:val="21"/>
        </w:rPr>
        <w:t>跨方式</w:t>
      </w:r>
      <w:proofErr w:type="gramEnd"/>
      <w:r>
        <w:rPr>
          <w:rFonts w:ascii="Times New Roman" w:eastAsia="仿宋_GB2312" w:hAnsi="Times New Roman"/>
          <w:sz w:val="32"/>
          <w:szCs w:val="21"/>
        </w:rPr>
        <w:t>一体化运行。综合货运枢纽实现高效多式联运，因地制宜增强转运、口岸、保税、邮政快递功能，与</w:t>
      </w:r>
      <w:r>
        <w:rPr>
          <w:rFonts w:ascii="Times New Roman" w:eastAsia="仿宋_GB2312" w:hAnsi="Times New Roman"/>
          <w:sz w:val="32"/>
          <w:szCs w:val="21"/>
        </w:rPr>
        <w:lastRenderedPageBreak/>
        <w:t>产业深度融合、打造供应链组织中心。</w:t>
      </w:r>
    </w:p>
    <w:p w14:paraId="4E9E28F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2496A1D0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综合货运枢纽</w:t>
      </w:r>
      <w:proofErr w:type="gramStart"/>
      <w:r>
        <w:rPr>
          <w:rFonts w:ascii="Times New Roman" w:eastAsia="楷体_GB2312" w:hAnsi="Times New Roman"/>
          <w:sz w:val="32"/>
          <w:szCs w:val="21"/>
        </w:rPr>
        <w:t>补链强链</w:t>
      </w:r>
      <w:proofErr w:type="gramEnd"/>
      <w:r>
        <w:rPr>
          <w:rFonts w:ascii="Times New Roman" w:eastAsia="楷体_GB2312" w:hAnsi="Times New Roman"/>
          <w:sz w:val="32"/>
          <w:szCs w:val="21"/>
        </w:rPr>
        <w:t>。</w:t>
      </w:r>
    </w:p>
    <w:p w14:paraId="41CA7BBC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一是推进基础设施及装备硬联通。推动铁路专用线进港区，与港区后方堆场紧密衔接；推动高等级公路或城市快速路、主干道与铁路货站连接，便捷</w:t>
      </w:r>
      <w:proofErr w:type="gramStart"/>
      <w:r>
        <w:rPr>
          <w:rFonts w:ascii="Times New Roman" w:eastAsia="仿宋_GB2312" w:hAnsi="Times New Roman"/>
          <w:sz w:val="32"/>
          <w:szCs w:val="21"/>
        </w:rPr>
        <w:t>接入国省</w:t>
      </w:r>
      <w:proofErr w:type="gramEnd"/>
      <w:r>
        <w:rPr>
          <w:rFonts w:ascii="Times New Roman" w:eastAsia="仿宋_GB2312" w:hAnsi="Times New Roman"/>
          <w:sz w:val="32"/>
          <w:szCs w:val="21"/>
        </w:rPr>
        <w:t>干线；推动轨道交通接入机场，实现高铁货运、航班、机场装卸作业精准对接；推动机场空侧、陆</w:t>
      </w:r>
      <w:proofErr w:type="gramStart"/>
      <w:r>
        <w:rPr>
          <w:rFonts w:ascii="Times New Roman" w:eastAsia="仿宋_GB2312" w:hAnsi="Times New Roman"/>
          <w:sz w:val="32"/>
          <w:szCs w:val="21"/>
        </w:rPr>
        <w:t>侧之间</w:t>
      </w:r>
      <w:proofErr w:type="gramEnd"/>
      <w:r>
        <w:rPr>
          <w:rFonts w:ascii="Times New Roman" w:eastAsia="仿宋_GB2312" w:hAnsi="Times New Roman"/>
          <w:sz w:val="32"/>
          <w:szCs w:val="21"/>
        </w:rPr>
        <w:t>通过专用通道实现便捷衔接；提升货运装备标准化、智能化、绿色化水平；强化邮政快递枢纽、城郊大仓基地、应急物资转运中心的支持和覆盖。二是推进规则标准及服务软联通。推动多种运输方式的信息平台互联互通，应用全程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一单制</w:t>
      </w:r>
      <w:r>
        <w:rPr>
          <w:rFonts w:ascii="Times New Roman" w:eastAsia="仿宋_GB2312" w:hAnsi="Times New Roman"/>
          <w:sz w:val="32"/>
          <w:szCs w:val="21"/>
        </w:rPr>
        <w:t>”“</w:t>
      </w:r>
      <w:r>
        <w:rPr>
          <w:rFonts w:ascii="Times New Roman" w:eastAsia="仿宋_GB2312" w:hAnsi="Times New Roman"/>
          <w:sz w:val="32"/>
          <w:szCs w:val="21"/>
        </w:rPr>
        <w:t>一箱制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联运服务；依托综合货运枢纽提供优质的全程联运方案，开展冷链等专业化多式联运业务；推动建立健全多式联运标准和规则。三是建立健全一体化运营机制。推动市场主体强化合作，加快跨区域网络化布局和协同化运营；推动枢纽企业与上下游企业合作，深度融入供应链；加强物流服务集成商培育；推动枢纽企业与境外枢纽港站、海外</w:t>
      </w:r>
      <w:proofErr w:type="gramStart"/>
      <w:r>
        <w:rPr>
          <w:rFonts w:ascii="Times New Roman" w:eastAsia="仿宋_GB2312" w:hAnsi="Times New Roman"/>
          <w:sz w:val="32"/>
          <w:szCs w:val="21"/>
        </w:rPr>
        <w:t>仓以及</w:t>
      </w:r>
      <w:proofErr w:type="gramEnd"/>
      <w:r>
        <w:rPr>
          <w:rFonts w:ascii="Times New Roman" w:eastAsia="仿宋_GB2312" w:hAnsi="Times New Roman"/>
          <w:sz w:val="32"/>
          <w:szCs w:val="21"/>
        </w:rPr>
        <w:t>国际物流企业深化合作，畅通国际物流服务链条。</w:t>
      </w:r>
    </w:p>
    <w:p w14:paraId="0FF9A69A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部综合规划司、运输服务司。</w:t>
      </w:r>
    </w:p>
    <w:p w14:paraId="77792A79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交通物流降本提质增效</w:t>
      </w:r>
    </w:p>
    <w:p w14:paraId="7E5F5D90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综合运输服务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一票制、</w:t>
      </w:r>
      <w:proofErr w:type="gramStart"/>
      <w:r>
        <w:rPr>
          <w:rFonts w:ascii="Times New Roman" w:eastAsia="楷体_GB2312" w:hAnsi="Times New Roman"/>
          <w:sz w:val="32"/>
          <w:szCs w:val="21"/>
        </w:rPr>
        <w:t>一</w:t>
      </w:r>
      <w:proofErr w:type="gramEnd"/>
      <w:r>
        <w:rPr>
          <w:rFonts w:ascii="Times New Roman" w:eastAsia="楷体_GB2312" w:hAnsi="Times New Roman"/>
          <w:sz w:val="32"/>
          <w:szCs w:val="21"/>
        </w:rPr>
        <w:t>单制、一箱制</w:t>
      </w:r>
      <w:r>
        <w:rPr>
          <w:rFonts w:ascii="Times New Roman" w:eastAsia="楷体_GB2312" w:hAnsi="Times New Roman"/>
          <w:sz w:val="32"/>
          <w:szCs w:val="21"/>
        </w:rPr>
        <w:t>”</w:t>
      </w:r>
    </w:p>
    <w:p w14:paraId="2B955606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一是推进联程运输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一票制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。推进铁路、公路、水路、民航数据共享；拓展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一票制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产品服务，打造综</w:t>
      </w:r>
      <w:r>
        <w:rPr>
          <w:rFonts w:ascii="Times New Roman" w:eastAsia="仿宋_GB2312" w:hAnsi="Times New Roman"/>
          <w:sz w:val="32"/>
          <w:szCs w:val="21"/>
        </w:rPr>
        <w:lastRenderedPageBreak/>
        <w:t>合性、一站式、一体化联运客票服务平台，推动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一次购票、一次支付、一证（码）通行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。二是推进多式联运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一单制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。推动多式联运信息开放共享，推进多式联运标准化单证应用，培育一批具有</w:t>
      </w:r>
      <w:proofErr w:type="gramStart"/>
      <w:r>
        <w:rPr>
          <w:rFonts w:ascii="Times New Roman" w:eastAsia="仿宋_GB2312" w:hAnsi="Times New Roman"/>
          <w:sz w:val="32"/>
          <w:szCs w:val="21"/>
        </w:rPr>
        <w:t>跨方式</w:t>
      </w:r>
      <w:proofErr w:type="gramEnd"/>
      <w:r>
        <w:rPr>
          <w:rFonts w:ascii="Times New Roman" w:eastAsia="仿宋_GB2312" w:hAnsi="Times New Roman"/>
          <w:sz w:val="32"/>
          <w:szCs w:val="21"/>
        </w:rPr>
        <w:t>运营、一体化运作、全流程服务的多式联运经营人，创新多式联运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一单制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服务模式。三是推进集装箱运输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一箱制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。探索集装箱循环共用、联合调拨，完善集装箱多式联运相关货物积载、交接等作业规范，推动集装箱多式联运全程智能化管理，完善提箱、还箱、验箱、洗箱、修箱等作业流程和服务规则，加快推广集装箱运输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不换箱、不开箱、一箱到底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的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一箱制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服务模式。</w:t>
      </w:r>
    </w:p>
    <w:p w14:paraId="1B11EFA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服务司。</w:t>
      </w:r>
    </w:p>
    <w:p w14:paraId="1A22F052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培育具有国际竞争力的交通新型物流集成商。</w:t>
      </w:r>
    </w:p>
    <w:p w14:paraId="496A44C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引导支持交通物流企业与制造业建立长期战略合作关系，通过设施衔接、流程再造、标准互通、信息共享，加快培育一批具有供应链集成、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跨方式</w:t>
      </w:r>
      <w:proofErr w:type="gramEnd"/>
      <w:r>
        <w:rPr>
          <w:rFonts w:ascii="Times New Roman" w:eastAsia="仿宋_GB2312" w:hAnsi="Times New Roman"/>
          <w:sz w:val="32"/>
          <w:szCs w:val="21"/>
        </w:rPr>
        <w:t>资源整合、国内国际贯通联动的新型物流集成商。支持传统交通物流企业做</w:t>
      </w:r>
      <w:proofErr w:type="gramStart"/>
      <w:r>
        <w:rPr>
          <w:rFonts w:ascii="Times New Roman" w:eastAsia="仿宋_GB2312" w:hAnsi="Times New Roman"/>
          <w:sz w:val="32"/>
          <w:szCs w:val="21"/>
        </w:rPr>
        <w:t>强做</w:t>
      </w:r>
      <w:proofErr w:type="gramEnd"/>
      <w:r>
        <w:rPr>
          <w:rFonts w:ascii="Times New Roman" w:eastAsia="仿宋_GB2312" w:hAnsi="Times New Roman"/>
          <w:sz w:val="32"/>
          <w:szCs w:val="21"/>
        </w:rPr>
        <w:t>精做专，着力培养一批服务制造业高质量发展的专业型、综合型物流企业。</w:t>
      </w:r>
    </w:p>
    <w:p w14:paraId="0CDDF2C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服务司。</w:t>
      </w:r>
    </w:p>
    <w:p w14:paraId="39B72CEF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推动铁路货物运输体制机制创新。</w:t>
      </w:r>
    </w:p>
    <w:p w14:paraId="43439D99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从市场化角度，探索解决铁路货运有关问题的思路举措，推进大宗货物运输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公转铁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。借鉴海运提单实践经验，探索开展国内、国际铁路</w:t>
      </w:r>
      <w:proofErr w:type="gramStart"/>
      <w:r>
        <w:rPr>
          <w:rFonts w:ascii="Times New Roman" w:eastAsia="仿宋_GB2312" w:hAnsi="Times New Roman"/>
          <w:sz w:val="32"/>
          <w:szCs w:val="21"/>
        </w:rPr>
        <w:t>运单物权化</w:t>
      </w:r>
      <w:proofErr w:type="gramEnd"/>
      <w:r>
        <w:rPr>
          <w:rFonts w:ascii="Times New Roman" w:eastAsia="仿宋_GB2312" w:hAnsi="Times New Roman"/>
          <w:sz w:val="32"/>
          <w:szCs w:val="21"/>
        </w:rPr>
        <w:t>的实施路径。探索铁路</w:t>
      </w:r>
      <w:proofErr w:type="gramStart"/>
      <w:r>
        <w:rPr>
          <w:rFonts w:ascii="Times New Roman" w:eastAsia="仿宋_GB2312" w:hAnsi="Times New Roman"/>
          <w:sz w:val="32"/>
          <w:szCs w:val="21"/>
        </w:rPr>
        <w:t>运单物权化</w:t>
      </w:r>
      <w:proofErr w:type="gramEnd"/>
      <w:r>
        <w:rPr>
          <w:rFonts w:ascii="Times New Roman" w:eastAsia="仿宋_GB2312" w:hAnsi="Times New Roman"/>
          <w:sz w:val="32"/>
          <w:szCs w:val="21"/>
        </w:rPr>
        <w:t>的质押融资、背书转让、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凭单控货等</w:t>
      </w:r>
      <w:proofErr w:type="gramEnd"/>
      <w:r>
        <w:rPr>
          <w:rFonts w:ascii="Times New Roman" w:eastAsia="仿宋_GB2312" w:hAnsi="Times New Roman"/>
          <w:sz w:val="32"/>
          <w:szCs w:val="21"/>
        </w:rPr>
        <w:t>功</w:t>
      </w:r>
      <w:r>
        <w:rPr>
          <w:rFonts w:ascii="Times New Roman" w:eastAsia="仿宋_GB2312" w:hAnsi="Times New Roman"/>
          <w:sz w:val="32"/>
          <w:szCs w:val="21"/>
        </w:rPr>
        <w:lastRenderedPageBreak/>
        <w:t>能。</w:t>
      </w:r>
    </w:p>
    <w:p w14:paraId="1401C91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国家铁路局运输监督管理司。</w:t>
      </w:r>
    </w:p>
    <w:p w14:paraId="238BDD95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推动内河水运体系联通与航运高质量发展</w:t>
      </w:r>
    </w:p>
    <w:p w14:paraId="47C06463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现代化内河水运体系联通工程建设。</w:t>
      </w:r>
    </w:p>
    <w:p w14:paraId="3AD7F9D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 w:hint="eastAsia"/>
          <w:sz w:val="32"/>
          <w:szCs w:val="32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一是优化大通道。以</w:t>
      </w:r>
      <w:r>
        <w:rPr>
          <w:rFonts w:ascii="Times New Roman" w:eastAsia="仿宋_GB2312" w:hAnsi="Times New Roman" w:hint="eastAsia"/>
          <w:sz w:val="32"/>
          <w:szCs w:val="32"/>
        </w:rPr>
        <w:t>长江干线、西江航运干线、京杭运河等跨区域水运大通道为重点，增强航道通过能力及韧性，加快沿线船闸扩能，提升内河水运大通道数字化、智能化水平，扩大水运主通道服务辐射范围。</w:t>
      </w:r>
      <w:r>
        <w:rPr>
          <w:rFonts w:ascii="Times New Roman" w:eastAsia="仿宋_GB2312" w:hAnsi="Times New Roman"/>
          <w:sz w:val="32"/>
          <w:szCs w:val="21"/>
        </w:rPr>
        <w:t>二是畅通航道网。</w:t>
      </w:r>
      <w:r>
        <w:rPr>
          <w:rFonts w:ascii="Times New Roman" w:eastAsia="仿宋_GB2312" w:hAnsi="Times New Roman" w:hint="eastAsia"/>
          <w:sz w:val="32"/>
          <w:szCs w:val="32"/>
        </w:rPr>
        <w:t>以长三角、珠三角航道为重点，加快打造长三角航道网河海联运集装箱通道，优化海港集疏运结构，推动长三角、珠三角航道网内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畅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外联，提升航道网互联互通水平。</w:t>
      </w:r>
      <w:r>
        <w:rPr>
          <w:rFonts w:ascii="Times New Roman" w:eastAsia="仿宋_GB2312" w:hAnsi="Times New Roman"/>
          <w:sz w:val="32"/>
          <w:szCs w:val="21"/>
        </w:rPr>
        <w:t>三是打通关键性堵点卡点。</w:t>
      </w:r>
      <w:r>
        <w:rPr>
          <w:rFonts w:ascii="Times New Roman" w:eastAsia="仿宋_GB2312" w:hAnsi="Times New Roman" w:hint="eastAsia"/>
          <w:sz w:val="32"/>
          <w:szCs w:val="32"/>
        </w:rPr>
        <w:t>攻坚国家高等级航道达标畅通，破解局部拥堵和区间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段标准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不统一等问题，探索国家高等级航道联通工程建设与水利、环保等要素保障的协同。</w:t>
      </w:r>
    </w:p>
    <w:p w14:paraId="0A9878B6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165B9C2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长三角、珠三角内河航运高质量发展。</w:t>
      </w:r>
    </w:p>
    <w:p w14:paraId="538293A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提升港航企业全程物流组织能力，提升内河联运组织效能，发展内河水运网络货运平台，创新船队船</w:t>
      </w:r>
      <w:proofErr w:type="gramStart"/>
      <w:r>
        <w:rPr>
          <w:rFonts w:ascii="Times New Roman" w:eastAsia="仿宋_GB2312" w:hAnsi="Times New Roman"/>
          <w:sz w:val="32"/>
          <w:szCs w:val="21"/>
        </w:rPr>
        <w:t>组运输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模式，</w:t>
      </w:r>
      <w:proofErr w:type="gramStart"/>
      <w:r>
        <w:rPr>
          <w:rFonts w:ascii="Times New Roman" w:eastAsia="仿宋_GB2312" w:hAnsi="Times New Roman"/>
          <w:sz w:val="32"/>
          <w:szCs w:val="21"/>
        </w:rPr>
        <w:t>提升交旅融合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服务品质，打造内河绿色航线，建设智慧航道和智慧港口，发展内河智能航运，创新水运建设投融资模式，推动短支航道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通港达园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，推动港航建设管理协同，创新港口作业安全管理，提升水上服务区服务水平。</w:t>
      </w:r>
    </w:p>
    <w:p w14:paraId="536767CD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部水运局。</w:t>
      </w:r>
    </w:p>
    <w:p w14:paraId="4106002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内河航运自动化船队建设。</w:t>
      </w:r>
    </w:p>
    <w:p w14:paraId="1E40F2D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lastRenderedPageBreak/>
        <w:t>主要内容：</w:t>
      </w:r>
      <w:r>
        <w:rPr>
          <w:rFonts w:ascii="Times New Roman" w:eastAsia="仿宋_GB2312" w:hAnsi="Times New Roman"/>
          <w:sz w:val="32"/>
          <w:szCs w:val="21"/>
        </w:rPr>
        <w:t>围绕航运高质量发展，加速智能航运产业化应用，实现提升航行安全、降低船员劳动强度、提升作业效率等目标，聚焦长江干线、京杭运河、平陆运河等典型水域场景，攻克绿色、智能、韧性新一代航运系统的关键技术，采用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船</w:t>
      </w:r>
      <w:r>
        <w:rPr>
          <w:rFonts w:ascii="Times New Roman" w:eastAsia="仿宋_GB2312" w:hAnsi="Times New Roman" w:hint="eastAsia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岸</w:t>
      </w:r>
      <w:r>
        <w:rPr>
          <w:rFonts w:ascii="Times New Roman" w:eastAsia="仿宋_GB2312" w:hAnsi="Times New Roman" w:hint="eastAsia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云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协同架构，突破内河水域船舶自主航行、船舶编队航行、船岸协同智能化运行控制等关键技术，开展内河货运船舶自动驾驶编队航行试验应用，形成自主知识产权解决方案。</w:t>
      </w:r>
    </w:p>
    <w:p w14:paraId="3CB0388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部科技司。</w:t>
      </w:r>
    </w:p>
    <w:p w14:paraId="4F7595DE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推进交通运输融合发展</w:t>
      </w:r>
    </w:p>
    <w:p w14:paraId="6D034508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交通运输与旅游融合发展。</w:t>
      </w:r>
    </w:p>
    <w:p w14:paraId="317C268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</w:t>
      </w:r>
      <w:r>
        <w:rPr>
          <w:rFonts w:ascii="Times New Roman" w:eastAsia="仿宋_GB2312" w:hAnsi="Times New Roman" w:hint="eastAsia"/>
          <w:sz w:val="32"/>
          <w:szCs w:val="21"/>
        </w:rPr>
        <w:t>具</w:t>
      </w:r>
      <w:r>
        <w:rPr>
          <w:rFonts w:ascii="Times New Roman" w:eastAsia="仿宋_GB2312" w:hAnsi="Times New Roman"/>
          <w:sz w:val="32"/>
          <w:szCs w:val="21"/>
        </w:rPr>
        <w:t>有联接旅游目的地的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快速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交通基础设施，发挥交通基础设施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快进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作用。二是</w:t>
      </w:r>
      <w:r>
        <w:rPr>
          <w:rFonts w:ascii="Times New Roman" w:eastAsia="仿宋_GB2312" w:hAnsi="Times New Roman" w:hint="eastAsia"/>
          <w:sz w:val="32"/>
          <w:szCs w:val="21"/>
        </w:rPr>
        <w:t>推动</w:t>
      </w:r>
      <w:r>
        <w:rPr>
          <w:rFonts w:ascii="Times New Roman" w:eastAsia="仿宋_GB2312" w:hAnsi="Times New Roman"/>
          <w:sz w:val="32"/>
          <w:szCs w:val="21"/>
        </w:rPr>
        <w:t>交通基础设施</w:t>
      </w:r>
      <w:r>
        <w:rPr>
          <w:rFonts w:ascii="Times New Roman" w:eastAsia="仿宋_GB2312" w:hAnsi="Times New Roman" w:hint="eastAsia"/>
          <w:sz w:val="32"/>
          <w:szCs w:val="21"/>
        </w:rPr>
        <w:t>与</w:t>
      </w:r>
      <w:r>
        <w:rPr>
          <w:rFonts w:ascii="Times New Roman" w:eastAsia="仿宋_GB2312" w:hAnsi="Times New Roman"/>
          <w:sz w:val="32"/>
          <w:szCs w:val="21"/>
        </w:rPr>
        <w:t>旅游景点</w:t>
      </w:r>
      <w:r>
        <w:rPr>
          <w:rFonts w:ascii="Times New Roman" w:eastAsia="仿宋_GB2312" w:hAnsi="Times New Roman" w:hint="eastAsia"/>
          <w:sz w:val="32"/>
          <w:szCs w:val="21"/>
        </w:rPr>
        <w:t>协同建设</w:t>
      </w:r>
      <w:r>
        <w:rPr>
          <w:rFonts w:ascii="Times New Roman" w:eastAsia="仿宋_GB2312" w:hAnsi="Times New Roman"/>
          <w:sz w:val="32"/>
          <w:szCs w:val="21"/>
        </w:rPr>
        <w:t>，完善交通基础设施</w:t>
      </w:r>
      <w:r>
        <w:rPr>
          <w:rFonts w:ascii="Times New Roman" w:eastAsia="仿宋_GB2312" w:hAnsi="Times New Roman" w:hint="eastAsia"/>
          <w:sz w:val="32"/>
          <w:szCs w:val="21"/>
        </w:rPr>
        <w:t>的</w:t>
      </w:r>
      <w:r>
        <w:rPr>
          <w:rFonts w:ascii="Times New Roman" w:eastAsia="仿宋_GB2312" w:hAnsi="Times New Roman"/>
          <w:sz w:val="32"/>
          <w:szCs w:val="21"/>
        </w:rPr>
        <w:t>旅游设施和</w:t>
      </w:r>
      <w:r>
        <w:rPr>
          <w:rFonts w:ascii="Times New Roman" w:eastAsia="仿宋_GB2312" w:hAnsi="Times New Roman" w:hint="eastAsia"/>
          <w:sz w:val="32"/>
          <w:szCs w:val="21"/>
        </w:rPr>
        <w:t>服务</w:t>
      </w:r>
      <w:r>
        <w:rPr>
          <w:rFonts w:ascii="Times New Roman" w:eastAsia="仿宋_GB2312" w:hAnsi="Times New Roman"/>
          <w:sz w:val="32"/>
          <w:szCs w:val="21"/>
        </w:rPr>
        <w:t>功能。三是因地制宜发展邮轮、游艇、旅游列车、旅游公交、低空旅游、交通展览等。四是在交通客票、导航服务、咨询和投诉服务等</w:t>
      </w:r>
      <w:r>
        <w:rPr>
          <w:rFonts w:ascii="Times New Roman" w:eastAsia="仿宋_GB2312" w:hAnsi="Times New Roman" w:hint="eastAsia"/>
          <w:sz w:val="32"/>
          <w:szCs w:val="21"/>
        </w:rPr>
        <w:t>方面</w:t>
      </w:r>
      <w:r>
        <w:rPr>
          <w:rFonts w:ascii="Times New Roman" w:eastAsia="仿宋_GB2312" w:hAnsi="Times New Roman"/>
          <w:sz w:val="32"/>
          <w:szCs w:val="21"/>
        </w:rPr>
        <w:t>与旅游需求有效衔接。</w:t>
      </w:r>
    </w:p>
    <w:p w14:paraId="02DE4AE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24ED500C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交通运输与能源融合发展。</w:t>
      </w:r>
    </w:p>
    <w:p w14:paraId="3F24B00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推动交通与能源基础设施一体化建设，建设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源</w:t>
      </w:r>
      <w:r>
        <w:rPr>
          <w:rFonts w:ascii="Times New Roman" w:eastAsia="仿宋_GB2312" w:hAnsi="Times New Roman" w:hint="eastAsia"/>
          <w:sz w:val="32"/>
          <w:szCs w:val="21"/>
          <w:shd w:val="clear" w:color="auto" w:fill="FFFFFF"/>
        </w:rPr>
        <w:t>—</w:t>
      </w:r>
      <w:r>
        <w:rPr>
          <w:rFonts w:ascii="Times New Roman" w:eastAsia="仿宋_GB2312" w:hAnsi="Times New Roman"/>
          <w:sz w:val="32"/>
          <w:szCs w:val="21"/>
          <w:shd w:val="clear" w:color="auto" w:fill="FFFFFF"/>
        </w:rPr>
        <w:t>网</w:t>
      </w:r>
      <w:r>
        <w:rPr>
          <w:rFonts w:ascii="Times New Roman" w:eastAsia="仿宋_GB2312" w:hAnsi="Times New Roman" w:hint="eastAsia"/>
          <w:sz w:val="32"/>
          <w:szCs w:val="21"/>
          <w:shd w:val="clear" w:color="auto" w:fill="FFFFFF"/>
        </w:rPr>
        <w:t>—</w:t>
      </w:r>
      <w:r>
        <w:rPr>
          <w:rFonts w:ascii="Times New Roman" w:eastAsia="仿宋_GB2312" w:hAnsi="Times New Roman"/>
          <w:sz w:val="32"/>
          <w:szCs w:val="21"/>
        </w:rPr>
        <w:t>荷</w:t>
      </w:r>
      <w:r>
        <w:rPr>
          <w:rFonts w:ascii="Times New Roman" w:eastAsia="仿宋_GB2312" w:hAnsi="Times New Roman" w:hint="eastAsia"/>
          <w:sz w:val="32"/>
          <w:szCs w:val="21"/>
          <w:shd w:val="clear" w:color="auto" w:fill="FFFFFF"/>
        </w:rPr>
        <w:t>—</w:t>
      </w:r>
      <w:r>
        <w:rPr>
          <w:rFonts w:ascii="Times New Roman" w:eastAsia="仿宋_GB2312" w:hAnsi="Times New Roman"/>
          <w:sz w:val="32"/>
          <w:szCs w:val="21"/>
        </w:rPr>
        <w:t>储</w:t>
      </w:r>
      <w:r>
        <w:rPr>
          <w:rFonts w:ascii="Times New Roman" w:eastAsia="仿宋_GB2312" w:hAnsi="Times New Roman" w:hint="eastAsia"/>
          <w:sz w:val="32"/>
          <w:szCs w:val="21"/>
          <w:shd w:val="clear" w:color="auto" w:fill="FFFFFF"/>
        </w:rPr>
        <w:t>—</w:t>
      </w:r>
      <w:r>
        <w:rPr>
          <w:rFonts w:ascii="Times New Roman" w:eastAsia="仿宋_GB2312" w:hAnsi="Times New Roman"/>
          <w:sz w:val="32"/>
          <w:szCs w:val="21"/>
        </w:rPr>
        <w:t>充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项目，创新融合开发运营模式与政策机制。加强能源补给设施建设，建设综合能源补给站。打造（近）</w:t>
      </w:r>
      <w:proofErr w:type="gramStart"/>
      <w:r>
        <w:rPr>
          <w:rFonts w:ascii="Times New Roman" w:eastAsia="仿宋_GB2312" w:hAnsi="Times New Roman"/>
          <w:sz w:val="32"/>
          <w:szCs w:val="21"/>
        </w:rPr>
        <w:t>零碳交通</w:t>
      </w:r>
      <w:proofErr w:type="gramEnd"/>
      <w:r>
        <w:rPr>
          <w:rFonts w:ascii="Times New Roman" w:eastAsia="仿宋_GB2312" w:hAnsi="Times New Roman"/>
          <w:sz w:val="32"/>
          <w:szCs w:val="21"/>
        </w:rPr>
        <w:t>基础设施，推进清洁能源就近就地开发利用，推广新能源柔性汇集接入、分布式智能微电网、虚拟电厂等</w:t>
      </w:r>
      <w:r>
        <w:rPr>
          <w:rFonts w:ascii="Times New Roman" w:eastAsia="仿宋_GB2312" w:hAnsi="Times New Roman"/>
          <w:sz w:val="32"/>
          <w:szCs w:val="21"/>
        </w:rPr>
        <w:lastRenderedPageBreak/>
        <w:t>新技术应用。建设区域性船舶电动化先行区，在长江干线航道、京杭运河、珠三角航道网等区域建设零排放航运廊道，研究提出新能源船舶优先过闸、优先靠泊离港、优先装卸货等激励措施，推动纯电动、甲醇动力船舶等应用。</w:t>
      </w:r>
    </w:p>
    <w:p w14:paraId="7D82F5C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241CCF2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交通运输与邮政融合发展。</w:t>
      </w:r>
    </w:p>
    <w:p w14:paraId="0044EE8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聚焦打造农村客货</w:t>
      </w:r>
      <w:proofErr w:type="gramStart"/>
      <w:r>
        <w:rPr>
          <w:rFonts w:ascii="Times New Roman" w:eastAsia="仿宋_GB2312" w:hAnsi="Times New Roman"/>
          <w:sz w:val="32"/>
          <w:szCs w:val="21"/>
        </w:rPr>
        <w:t>邮</w:t>
      </w:r>
      <w:proofErr w:type="gramEnd"/>
      <w:r>
        <w:rPr>
          <w:rFonts w:ascii="Times New Roman" w:eastAsia="仿宋_GB2312" w:hAnsi="Times New Roman"/>
          <w:sz w:val="32"/>
          <w:szCs w:val="21"/>
        </w:rPr>
        <w:t>融合</w:t>
      </w:r>
      <w:r>
        <w:rPr>
          <w:rFonts w:ascii="Times New Roman" w:eastAsia="仿宋_GB2312" w:hAnsi="Times New Roman"/>
          <w:sz w:val="32"/>
          <w:szCs w:val="21"/>
          <w:shd w:val="clear" w:color="auto" w:fill="FFFFFF"/>
        </w:rPr>
        <w:t>发展形式</w:t>
      </w:r>
      <w:r>
        <w:rPr>
          <w:rFonts w:ascii="Times New Roman" w:eastAsia="仿宋_GB2312" w:hAnsi="Times New Roman"/>
          <w:sz w:val="32"/>
          <w:szCs w:val="21"/>
        </w:rPr>
        <w:t>、建设站点体系、推广装备设备、规范运营服务、加强信息数据共享、完善发展机制、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构建保障</w:t>
      </w:r>
      <w:proofErr w:type="gramEnd"/>
      <w:r>
        <w:rPr>
          <w:rFonts w:ascii="Times New Roman" w:eastAsia="仿宋_GB2312" w:hAnsi="Times New Roman"/>
          <w:sz w:val="32"/>
          <w:szCs w:val="21"/>
        </w:rPr>
        <w:t>体系等方面内容，因地制宜推动农村客运、货运物流、邮政快递等融合发展，更好满足农村群众出行、货运物流、寄递服务需求。</w:t>
      </w:r>
    </w:p>
    <w:p w14:paraId="6F80851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服务司，国家邮政局普遍服务司、市场监管司。</w:t>
      </w:r>
    </w:p>
    <w:p w14:paraId="307DC1F5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推动智慧港口建设</w:t>
      </w:r>
    </w:p>
    <w:p w14:paraId="6386A1B4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港口功能智慧化提升。</w:t>
      </w:r>
    </w:p>
    <w:p w14:paraId="3EF65E1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聚焦已建港口基础设施功能优化，</w:t>
      </w:r>
      <w:r>
        <w:rPr>
          <w:rFonts w:ascii="Times New Roman" w:eastAsia="仿宋_GB2312" w:hAnsi="Times New Roman" w:hint="eastAsia"/>
          <w:sz w:val="32"/>
          <w:szCs w:val="21"/>
        </w:rPr>
        <w:t>通过</w:t>
      </w:r>
      <w:r>
        <w:rPr>
          <w:rFonts w:ascii="Times New Roman" w:eastAsia="仿宋_GB2312" w:hAnsi="Times New Roman"/>
          <w:sz w:val="32"/>
          <w:szCs w:val="21"/>
        </w:rPr>
        <w:t>智慧赋能，实施码头、堆场、集疏运等基础设施和运营管理、运输服务、安全防控、能耗管控等方面的智慧化改造提升，推动港口岸线集约高效利用，优化提升港口枢纽综合服务能级。</w:t>
      </w:r>
    </w:p>
    <w:p w14:paraId="0C84812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525C9FF8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推动人工智能等前沿技术在港口领域示范应用。</w:t>
      </w:r>
    </w:p>
    <w:p w14:paraId="4671DA44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应用人工智能、智能机器人等前沿技术，推动以港口为主要节点的物流体系智慧化水平整体提升，强化</w:t>
      </w:r>
      <w:r>
        <w:rPr>
          <w:rFonts w:ascii="Times New Roman" w:eastAsia="仿宋_GB2312" w:hAnsi="Times New Roman"/>
          <w:sz w:val="32"/>
          <w:szCs w:val="21"/>
        </w:rPr>
        <w:lastRenderedPageBreak/>
        <w:t>港口的综合枢纽作用和综合服务能力，推动港口与船舶、铁路等外部物流环节一体化协同发展。推动人工智能等新技术在港口生产运营保障、风险防控等领域的示范应用，打造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人工智能</w:t>
      </w:r>
      <w:r>
        <w:rPr>
          <w:rFonts w:ascii="Times New Roman" w:eastAsia="仿宋_GB2312" w:hAnsi="Times New Roman"/>
          <w:sz w:val="32"/>
          <w:szCs w:val="21"/>
        </w:rPr>
        <w:t>+</w:t>
      </w:r>
      <w:r>
        <w:rPr>
          <w:rFonts w:ascii="Times New Roman" w:eastAsia="仿宋_GB2312" w:hAnsi="Times New Roman"/>
          <w:sz w:val="32"/>
          <w:szCs w:val="21"/>
        </w:rPr>
        <w:t>港口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，引领智慧港口高质量发展。发挥港口存量资源使用效能，加快港口码头改建扩建，推动港口基础设施转型升级。</w:t>
      </w:r>
    </w:p>
    <w:p w14:paraId="18CF2F2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部水运局。</w:t>
      </w:r>
    </w:p>
    <w:p w14:paraId="5F4FE951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加快推动交通运输绿色转型</w:t>
      </w:r>
    </w:p>
    <w:p w14:paraId="17B6AA96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实现</w:t>
      </w:r>
      <w:proofErr w:type="gramStart"/>
      <w:r>
        <w:rPr>
          <w:rFonts w:ascii="Times New Roman" w:eastAsia="楷体_GB2312" w:hAnsi="Times New Roman"/>
          <w:sz w:val="32"/>
          <w:szCs w:val="21"/>
        </w:rPr>
        <w:t>碳达峰目标</w:t>
      </w:r>
      <w:proofErr w:type="gramEnd"/>
      <w:r>
        <w:rPr>
          <w:rFonts w:ascii="Times New Roman" w:eastAsia="楷体_GB2312" w:hAnsi="Times New Roman"/>
          <w:sz w:val="32"/>
          <w:szCs w:val="21"/>
        </w:rPr>
        <w:t>的政策机制创新。</w:t>
      </w:r>
    </w:p>
    <w:p w14:paraId="55BAEE0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建立行业碳排放双控制度，加强</w:t>
      </w:r>
      <w:proofErr w:type="gramStart"/>
      <w:r>
        <w:rPr>
          <w:rFonts w:ascii="Times New Roman" w:eastAsia="仿宋_GB2312" w:hAnsi="Times New Roman"/>
          <w:sz w:val="32"/>
          <w:szCs w:val="21"/>
        </w:rPr>
        <w:t>碳减排能力</w:t>
      </w:r>
      <w:proofErr w:type="gramEnd"/>
      <w:r>
        <w:rPr>
          <w:rFonts w:ascii="Times New Roman" w:eastAsia="仿宋_GB2312" w:hAnsi="Times New Roman"/>
          <w:sz w:val="32"/>
          <w:szCs w:val="21"/>
        </w:rPr>
        <w:t>建设，完善能耗统计和</w:t>
      </w:r>
      <w:proofErr w:type="gramStart"/>
      <w:r>
        <w:rPr>
          <w:rFonts w:ascii="Times New Roman" w:eastAsia="仿宋_GB2312" w:hAnsi="Times New Roman"/>
          <w:sz w:val="32"/>
          <w:szCs w:val="21"/>
        </w:rPr>
        <w:t>碳排放</w:t>
      </w:r>
      <w:proofErr w:type="gramEnd"/>
      <w:r>
        <w:rPr>
          <w:rFonts w:ascii="Times New Roman" w:eastAsia="仿宋_GB2312" w:hAnsi="Times New Roman"/>
          <w:sz w:val="32"/>
          <w:szCs w:val="21"/>
        </w:rPr>
        <w:t>核算体系，制定港口、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枢纽等碳排放</w:t>
      </w:r>
      <w:proofErr w:type="gramEnd"/>
      <w:r>
        <w:rPr>
          <w:rFonts w:ascii="Times New Roman" w:eastAsia="仿宋_GB2312" w:hAnsi="Times New Roman"/>
          <w:sz w:val="32"/>
          <w:szCs w:val="21"/>
        </w:rPr>
        <w:t>核算指南，出台交通运输碳足迹核算规则，健全交通运输参与碳交易、温室气体自愿减排项目、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碳金融</w:t>
      </w:r>
      <w:proofErr w:type="gramEnd"/>
      <w:r>
        <w:rPr>
          <w:rFonts w:ascii="Times New Roman" w:eastAsia="仿宋_GB2312" w:hAnsi="Times New Roman"/>
          <w:sz w:val="32"/>
          <w:szCs w:val="21"/>
        </w:rPr>
        <w:t>等市场机制，分领域分区域推进交通运输碳排放梯次达峰，推进部分省份率先达峰。</w:t>
      </w:r>
    </w:p>
    <w:p w14:paraId="7F4A122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57A64D6F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绿色交通运输装备大规模研发应用更新。</w:t>
      </w:r>
    </w:p>
    <w:p w14:paraId="21F5864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推广应用新能源和清洁能源车辆、作业机械设备、港内运输车辆等。推广运输装备节能措施和应用汽车绿色维修技术。在运输船舶、公务船和港作船领域推进电池动力、甲醇、氢燃料电池等船舶建造及使用，充（换）电和加注配套设施建设；推进液化天然气船规模化应用和沿海加注能力建设，以及节能船型开发及推广应用。</w:t>
      </w:r>
    </w:p>
    <w:p w14:paraId="632C007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2A19DBEC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 w:hint="eastAsia"/>
          <w:sz w:val="32"/>
          <w:szCs w:val="21"/>
        </w:rPr>
        <w:lastRenderedPageBreak/>
        <w:t>推动</w:t>
      </w:r>
      <w:r>
        <w:rPr>
          <w:rFonts w:ascii="Times New Roman" w:eastAsia="楷体_GB2312" w:hAnsi="Times New Roman"/>
          <w:sz w:val="32"/>
          <w:szCs w:val="21"/>
        </w:rPr>
        <w:t>电动</w:t>
      </w:r>
      <w:proofErr w:type="gramStart"/>
      <w:r>
        <w:rPr>
          <w:rFonts w:ascii="Times New Roman" w:eastAsia="楷体_GB2312" w:hAnsi="Times New Roman"/>
          <w:sz w:val="32"/>
          <w:szCs w:val="21"/>
        </w:rPr>
        <w:t>重卡</w:t>
      </w:r>
      <w:r w:rsidR="00A158B3">
        <w:rPr>
          <w:rFonts w:ascii="Times New Roman" w:eastAsia="楷体_GB2312" w:hAnsi="Times New Roman" w:hint="eastAsia"/>
          <w:sz w:val="32"/>
          <w:szCs w:val="21"/>
        </w:rPr>
        <w:t>充换电</w:t>
      </w:r>
      <w:proofErr w:type="gramEnd"/>
      <w:r w:rsidR="00A158B3">
        <w:rPr>
          <w:rFonts w:ascii="Times New Roman" w:eastAsia="楷体_GB2312" w:hAnsi="Times New Roman" w:hint="eastAsia"/>
          <w:sz w:val="32"/>
          <w:szCs w:val="21"/>
        </w:rPr>
        <w:t>设施</w:t>
      </w:r>
      <w:r w:rsidR="00A158B3">
        <w:rPr>
          <w:rFonts w:ascii="Times New Roman" w:eastAsia="楷体_GB2312" w:hAnsi="Times New Roman"/>
          <w:sz w:val="32"/>
          <w:szCs w:val="21"/>
        </w:rPr>
        <w:t>建设</w:t>
      </w:r>
      <w:r>
        <w:rPr>
          <w:rFonts w:ascii="Times New Roman" w:eastAsia="楷体_GB2312" w:hAnsi="Times New Roman"/>
          <w:sz w:val="32"/>
          <w:szCs w:val="21"/>
        </w:rPr>
        <w:t>。</w:t>
      </w:r>
    </w:p>
    <w:p w14:paraId="3D16C3A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开展重卡换</w:t>
      </w:r>
      <w:proofErr w:type="gramEnd"/>
      <w:r>
        <w:rPr>
          <w:rFonts w:ascii="Times New Roman" w:eastAsia="仿宋_GB2312" w:hAnsi="Times New Roman"/>
          <w:sz w:val="32"/>
          <w:szCs w:val="21"/>
        </w:rPr>
        <w:t>电和大功率超</w:t>
      </w:r>
      <w:proofErr w:type="gramStart"/>
      <w:r>
        <w:rPr>
          <w:rFonts w:ascii="Times New Roman" w:eastAsia="仿宋_GB2312" w:hAnsi="Times New Roman"/>
          <w:sz w:val="32"/>
          <w:szCs w:val="21"/>
        </w:rPr>
        <w:t>充试点</w:t>
      </w:r>
      <w:proofErr w:type="gramEnd"/>
      <w:r>
        <w:rPr>
          <w:rFonts w:ascii="Times New Roman" w:eastAsia="仿宋_GB2312" w:hAnsi="Times New Roman"/>
          <w:sz w:val="32"/>
          <w:szCs w:val="21"/>
        </w:rPr>
        <w:t>建设，建成一批跨区域新能源</w:t>
      </w:r>
      <w:proofErr w:type="gramStart"/>
      <w:r>
        <w:rPr>
          <w:rFonts w:ascii="Times New Roman" w:eastAsia="仿宋_GB2312" w:hAnsi="Times New Roman"/>
          <w:sz w:val="32"/>
          <w:szCs w:val="21"/>
        </w:rPr>
        <w:t>重卡运输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廊道。依托高速公路服务区、出入口等区域，建设</w:t>
      </w:r>
      <w:proofErr w:type="gramStart"/>
      <w:r>
        <w:rPr>
          <w:rFonts w:ascii="Times New Roman" w:eastAsia="仿宋_GB2312" w:hAnsi="Times New Roman"/>
          <w:sz w:val="32"/>
          <w:szCs w:val="21"/>
        </w:rPr>
        <w:t>新能源重卡充电站</w:t>
      </w:r>
      <w:proofErr w:type="gramEnd"/>
      <w:r>
        <w:rPr>
          <w:rFonts w:ascii="Times New Roman" w:eastAsia="仿宋_GB2312" w:hAnsi="Times New Roman"/>
          <w:sz w:val="32"/>
          <w:szCs w:val="21"/>
        </w:rPr>
        <w:t>（快充站、超充站）、换电站、加氢站、储能</w:t>
      </w:r>
      <w:r>
        <w:rPr>
          <w:rFonts w:ascii="Times New Roman" w:eastAsia="仿宋_GB2312" w:hAnsi="Times New Roman"/>
          <w:sz w:val="32"/>
          <w:szCs w:val="21"/>
        </w:rPr>
        <w:t>/</w:t>
      </w:r>
      <w:proofErr w:type="gramStart"/>
      <w:r>
        <w:rPr>
          <w:rFonts w:ascii="Times New Roman" w:eastAsia="仿宋_GB2312" w:hAnsi="Times New Roman"/>
          <w:sz w:val="32"/>
          <w:szCs w:val="21"/>
        </w:rPr>
        <w:t>光储充</w:t>
      </w:r>
      <w:proofErr w:type="gramEnd"/>
      <w:r>
        <w:rPr>
          <w:rFonts w:ascii="Times New Roman" w:eastAsia="仿宋_GB2312" w:hAnsi="Times New Roman"/>
          <w:sz w:val="32"/>
          <w:szCs w:val="21"/>
        </w:rPr>
        <w:t>一体化设施，形成公路</w:t>
      </w:r>
      <w:proofErr w:type="gramStart"/>
      <w:r>
        <w:rPr>
          <w:rFonts w:ascii="Times New Roman" w:eastAsia="仿宋_GB2312" w:hAnsi="Times New Roman"/>
          <w:sz w:val="32"/>
          <w:szCs w:val="21"/>
        </w:rPr>
        <w:t>综合补能基础</w:t>
      </w:r>
      <w:proofErr w:type="gramEnd"/>
      <w:r>
        <w:rPr>
          <w:rFonts w:ascii="Times New Roman" w:eastAsia="仿宋_GB2312" w:hAnsi="Times New Roman"/>
          <w:sz w:val="32"/>
          <w:szCs w:val="21"/>
        </w:rPr>
        <w:t>设施网络。</w:t>
      </w:r>
      <w:proofErr w:type="gramStart"/>
      <w:r>
        <w:rPr>
          <w:rFonts w:ascii="Times New Roman" w:eastAsia="仿宋_GB2312" w:hAnsi="Times New Roman"/>
          <w:sz w:val="32"/>
          <w:szCs w:val="21"/>
        </w:rPr>
        <w:t>推进重卡换</w:t>
      </w:r>
      <w:proofErr w:type="gramEnd"/>
      <w:r>
        <w:rPr>
          <w:rFonts w:ascii="Times New Roman" w:eastAsia="仿宋_GB2312" w:hAnsi="Times New Roman"/>
          <w:sz w:val="32"/>
          <w:szCs w:val="21"/>
        </w:rPr>
        <w:t>电电池银行、新能源</w:t>
      </w:r>
      <w:proofErr w:type="gramStart"/>
      <w:r>
        <w:rPr>
          <w:rFonts w:ascii="Times New Roman" w:eastAsia="仿宋_GB2312" w:hAnsi="Times New Roman"/>
          <w:sz w:val="32"/>
          <w:szCs w:val="21"/>
        </w:rPr>
        <w:t>重卡综合补能</w:t>
      </w:r>
      <w:proofErr w:type="gramEnd"/>
      <w:r>
        <w:rPr>
          <w:rFonts w:ascii="Times New Roman" w:eastAsia="仿宋_GB2312" w:hAnsi="Times New Roman"/>
          <w:sz w:val="32"/>
          <w:szCs w:val="21"/>
        </w:rPr>
        <w:t>运营服务平台</w:t>
      </w:r>
      <w:r>
        <w:rPr>
          <w:rFonts w:ascii="Times New Roman" w:eastAsia="仿宋_GB2312" w:hAnsi="Times New Roman" w:hint="eastAsia"/>
          <w:sz w:val="32"/>
          <w:szCs w:val="21"/>
        </w:rPr>
        <w:t>建设</w:t>
      </w:r>
      <w:r>
        <w:rPr>
          <w:rFonts w:ascii="Times New Roman" w:eastAsia="仿宋_GB2312" w:hAnsi="Times New Roman"/>
          <w:sz w:val="32"/>
          <w:szCs w:val="21"/>
        </w:rPr>
        <w:t>。出台新能源</w:t>
      </w:r>
      <w:proofErr w:type="gramStart"/>
      <w:r>
        <w:rPr>
          <w:rFonts w:ascii="Times New Roman" w:eastAsia="仿宋_GB2312" w:hAnsi="Times New Roman"/>
          <w:sz w:val="32"/>
          <w:szCs w:val="21"/>
        </w:rPr>
        <w:t>重卡碳</w:t>
      </w:r>
      <w:proofErr w:type="gramEnd"/>
      <w:r>
        <w:rPr>
          <w:rFonts w:ascii="Times New Roman" w:eastAsia="仿宋_GB2312" w:hAnsi="Times New Roman"/>
          <w:sz w:val="32"/>
          <w:szCs w:val="21"/>
        </w:rPr>
        <w:t>足迹核算、认证技术标准，加强新能源</w:t>
      </w:r>
      <w:proofErr w:type="gramStart"/>
      <w:r>
        <w:rPr>
          <w:rFonts w:ascii="Times New Roman" w:eastAsia="仿宋_GB2312" w:hAnsi="Times New Roman"/>
          <w:sz w:val="32"/>
          <w:szCs w:val="21"/>
        </w:rPr>
        <w:t>重卡碳减</w:t>
      </w:r>
      <w:proofErr w:type="gramEnd"/>
      <w:r>
        <w:rPr>
          <w:rFonts w:ascii="Times New Roman" w:eastAsia="仿宋_GB2312" w:hAnsi="Times New Roman"/>
          <w:sz w:val="32"/>
          <w:szCs w:val="21"/>
        </w:rPr>
        <w:t>排方法学开发，不断丰富</w:t>
      </w:r>
      <w:proofErr w:type="gramStart"/>
      <w:r>
        <w:rPr>
          <w:rFonts w:ascii="Times New Roman" w:eastAsia="仿宋_GB2312" w:hAnsi="Times New Roman"/>
          <w:sz w:val="32"/>
          <w:szCs w:val="21"/>
        </w:rPr>
        <w:t>碳市场</w:t>
      </w:r>
      <w:proofErr w:type="gramEnd"/>
      <w:r>
        <w:rPr>
          <w:rFonts w:ascii="Times New Roman" w:eastAsia="仿宋_GB2312" w:hAnsi="Times New Roman"/>
          <w:sz w:val="32"/>
          <w:szCs w:val="21"/>
        </w:rPr>
        <w:t>交易品类。</w:t>
      </w:r>
    </w:p>
    <w:p w14:paraId="2D5CAC1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部综合规划司、运输服务司。</w:t>
      </w:r>
    </w:p>
    <w:p w14:paraId="5743DB8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推进铁路绿色低碳发展。</w:t>
      </w:r>
    </w:p>
    <w:p w14:paraId="614ABC9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推动新能源、清洁能源、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数智化</w:t>
      </w:r>
      <w:proofErr w:type="gramEnd"/>
      <w:r>
        <w:rPr>
          <w:rFonts w:ascii="Times New Roman" w:eastAsia="仿宋_GB2312" w:hAnsi="Times New Roman"/>
          <w:sz w:val="32"/>
          <w:szCs w:val="21"/>
        </w:rPr>
        <w:t>、轻量化、环保型铁路设施设备及技术的推广运用。推动参建单位在铁路规划建设过程中，通过加强科研攻关、改进施工工艺等方法，进一步贯彻铁路绿色发展理念。</w:t>
      </w:r>
    </w:p>
    <w:p w14:paraId="0B30C25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国家铁路局科技与法制司。</w:t>
      </w:r>
    </w:p>
    <w:p w14:paraId="689B8DBE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提升交通基础设施安全韧性能力</w:t>
      </w:r>
    </w:p>
    <w:p w14:paraId="32999694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打造优质安全耐久的现代交通基础设施。</w:t>
      </w:r>
    </w:p>
    <w:p w14:paraId="49327C7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树牢全生命周期建设发展理念，深化平安百年品质工程建设，强化工程建设源头、过程、验收等全链条质量管理，保障交通基础设施安全可靠。结合辖区工程建设实际，健全现代工程质量安全管理体系，加强工程建设管理，提升工程质量管控能力。推进先进工艺、装备等应用，提升工程建设质量安全管理保证度和可靠性，提高交通基础设施</w:t>
      </w:r>
      <w:r>
        <w:rPr>
          <w:rFonts w:ascii="Times New Roman" w:eastAsia="仿宋_GB2312" w:hAnsi="Times New Roman"/>
          <w:sz w:val="32"/>
          <w:szCs w:val="21"/>
        </w:rPr>
        <w:lastRenderedPageBreak/>
        <w:t>本质安全水平。围绕现代化交通基础设施建设要求，健全工作机制和制度标准。</w:t>
      </w:r>
    </w:p>
    <w:p w14:paraId="30DDACC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</w:t>
      </w:r>
      <w:r>
        <w:rPr>
          <w:rFonts w:ascii="Times New Roman" w:eastAsia="仿宋_GB2312" w:hAnsi="Times New Roman" w:hint="eastAsia"/>
          <w:sz w:val="32"/>
          <w:szCs w:val="21"/>
        </w:rPr>
        <w:t>安全</w:t>
      </w:r>
      <w:proofErr w:type="gramEnd"/>
      <w:r>
        <w:rPr>
          <w:rFonts w:ascii="Times New Roman" w:eastAsia="仿宋_GB2312" w:hAnsi="Times New Roman" w:hint="eastAsia"/>
          <w:sz w:val="32"/>
          <w:szCs w:val="21"/>
        </w:rPr>
        <w:t>与质量监督管理</w:t>
      </w:r>
      <w:r>
        <w:rPr>
          <w:rFonts w:ascii="Times New Roman" w:eastAsia="仿宋_GB2312" w:hAnsi="Times New Roman"/>
          <w:sz w:val="32"/>
          <w:szCs w:val="21"/>
        </w:rPr>
        <w:t>司。</w:t>
      </w:r>
    </w:p>
    <w:p w14:paraId="43396BE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推动安全生产治理模式向事前预防转型。</w:t>
      </w:r>
    </w:p>
    <w:p w14:paraId="0CEDB6E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加强双重预防机制建设顶层设计，完善风险分级管控制度办法，健全隐患排查治理工作机制。强化重点领域专项治理，强化重点时段安全管控，形成长效治理机制。深化科技应用赋能，推进先进技术与智慧化监管融合，加大科技兴安成果推广应用。加强人员安全教育培训管理制度，提升从业人员安全素质，培育行业安全文化。</w:t>
      </w:r>
    </w:p>
    <w:p w14:paraId="168E1C3A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</w:t>
      </w:r>
      <w:r>
        <w:rPr>
          <w:rFonts w:ascii="Times New Roman" w:eastAsia="仿宋_GB2312" w:hAnsi="Times New Roman" w:hint="eastAsia"/>
          <w:sz w:val="32"/>
          <w:szCs w:val="21"/>
        </w:rPr>
        <w:t>安全</w:t>
      </w:r>
      <w:proofErr w:type="gramEnd"/>
      <w:r>
        <w:rPr>
          <w:rFonts w:ascii="Times New Roman" w:eastAsia="仿宋_GB2312" w:hAnsi="Times New Roman" w:hint="eastAsia"/>
          <w:sz w:val="32"/>
          <w:szCs w:val="21"/>
        </w:rPr>
        <w:t>与质量监督管理</w:t>
      </w:r>
      <w:r>
        <w:rPr>
          <w:rFonts w:ascii="Times New Roman" w:eastAsia="仿宋_GB2312" w:hAnsi="Times New Roman"/>
          <w:sz w:val="32"/>
          <w:szCs w:val="21"/>
        </w:rPr>
        <w:t>司。</w:t>
      </w:r>
    </w:p>
    <w:p w14:paraId="64DD96E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公路重大灾害智能管控处置。</w:t>
      </w:r>
    </w:p>
    <w:p w14:paraId="23F3718A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以公路运行安全保障行业重大需求为牵引，深度融合人工智能、大数据、北斗导航等前沿技术，构建公路重大灾害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辨识</w:t>
      </w:r>
      <w:r>
        <w:rPr>
          <w:rFonts w:ascii="Times New Roman" w:eastAsia="仿宋_GB2312" w:hAnsi="Times New Roman" w:hint="eastAsia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监测</w:t>
      </w:r>
      <w:r>
        <w:rPr>
          <w:rFonts w:ascii="Times New Roman" w:eastAsia="仿宋_GB2312" w:hAnsi="Times New Roman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预警</w:t>
      </w:r>
      <w:r>
        <w:rPr>
          <w:rFonts w:ascii="Times New Roman" w:eastAsia="仿宋_GB2312" w:hAnsi="Times New Roman"/>
          <w:sz w:val="32"/>
          <w:szCs w:val="21"/>
        </w:rPr>
        <w:t>—</w:t>
      </w:r>
      <w:r>
        <w:rPr>
          <w:rFonts w:ascii="Times New Roman" w:eastAsia="仿宋_GB2312" w:hAnsi="Times New Roman"/>
          <w:sz w:val="32"/>
          <w:szCs w:val="21"/>
        </w:rPr>
        <w:t>处置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高效闭环智能管控处置技术体系。广泛布局不同自然条件、不同基建水平、不同交通流状况地区，着力开展集成创新和示范应用，形成一批高水平、可推广的公路重大灾害智能管控处置技术解决方案，实现重大灾害预警准确率</w:t>
      </w:r>
      <w:r>
        <w:rPr>
          <w:rFonts w:ascii="Times New Roman" w:eastAsia="仿宋_GB2312" w:hAnsi="Times New Roman" w:hint="eastAsia"/>
          <w:sz w:val="32"/>
          <w:szCs w:val="21"/>
        </w:rPr>
        <w:t>高于</w:t>
      </w:r>
      <w:r>
        <w:rPr>
          <w:rFonts w:ascii="Times New Roman" w:eastAsia="仿宋_GB2312" w:hAnsi="Times New Roman"/>
          <w:sz w:val="32"/>
          <w:szCs w:val="21"/>
        </w:rPr>
        <w:t>95%</w:t>
      </w:r>
      <w:r>
        <w:rPr>
          <w:rFonts w:ascii="Times New Roman" w:eastAsia="仿宋_GB2312" w:hAnsi="Times New Roman"/>
          <w:sz w:val="32"/>
          <w:szCs w:val="21"/>
        </w:rPr>
        <w:t>，协同处置响应时间缩短</w:t>
      </w:r>
      <w:r>
        <w:rPr>
          <w:rFonts w:ascii="Times New Roman" w:eastAsia="仿宋_GB2312" w:hAnsi="Times New Roman"/>
          <w:sz w:val="32"/>
          <w:szCs w:val="21"/>
        </w:rPr>
        <w:t>30%</w:t>
      </w:r>
      <w:r>
        <w:rPr>
          <w:rFonts w:ascii="Times New Roman" w:eastAsia="仿宋_GB2312" w:hAnsi="Times New Roman"/>
          <w:sz w:val="32"/>
          <w:szCs w:val="21"/>
        </w:rPr>
        <w:t>以上，建设</w:t>
      </w:r>
      <w:proofErr w:type="gramStart"/>
      <w:r>
        <w:rPr>
          <w:rFonts w:ascii="Times New Roman" w:eastAsia="仿宋_GB2312" w:hAnsi="Times New Roman"/>
          <w:sz w:val="32"/>
          <w:szCs w:val="21"/>
        </w:rPr>
        <w:t>路线级和路网级示范</w:t>
      </w:r>
      <w:proofErr w:type="gramEnd"/>
      <w:r>
        <w:rPr>
          <w:rFonts w:ascii="Times New Roman" w:eastAsia="仿宋_GB2312" w:hAnsi="Times New Roman"/>
          <w:sz w:val="32"/>
          <w:szCs w:val="21"/>
        </w:rPr>
        <w:t>集群。</w:t>
      </w:r>
    </w:p>
    <w:p w14:paraId="4D578F8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部科技司、公路局。</w:t>
      </w:r>
    </w:p>
    <w:p w14:paraId="33290F92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提升公路安全韧性水平</w:t>
      </w:r>
      <w:r>
        <w:rPr>
          <w:rFonts w:ascii="Times New Roman" w:eastAsia="楷体_GB2312" w:hAnsi="Times New Roman" w:hint="eastAsia"/>
          <w:sz w:val="32"/>
          <w:szCs w:val="21"/>
        </w:rPr>
        <w:t>。</w:t>
      </w:r>
    </w:p>
    <w:p w14:paraId="4947275C" w14:textId="77777777" w:rsidR="00222B4A" w:rsidRDefault="00222B4A">
      <w:pPr>
        <w:spacing w:line="580" w:lineRule="exact"/>
        <w:ind w:firstLineChars="200" w:firstLine="640"/>
        <w:rPr>
          <w:rFonts w:ascii="Times New Roman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主要内容：</w:t>
      </w:r>
      <w:r>
        <w:rPr>
          <w:rFonts w:ascii="Times New Roman" w:eastAsia="仿宋_GB2312" w:hAnsi="Times New Roman"/>
          <w:sz w:val="32"/>
          <w:szCs w:val="32"/>
        </w:rPr>
        <w:t>深入开展公路灾害风险隐患排查，研究建立公路安全韧性评估体系，健全公路安全韧性提升长效机制，</w:t>
      </w:r>
      <w:r>
        <w:rPr>
          <w:rFonts w:ascii="Times New Roman" w:eastAsia="仿宋_GB2312" w:hAnsi="Times New Roman"/>
          <w:sz w:val="32"/>
          <w:szCs w:val="32"/>
        </w:rPr>
        <w:lastRenderedPageBreak/>
        <w:t>形成公路安全韧性提升</w:t>
      </w:r>
      <w:proofErr w:type="gramStart"/>
      <w:r>
        <w:rPr>
          <w:rFonts w:ascii="Times New Roman" w:eastAsia="仿宋_GB2312" w:hAnsi="Times New Roman"/>
          <w:sz w:val="32"/>
          <w:szCs w:val="32"/>
        </w:rPr>
        <w:t>工程工可</w:t>
      </w:r>
      <w:proofErr w:type="gramEnd"/>
      <w:r>
        <w:rPr>
          <w:rFonts w:ascii="Times New Roman" w:eastAsia="仿宋_GB2312" w:hAnsi="Times New Roman"/>
          <w:sz w:val="32"/>
          <w:szCs w:val="32"/>
        </w:rPr>
        <w:t>研究、勘察设计、施工验收全生命周期技术体系。在工程项目全链条贯彻公路安全韧性理念，确保完成提升工程项目的安全韧性提升</w:t>
      </w:r>
      <w:r>
        <w:rPr>
          <w:rFonts w:ascii="Times New Roman" w:eastAsia="仿宋_GB2312" w:hAnsi="Times New Roman"/>
          <w:sz w:val="32"/>
          <w:szCs w:val="32"/>
        </w:rPr>
        <w:t>20%</w:t>
      </w:r>
      <w:r>
        <w:rPr>
          <w:rFonts w:ascii="Times New Roman" w:eastAsia="仿宋_GB2312" w:hAnsi="Times New Roman"/>
          <w:sz w:val="32"/>
          <w:szCs w:val="32"/>
        </w:rPr>
        <w:t>及以上，抵御灾害风险能力显著增强。</w:t>
      </w:r>
    </w:p>
    <w:p w14:paraId="49BDCDA9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 w:hint="eastAsia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</w:t>
      </w:r>
      <w:r>
        <w:rPr>
          <w:rFonts w:ascii="Times New Roman" w:eastAsia="仿宋_GB2312" w:hAnsi="Times New Roman"/>
          <w:sz w:val="32"/>
          <w:szCs w:val="32"/>
        </w:rPr>
        <w:t>公路局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</w:p>
    <w:p w14:paraId="1187B30D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高质量建设更高水平平安铁路工程。</w:t>
      </w:r>
    </w:p>
    <w:p w14:paraId="1DECA75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树立标杆项目，推动铁路建设项目（含城际、</w:t>
      </w:r>
      <w:proofErr w:type="gramStart"/>
      <w:r>
        <w:rPr>
          <w:rFonts w:ascii="Times New Roman" w:eastAsia="仿宋_GB2312" w:hAnsi="Times New Roman"/>
          <w:sz w:val="32"/>
          <w:szCs w:val="21"/>
        </w:rPr>
        <w:t>市域郊铁路</w:t>
      </w:r>
      <w:proofErr w:type="gramEnd"/>
      <w:r>
        <w:rPr>
          <w:rFonts w:ascii="Times New Roman" w:eastAsia="仿宋_GB2312" w:hAnsi="Times New Roman"/>
          <w:sz w:val="32"/>
          <w:szCs w:val="21"/>
        </w:rPr>
        <w:t>）高品质建设，实现标杆示范引领作用。推动铁路建设项目施工现场安全防护措施体系建设，实现安全生产防护措施的总体安全管理目标。更好统筹高质量发展和高水平安全，推动工程建设质量管理体系和安全技术的创新发展，建立健全工程质量问题和质量缺陷评价治理机制，应用智能化建造、智慧化管理技术，推动铁路建设项目质量安全生产标准体系建设，构建差异化监督管理体系。推动复杂环境下，安全生产模式、工程技术、装备设施创新性工作。</w:t>
      </w:r>
    </w:p>
    <w:p w14:paraId="1ADD194A" w14:textId="77777777" w:rsidR="00222B4A" w:rsidRDefault="00222B4A">
      <w:pPr>
        <w:spacing w:line="580" w:lineRule="exact"/>
        <w:ind w:firstLineChars="200" w:firstLine="64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国家铁路局工程监督管理司。</w:t>
      </w:r>
    </w:p>
    <w:p w14:paraId="2F1FED72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水上交通安全监管和救助能力建设</w:t>
      </w:r>
    </w:p>
    <w:p w14:paraId="76E505C7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构建海事船检联管共治工作机制。</w:t>
      </w:r>
    </w:p>
    <w:p w14:paraId="4B1B9B8D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一是深化海事船</w:t>
      </w:r>
      <w:bookmarkStart w:id="0" w:name="hmcheck_63263dad15504d3aba2a9e18db7aa8b1"/>
      <w:r>
        <w:rPr>
          <w:rFonts w:ascii="Times New Roman" w:eastAsia="仿宋_GB2312" w:hAnsi="Times New Roman"/>
          <w:sz w:val="32"/>
          <w:szCs w:val="21"/>
          <w:shd w:val="clear" w:color="auto" w:fill="FFFFFF"/>
        </w:rPr>
        <w:t>检</w:t>
      </w:r>
      <w:proofErr w:type="gramStart"/>
      <w:r>
        <w:rPr>
          <w:rFonts w:ascii="Times New Roman" w:eastAsia="仿宋_GB2312" w:hAnsi="Times New Roman"/>
          <w:sz w:val="32"/>
          <w:szCs w:val="21"/>
          <w:shd w:val="clear" w:color="auto" w:fill="FFFFFF"/>
        </w:rPr>
        <w:t>联检联</w:t>
      </w:r>
      <w:bookmarkStart w:id="1" w:name="hmcheck_4b2ecded74e44268a53b547ad3925ef8"/>
      <w:bookmarkEnd w:id="0"/>
      <w:r>
        <w:rPr>
          <w:rFonts w:ascii="Times New Roman" w:eastAsia="仿宋_GB2312" w:hAnsi="Times New Roman"/>
          <w:sz w:val="32"/>
          <w:szCs w:val="21"/>
          <w:shd w:val="clear" w:color="auto" w:fill="FFFFFF"/>
        </w:rPr>
        <w:t>验工作</w:t>
      </w:r>
      <w:bookmarkEnd w:id="1"/>
      <w:proofErr w:type="gramEnd"/>
      <w:r>
        <w:rPr>
          <w:rFonts w:ascii="Times New Roman" w:eastAsia="仿宋_GB2312" w:hAnsi="Times New Roman"/>
          <w:sz w:val="32"/>
          <w:szCs w:val="21"/>
        </w:rPr>
        <w:t>。优化船舶安全协同监管机制。试点开展海事船检对检验窗口期船舶联合查验。深化水上交通安全信息共享共治机制，常态化运行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检验证书超期和异常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船舶信息通报机制，提高异常船舶动态感知和协同治理能力，推动船舶风险隐患闭环管理。二是推进船舶检验领域信用管理。构建以船舶修造企业、船舶设</w:t>
      </w:r>
      <w:r>
        <w:rPr>
          <w:rFonts w:ascii="Times New Roman" w:eastAsia="仿宋_GB2312" w:hAnsi="Times New Roman"/>
          <w:sz w:val="32"/>
          <w:szCs w:val="21"/>
        </w:rPr>
        <w:lastRenderedPageBreak/>
        <w:t>计单位为主要对象的信用管理体系，根据守信、失信行为开展信用状况认定，按照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守信激励、失信惩戒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模式，对相关对象实施基于信用评价的分级分类差异化监管模式。三是深化船舶检验区域协作。深化全国船舶检验通检互认工作，在长三角区域和长江干线扩展通检互认船舶类型、船舶年限、检验类型，以高质量的监督管理支持高水平的船舶检验互认。四是推动船舶检修检测机构监管模式改革。优化调整船舶检修检测服务机构监管模式，直属海事管理机构实施机构认可，船检机构对检修检测结果技术核查，建立健全机构管理、人员管理等基础制度，监督结果全国互认。五是推行上下贯通、运转有序的船舶检验质量管理体系。完善船舶检验机构检验监督制度体系，海事督促指导船检机构全面建立并运行船舶检验质量管理体系，适应交通运输综合执法改革带来的新挑战。六是加强队伍专业能力建设。建立海事船检业务常态化交流机制，推动区域船舶检验机构合作，共享培训资源，推动建立船舶检验及监督管理人才梯队。</w:t>
      </w:r>
    </w:p>
    <w:p w14:paraId="7D2B5E9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部海事局。</w:t>
      </w:r>
    </w:p>
    <w:p w14:paraId="03D8B60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智能航运监管体系建设。</w:t>
      </w:r>
    </w:p>
    <w:p w14:paraId="2BCCD97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探索构建智能船舶法律体系，研究制定智能船舶标准规范，研究探索智能船舶监管体系。完善智能船舶航行保障设施设备，健全船岸智能交互体系。</w:t>
      </w:r>
    </w:p>
    <w:p w14:paraId="6CC0057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部海事局。</w:t>
      </w:r>
    </w:p>
    <w:p w14:paraId="1D9EB8D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无人智能救捞装备与远洋深海极地救捞装备研究应用。</w:t>
      </w:r>
    </w:p>
    <w:p w14:paraId="6D26E24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lastRenderedPageBreak/>
        <w:t>主要内容：</w:t>
      </w:r>
      <w:r>
        <w:rPr>
          <w:rFonts w:ascii="Times New Roman" w:eastAsia="仿宋_GB2312" w:hAnsi="Times New Roman"/>
          <w:sz w:val="32"/>
          <w:szCs w:val="21"/>
        </w:rPr>
        <w:t>开展船载</w:t>
      </w:r>
      <w:r>
        <w:rPr>
          <w:rFonts w:ascii="Times New Roman" w:eastAsia="仿宋_GB2312" w:hAnsi="Times New Roman"/>
          <w:sz w:val="32"/>
          <w:szCs w:val="21"/>
        </w:rPr>
        <w:t>/</w:t>
      </w:r>
      <w:r>
        <w:rPr>
          <w:rFonts w:ascii="Times New Roman" w:eastAsia="仿宋_GB2312" w:hAnsi="Times New Roman"/>
          <w:sz w:val="32"/>
          <w:szCs w:val="21"/>
        </w:rPr>
        <w:t>岸基无人机搜救装备、机队方案及综合管控系统研究，探索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有人</w:t>
      </w:r>
      <w:r>
        <w:rPr>
          <w:rFonts w:ascii="Times New Roman" w:eastAsia="仿宋_GB2312" w:hAnsi="Times New Roman"/>
          <w:sz w:val="32"/>
          <w:szCs w:val="21"/>
        </w:rPr>
        <w:t>+</w:t>
      </w:r>
      <w:r>
        <w:rPr>
          <w:rFonts w:ascii="Times New Roman" w:eastAsia="仿宋_GB2312" w:hAnsi="Times New Roman"/>
          <w:sz w:val="32"/>
          <w:szCs w:val="21"/>
        </w:rPr>
        <w:t>无人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协同救助模式。聚焦智能船舶与绿色低碳技术，研究新一代海洋救助主力船智能绿色技术方案。针对</w:t>
      </w:r>
      <w:r>
        <w:rPr>
          <w:rFonts w:ascii="Times New Roman" w:eastAsia="仿宋_GB2312" w:hAnsi="Times New Roman"/>
          <w:sz w:val="32"/>
          <w:szCs w:val="21"/>
        </w:rPr>
        <w:t>6000</w:t>
      </w:r>
      <w:r>
        <w:rPr>
          <w:rFonts w:ascii="Times New Roman" w:eastAsia="仿宋_GB2312" w:hAnsi="Times New Roman"/>
          <w:sz w:val="32"/>
          <w:szCs w:val="21"/>
        </w:rPr>
        <w:t>米以浅深海环境，研发基于深海作业机器人的超深水作业技术。针对强风巨浪高海况环境，研究形成高海况应急拖带技术与装备体系。开发多功能作业支持船型，构建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船机协同、立体搜救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的深</w:t>
      </w:r>
      <w:proofErr w:type="gramStart"/>
      <w:r>
        <w:rPr>
          <w:rFonts w:ascii="Times New Roman" w:eastAsia="仿宋_GB2312" w:hAnsi="Times New Roman"/>
          <w:sz w:val="32"/>
          <w:szCs w:val="21"/>
        </w:rPr>
        <w:t>远海保障</w:t>
      </w:r>
      <w:proofErr w:type="gramEnd"/>
      <w:r>
        <w:rPr>
          <w:rFonts w:ascii="Times New Roman" w:eastAsia="仿宋_GB2312" w:hAnsi="Times New Roman"/>
          <w:sz w:val="32"/>
          <w:szCs w:val="21"/>
        </w:rPr>
        <w:t>机制。研究极地抢险打捞装备技术和大型半</w:t>
      </w:r>
      <w:proofErr w:type="gramStart"/>
      <w:r>
        <w:rPr>
          <w:rFonts w:ascii="Times New Roman" w:eastAsia="仿宋_GB2312" w:hAnsi="Times New Roman"/>
          <w:sz w:val="32"/>
          <w:szCs w:val="21"/>
        </w:rPr>
        <w:t>潜抬浮</w:t>
      </w:r>
      <w:proofErr w:type="gramEnd"/>
      <w:r>
        <w:rPr>
          <w:rFonts w:ascii="Times New Roman" w:eastAsia="仿宋_GB2312" w:hAnsi="Times New Roman"/>
          <w:sz w:val="32"/>
          <w:szCs w:val="21"/>
        </w:rPr>
        <w:t>打捞工程船方案。</w:t>
      </w:r>
    </w:p>
    <w:p w14:paraId="07C2CE01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部救助打捞局。</w:t>
      </w:r>
    </w:p>
    <w:p w14:paraId="5765AF8A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促进低空交通运输高质量发展</w:t>
      </w:r>
    </w:p>
    <w:p w14:paraId="730C1D4B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低空交通运输应用场景高质量培育。</w:t>
      </w:r>
    </w:p>
    <w:p w14:paraId="32CCB01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发展培育低空交通运输业态。因地制宜发展低空交通运输巡查巡检、勘察设计、应急搜救、物流配送等场景业态。二是推动低空基础设施建设。支持利用公路服务区、交通枢纽、物流园区等基础条件较好的场地，布局具备装卸、补给、停放等综合功能的垂直起降设施。三是创新应用场景培育体制机制。发挥政府和市场多主体比较优势，构建跨部门跨地区跨层级的应用场景培育、运营、管理机制。四是强化应用场景安全保障。加快推进低空交通运输安全风险防控方案和应急处置方案制定，鼓励围绕关键技术和核心领域开展技术攻关，多</w:t>
      </w:r>
      <w:proofErr w:type="gramStart"/>
      <w:r>
        <w:rPr>
          <w:rFonts w:ascii="Times New Roman" w:eastAsia="仿宋_GB2312" w:hAnsi="Times New Roman"/>
          <w:sz w:val="32"/>
          <w:szCs w:val="21"/>
        </w:rPr>
        <w:t>措</w:t>
      </w:r>
      <w:proofErr w:type="gramEnd"/>
      <w:r>
        <w:rPr>
          <w:rFonts w:ascii="Times New Roman" w:eastAsia="仿宋_GB2312" w:hAnsi="Times New Roman"/>
          <w:sz w:val="32"/>
          <w:szCs w:val="21"/>
        </w:rPr>
        <w:t>并举筑牢</w:t>
      </w:r>
      <w:proofErr w:type="gramStart"/>
      <w:r>
        <w:rPr>
          <w:rFonts w:ascii="Times New Roman" w:eastAsia="仿宋_GB2312" w:hAnsi="Times New Roman"/>
          <w:sz w:val="32"/>
          <w:szCs w:val="21"/>
        </w:rPr>
        <w:t>安全发展</w:t>
      </w:r>
      <w:proofErr w:type="gramEnd"/>
      <w:r>
        <w:rPr>
          <w:rFonts w:ascii="Times New Roman" w:eastAsia="仿宋_GB2312" w:hAnsi="Times New Roman"/>
          <w:sz w:val="32"/>
          <w:szCs w:val="21"/>
        </w:rPr>
        <w:t>基础。五是鼓励应用场景科技创新。逐步实现大数据、人工智能等新技术在低空交通运输应用场景中的创新应用，强化安全保障和管理水平。</w:t>
      </w:r>
    </w:p>
    <w:p w14:paraId="718D620F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lastRenderedPageBreak/>
        <w:t>责任单位：</w:t>
      </w:r>
      <w:proofErr w:type="gramStart"/>
      <w:r>
        <w:rPr>
          <w:rFonts w:ascii="Times New Roman" w:eastAsia="仿宋_GB2312" w:hAnsi="Times New Roman"/>
          <w:sz w:val="32"/>
          <w:szCs w:val="21"/>
        </w:rPr>
        <w:t>部运输</w:t>
      </w:r>
      <w:proofErr w:type="gramEnd"/>
      <w:r>
        <w:rPr>
          <w:rFonts w:ascii="Times New Roman" w:eastAsia="仿宋_GB2312" w:hAnsi="Times New Roman"/>
          <w:sz w:val="32"/>
          <w:szCs w:val="21"/>
        </w:rPr>
        <w:t>服务司。</w:t>
      </w:r>
    </w:p>
    <w:p w14:paraId="57F7E09E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低空交通运输规划编制。</w:t>
      </w:r>
    </w:p>
    <w:p w14:paraId="5B710150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统筹谋划低空交通运输发展，</w:t>
      </w:r>
      <w:r>
        <w:rPr>
          <w:rFonts w:ascii="Times New Roman" w:eastAsia="仿宋_GB2312" w:hAnsi="Times New Roman" w:hint="eastAsia"/>
          <w:sz w:val="32"/>
          <w:szCs w:val="32"/>
        </w:rPr>
        <w:t>推动低空交通基础设施与能源、信息等基础设施协同布局、有机衔接，推动低空民用航空与铁路、公路、水路、邮政等融合，</w:t>
      </w:r>
      <w:r>
        <w:rPr>
          <w:rFonts w:ascii="Times New Roman" w:eastAsia="仿宋_GB2312" w:hAnsi="Times New Roman"/>
          <w:sz w:val="32"/>
          <w:szCs w:val="21"/>
        </w:rPr>
        <w:t>发挥现代化综合立体交通运输体系优势。</w:t>
      </w:r>
    </w:p>
    <w:p w14:paraId="194C33D4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部综合规划司。</w:t>
      </w:r>
    </w:p>
    <w:p w14:paraId="1B6D16B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行业</w:t>
      </w:r>
      <w:r>
        <w:rPr>
          <w:rFonts w:ascii="Times New Roman" w:eastAsia="楷体_GB2312" w:hAnsi="Times New Roman"/>
          <w:sz w:val="32"/>
          <w:szCs w:val="21"/>
        </w:rPr>
        <w:t>+</w:t>
      </w:r>
      <w:r>
        <w:rPr>
          <w:rFonts w:ascii="Times New Roman" w:eastAsia="楷体_GB2312" w:hAnsi="Times New Roman"/>
          <w:sz w:val="32"/>
          <w:szCs w:val="21"/>
        </w:rPr>
        <w:t>地方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通航载人飞行联合监管。</w:t>
      </w:r>
    </w:p>
    <w:p w14:paraId="430D6E5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强化通用航空载人飞行活动安全管理。加强监管机构、部门之间信息共享，协同共治。落实地方属地低空载人飞行各方监管责任。</w:t>
      </w:r>
    </w:p>
    <w:p w14:paraId="754F66E8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中国民用航空局运输司。</w:t>
      </w:r>
    </w:p>
    <w:p w14:paraId="022BC7EC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加快交通运输基础大模型创新突破</w:t>
      </w:r>
    </w:p>
    <w:p w14:paraId="64A1631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打造综合交通运输基础大模型应用体系。</w:t>
      </w:r>
    </w:p>
    <w:p w14:paraId="1E63C965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聚焦交通运输行业关键业务，打造综合交通运输基础大模型应用试点场景。统筹构筑</w:t>
      </w:r>
      <w:proofErr w:type="gramStart"/>
      <w:r>
        <w:rPr>
          <w:rFonts w:ascii="Times New Roman" w:eastAsia="仿宋_GB2312" w:hAnsi="Times New Roman"/>
          <w:sz w:val="32"/>
          <w:szCs w:val="21"/>
        </w:rPr>
        <w:t>基础算力服务</w:t>
      </w:r>
      <w:proofErr w:type="gramEnd"/>
      <w:r>
        <w:rPr>
          <w:rFonts w:ascii="Times New Roman" w:eastAsia="仿宋_GB2312" w:hAnsi="Times New Roman"/>
          <w:sz w:val="32"/>
          <w:szCs w:val="21"/>
        </w:rPr>
        <w:t>平台，打造集数据中心、模型基座、智能体中枢为一体的大模型应用支撑体系。构建覆盖公路、水路、铁路、民航、邮政、综合交通等专业领域的</w:t>
      </w:r>
      <w:proofErr w:type="gramStart"/>
      <w:r>
        <w:rPr>
          <w:rFonts w:ascii="Times New Roman" w:eastAsia="仿宋_GB2312" w:hAnsi="Times New Roman"/>
          <w:sz w:val="32"/>
          <w:szCs w:val="21"/>
        </w:rPr>
        <w:t>垂域大</w:t>
      </w:r>
      <w:proofErr w:type="gramEnd"/>
      <w:r>
        <w:rPr>
          <w:rFonts w:ascii="Times New Roman" w:eastAsia="仿宋_GB2312" w:hAnsi="Times New Roman"/>
          <w:sz w:val="32"/>
          <w:szCs w:val="21"/>
        </w:rPr>
        <w:t>模型。探索建设交通运输基础大模型全链协同保障体系，夯实综合交通运输智能化转型根基。</w:t>
      </w:r>
    </w:p>
    <w:p w14:paraId="7531F637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部科技司。</w:t>
      </w:r>
    </w:p>
    <w:p w14:paraId="18BF839C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省级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民航气象</w:t>
      </w:r>
      <w:r>
        <w:rPr>
          <w:rFonts w:ascii="Times New Roman" w:eastAsia="楷体_GB2312" w:hAnsi="Times New Roman"/>
          <w:sz w:val="32"/>
          <w:szCs w:val="21"/>
        </w:rPr>
        <w:t>+</w:t>
      </w:r>
      <w:r>
        <w:rPr>
          <w:rFonts w:ascii="Times New Roman" w:eastAsia="楷体_GB2312" w:hAnsi="Times New Roman"/>
          <w:sz w:val="32"/>
          <w:szCs w:val="21"/>
        </w:rPr>
        <w:t>地方交通气象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联合数据共享。</w:t>
      </w:r>
    </w:p>
    <w:p w14:paraId="0628B33E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强化公路、铁路等气象观测数据和民航气象</w:t>
      </w:r>
      <w:r>
        <w:rPr>
          <w:rFonts w:ascii="Times New Roman" w:eastAsia="仿宋_GB2312" w:hAnsi="Times New Roman"/>
          <w:sz w:val="32"/>
          <w:szCs w:val="21"/>
        </w:rPr>
        <w:lastRenderedPageBreak/>
        <w:t>数据共享。</w:t>
      </w:r>
    </w:p>
    <w:p w14:paraId="6271148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中国</w:t>
      </w:r>
      <w:proofErr w:type="gramStart"/>
      <w:r>
        <w:rPr>
          <w:rFonts w:ascii="Times New Roman" w:eastAsia="仿宋_GB2312" w:hAnsi="Times New Roman"/>
          <w:sz w:val="32"/>
          <w:szCs w:val="21"/>
        </w:rPr>
        <w:t>民用航空局空管办</w:t>
      </w:r>
      <w:proofErr w:type="gramEnd"/>
      <w:r>
        <w:rPr>
          <w:rFonts w:ascii="Times New Roman" w:eastAsia="仿宋_GB2312" w:hAnsi="Times New Roman"/>
          <w:sz w:val="32"/>
          <w:szCs w:val="21"/>
        </w:rPr>
        <w:t>、部公路局。</w:t>
      </w:r>
    </w:p>
    <w:p w14:paraId="272CA7E7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加快交通运输公共数据资源开发利用。</w:t>
      </w:r>
    </w:p>
    <w:p w14:paraId="7732193D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一是建立交通运输高质量数据资源体系。完善交通运输公共数据资源目录，建立健全目录采集、更新及发布机制，实现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一数一源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动态更新。加强交通运输公共数据资源采集与归集，推动公共数据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按需归集、应归尽归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。提升公共数据质量，强化公共数据源头治理，建立数据质量评估指标体系。</w:t>
      </w:r>
      <w:bookmarkStart w:id="2" w:name="_Toc200562492"/>
      <w:r>
        <w:rPr>
          <w:rFonts w:ascii="Times New Roman" w:eastAsia="仿宋_GB2312" w:hAnsi="Times New Roman"/>
          <w:sz w:val="32"/>
          <w:szCs w:val="21"/>
        </w:rPr>
        <w:t>二是强化交通运输公共数据资源供给</w:t>
      </w:r>
      <w:bookmarkEnd w:id="2"/>
      <w:r>
        <w:rPr>
          <w:rFonts w:ascii="Times New Roman" w:eastAsia="仿宋_GB2312" w:hAnsi="Times New Roman"/>
          <w:sz w:val="32"/>
          <w:szCs w:val="21"/>
        </w:rPr>
        <w:t>。深化政务数据共享，完善综合交通运输政务数据共享交换机制。有序推动公共数据开放，建立数据开放清单及动态更新机制。规范公共数据授权运营，探索行业公共数据收益分配机制。</w:t>
      </w:r>
      <w:bookmarkStart w:id="3" w:name="_Toc200562496"/>
      <w:r>
        <w:rPr>
          <w:rFonts w:ascii="Times New Roman" w:eastAsia="仿宋_GB2312" w:hAnsi="Times New Roman"/>
          <w:sz w:val="32"/>
          <w:szCs w:val="21"/>
        </w:rPr>
        <w:t>三是促进交通运输公共数据应用创新</w:t>
      </w:r>
      <w:bookmarkStart w:id="4" w:name="_Toc200562497"/>
      <w:bookmarkEnd w:id="3"/>
      <w:r>
        <w:rPr>
          <w:rFonts w:ascii="Times New Roman" w:eastAsia="仿宋_GB2312" w:hAnsi="Times New Roman"/>
          <w:sz w:val="32"/>
          <w:szCs w:val="21"/>
        </w:rPr>
        <w:t>。深化行业公共数据协同应用，服务区域交通运输协同发展。推动交通运输公共数据与能源、旅游、卫星遥感、气象、金融保险等数据资源融合应用，服务传统产业转型升级。推动公共数据与企业数据融合应用，支撑新兴产业与未来产业发展。加强数据基础服务能力建设，建设数据流通利用设施，推动行业可信数据空间建设，建设行业高质量数据集。</w:t>
      </w:r>
      <w:bookmarkEnd w:id="4"/>
    </w:p>
    <w:p w14:paraId="57FF2E9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部科技司。</w:t>
      </w:r>
    </w:p>
    <w:p w14:paraId="73AA8927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邮政业人工智能、寄递安全科技平台培育。</w:t>
      </w:r>
    </w:p>
    <w:p w14:paraId="705C8F8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在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人工智能</w:t>
      </w:r>
      <w:r>
        <w:rPr>
          <w:rFonts w:ascii="Times New Roman" w:eastAsia="仿宋_GB2312" w:hAnsi="Times New Roman"/>
          <w:sz w:val="32"/>
          <w:szCs w:val="21"/>
        </w:rPr>
        <w:t>+</w:t>
      </w:r>
      <w:r>
        <w:rPr>
          <w:rFonts w:ascii="Times New Roman" w:eastAsia="仿宋_GB2312" w:hAnsi="Times New Roman"/>
          <w:sz w:val="32"/>
          <w:szCs w:val="21"/>
        </w:rPr>
        <w:t>邮政快递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方面，面向邮政快递客户服务、路径优化、安全管理等应用场景，打造行业垂直大模型，开展空地协同、复杂气候、抗干扰无人机无人车智</w:t>
      </w:r>
      <w:r>
        <w:rPr>
          <w:rFonts w:ascii="Times New Roman" w:eastAsia="仿宋_GB2312" w:hAnsi="Times New Roman"/>
          <w:sz w:val="32"/>
          <w:szCs w:val="21"/>
        </w:rPr>
        <w:lastRenderedPageBreak/>
        <w:t>能配送关键技术研究，针对邮政快递作业服务全流程开展智能化、无人化、数字化技术和产品的研发。在寄递安全方面，突破太赫兹波谱分析、高通量多模态等智能安检技术，开展复杂动态场景下海量视频数据的感知获取与准确识别技术研究，突破实时精准定位、冗余地址数据处理、空间地图构建等通用寄递地址编码技术。</w:t>
      </w:r>
    </w:p>
    <w:p w14:paraId="29FA4F4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国家邮政局政策法规司。</w:t>
      </w:r>
    </w:p>
    <w:p w14:paraId="02BF7983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建设统一开放的交通运输市场</w:t>
      </w:r>
    </w:p>
    <w:p w14:paraId="06A5449A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建设统一开放的交通运输市场</w:t>
      </w:r>
    </w:p>
    <w:p w14:paraId="0D45694B" w14:textId="77777777" w:rsidR="00222B4A" w:rsidRDefault="00222B4A">
      <w:pPr>
        <w:widowControl/>
        <w:spacing w:line="580" w:lineRule="exact"/>
        <w:ind w:firstLineChars="200" w:firstLine="640"/>
        <w:jc w:val="left"/>
        <w:rPr>
          <w:rFonts w:ascii="Times New Roman" w:eastAsia="仿宋_GB2312" w:hAnsi="Times New Roman"/>
          <w:kern w:val="0"/>
          <w:sz w:val="32"/>
          <w:szCs w:val="32"/>
          <w:shd w:val="clear" w:color="auto" w:fill="FFFFFF"/>
          <w:lang w:bidi="ar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kern w:val="0"/>
          <w:sz w:val="32"/>
          <w:szCs w:val="32"/>
          <w:shd w:val="clear" w:color="auto" w:fill="FFFFFF"/>
          <w:lang w:bidi="ar"/>
        </w:rPr>
        <w:t>推动跨区域统筹布局，服务市场设施高标准联通。推动</w:t>
      </w:r>
      <w:proofErr w:type="gramStart"/>
      <w:r>
        <w:rPr>
          <w:rFonts w:ascii="Times New Roman" w:eastAsia="仿宋_GB2312" w:hAnsi="Times New Roman"/>
          <w:kern w:val="0"/>
          <w:sz w:val="32"/>
          <w:szCs w:val="32"/>
          <w:shd w:val="clear" w:color="auto" w:fill="FFFFFF"/>
          <w:lang w:bidi="ar"/>
        </w:rPr>
        <w:t>跨方式</w:t>
      </w:r>
      <w:proofErr w:type="gramEnd"/>
      <w:r>
        <w:rPr>
          <w:rFonts w:ascii="Times New Roman" w:eastAsia="仿宋_GB2312" w:hAnsi="Times New Roman"/>
          <w:kern w:val="0"/>
          <w:sz w:val="32"/>
          <w:szCs w:val="32"/>
          <w:shd w:val="clear" w:color="auto" w:fill="FFFFFF"/>
          <w:lang w:bidi="ar"/>
        </w:rPr>
        <w:t>一体衔接，服务市场要素资源高效流通。推动跨领域协同发展，服务市场提质扩容增效。完善交通运输市场监管、公平竞争、信用管理等制度规则，进一步理顺综合交通运输管理体制机制，推动执法监管统一，营造竞争有序的市场环境。</w:t>
      </w:r>
    </w:p>
    <w:p w14:paraId="3AE52633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部政策研究室。</w:t>
      </w:r>
    </w:p>
    <w:p w14:paraId="03F73373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交通运输综合执法</w:t>
      </w:r>
    </w:p>
    <w:p w14:paraId="3D7D62D9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推动交通运输基层执法监管提质增效。</w:t>
      </w:r>
    </w:p>
    <w:p w14:paraId="0E45EEC9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一是深化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四基四化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建设。完善思想政治工作体系、基层组织管理工作体系、执法监督工作体系、执法服务保障工作体系、智慧执法工作体系、协作联动执法体系，提升基层执法能力水平，打造交通运输执法基层典型站所。二是健全行政执法监督机制。理顺监督工作机制，创新监督方式方法，提高执法监督能力。三是优化基层执法体制机制。</w:t>
      </w:r>
      <w:r>
        <w:rPr>
          <w:rFonts w:ascii="Times New Roman" w:eastAsia="仿宋_GB2312" w:hAnsi="Times New Roman"/>
          <w:sz w:val="32"/>
          <w:szCs w:val="21"/>
        </w:rPr>
        <w:lastRenderedPageBreak/>
        <w:t>探索运用新时代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枫桥经验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等方法，建立交通运输执法领域矛盾纠纷多元化解机制，完善交通运输执法监管运行机制，形成联动监管合力，深入开展源头治理。</w:t>
      </w:r>
    </w:p>
    <w:p w14:paraId="2BE6413B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部法制司。</w:t>
      </w:r>
    </w:p>
    <w:p w14:paraId="3B612E5B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探索</w:t>
      </w:r>
      <w:r>
        <w:rPr>
          <w:rFonts w:ascii="Times New Roman" w:eastAsia="楷体_GB2312" w:hAnsi="Times New Roman"/>
          <w:sz w:val="32"/>
          <w:szCs w:val="21"/>
        </w:rPr>
        <w:t>“</w:t>
      </w:r>
      <w:r>
        <w:rPr>
          <w:rFonts w:ascii="Times New Roman" w:eastAsia="楷体_GB2312" w:hAnsi="Times New Roman"/>
          <w:sz w:val="32"/>
          <w:szCs w:val="21"/>
        </w:rPr>
        <w:t>数智一体化</w:t>
      </w:r>
      <w:r>
        <w:rPr>
          <w:rFonts w:ascii="Times New Roman" w:eastAsia="楷体_GB2312" w:hAnsi="Times New Roman"/>
          <w:sz w:val="32"/>
          <w:szCs w:val="21"/>
        </w:rPr>
        <w:t>”</w:t>
      </w:r>
      <w:r>
        <w:rPr>
          <w:rFonts w:ascii="Times New Roman" w:eastAsia="楷体_GB2312" w:hAnsi="Times New Roman"/>
          <w:sz w:val="32"/>
          <w:szCs w:val="21"/>
        </w:rPr>
        <w:t>执法新模式。</w:t>
      </w:r>
    </w:p>
    <w:p w14:paraId="1A3C1C32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一是打</w:t>
      </w:r>
      <w:proofErr w:type="gramStart"/>
      <w:r>
        <w:rPr>
          <w:rFonts w:ascii="Times New Roman" w:eastAsia="仿宋_GB2312" w:hAnsi="Times New Roman"/>
          <w:sz w:val="32"/>
          <w:szCs w:val="21"/>
        </w:rPr>
        <w:t>牢交通</w:t>
      </w:r>
      <w:proofErr w:type="gramEnd"/>
      <w:r>
        <w:rPr>
          <w:rFonts w:ascii="Times New Roman" w:eastAsia="仿宋_GB2312" w:hAnsi="Times New Roman"/>
          <w:sz w:val="32"/>
          <w:szCs w:val="21"/>
        </w:rPr>
        <w:t>运输执法数据基座。运用大数据、人工智能等技术，加强执法数据整合分析，为行政决策、行业监管、优化服务、权力监督、应急保障提供支撑。二是打造新型执法场景。依托执法信息系统增强执法场景感知、指挥调度等方面的一体协同能力，打造行业运行趋势分析、违法行为智能识别、行业监管风险预警、执法行为智能监督等场景。三是建设交通运输执法领域增强大模型。利用大模型支撑开展智能办案、智能培训、智能问答</w:t>
      </w:r>
      <w:proofErr w:type="gramStart"/>
      <w:r>
        <w:rPr>
          <w:rFonts w:ascii="Times New Roman" w:eastAsia="仿宋_GB2312" w:hAnsi="Times New Roman"/>
          <w:sz w:val="32"/>
          <w:szCs w:val="21"/>
        </w:rPr>
        <w:t>等数智化</w:t>
      </w:r>
      <w:proofErr w:type="gramEnd"/>
      <w:r>
        <w:rPr>
          <w:rFonts w:ascii="Times New Roman" w:eastAsia="仿宋_GB2312" w:hAnsi="Times New Roman"/>
          <w:sz w:val="32"/>
          <w:szCs w:val="21"/>
        </w:rPr>
        <w:t>执法。四是加强区域执法协作。</w:t>
      </w:r>
      <w:proofErr w:type="gramStart"/>
      <w:r>
        <w:rPr>
          <w:rFonts w:ascii="Times New Roman" w:eastAsia="仿宋_GB2312" w:hAnsi="Times New Roman"/>
          <w:sz w:val="32"/>
          <w:szCs w:val="21"/>
        </w:rPr>
        <w:t>运用区</w:t>
      </w:r>
      <w:proofErr w:type="gramEnd"/>
      <w:r>
        <w:rPr>
          <w:rFonts w:ascii="Times New Roman" w:eastAsia="仿宋_GB2312" w:hAnsi="Times New Roman"/>
          <w:sz w:val="32"/>
          <w:szCs w:val="21"/>
        </w:rPr>
        <w:t>块链等技术，深化区域执法协作工作机制，优化</w:t>
      </w:r>
      <w:r>
        <w:rPr>
          <w:rFonts w:ascii="Times New Roman" w:eastAsia="仿宋_GB2312" w:hAnsi="Times New Roman"/>
          <w:sz w:val="32"/>
          <w:szCs w:val="21"/>
        </w:rPr>
        <w:t>“</w:t>
      </w:r>
      <w:r>
        <w:rPr>
          <w:rFonts w:ascii="Times New Roman" w:eastAsia="仿宋_GB2312" w:hAnsi="Times New Roman"/>
          <w:sz w:val="32"/>
          <w:szCs w:val="21"/>
        </w:rPr>
        <w:t>案件抄告</w:t>
      </w:r>
      <w:r>
        <w:rPr>
          <w:rFonts w:ascii="Times New Roman" w:eastAsia="仿宋_GB2312" w:hAnsi="Times New Roman"/>
          <w:sz w:val="32"/>
          <w:szCs w:val="21"/>
        </w:rPr>
        <w:t>”“</w:t>
      </w:r>
      <w:r>
        <w:rPr>
          <w:rFonts w:ascii="Times New Roman" w:eastAsia="仿宋_GB2312" w:hAnsi="Times New Roman"/>
          <w:sz w:val="32"/>
          <w:szCs w:val="21"/>
        </w:rPr>
        <w:t>联勤联动</w:t>
      </w:r>
      <w:r>
        <w:rPr>
          <w:rFonts w:ascii="Times New Roman" w:eastAsia="仿宋_GB2312" w:hAnsi="Times New Roman"/>
          <w:sz w:val="32"/>
          <w:szCs w:val="21"/>
        </w:rPr>
        <w:t>”</w:t>
      </w:r>
      <w:r>
        <w:rPr>
          <w:rFonts w:ascii="Times New Roman" w:eastAsia="仿宋_GB2312" w:hAnsi="Times New Roman"/>
          <w:sz w:val="32"/>
          <w:szCs w:val="21"/>
        </w:rPr>
        <w:t>等执法流程。</w:t>
      </w:r>
    </w:p>
    <w:p w14:paraId="0F127A6A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部法制司。</w:t>
      </w:r>
    </w:p>
    <w:p w14:paraId="52EEFC97" w14:textId="77777777" w:rsidR="00222B4A" w:rsidRDefault="00222B4A">
      <w:pPr>
        <w:numPr>
          <w:ilvl w:val="0"/>
          <w:numId w:val="1"/>
        </w:numPr>
        <w:spacing w:line="580" w:lineRule="exact"/>
        <w:ind w:firstLineChars="200" w:firstLine="640"/>
        <w:outlineLvl w:val="0"/>
        <w:rPr>
          <w:rFonts w:ascii="Times New Roman" w:eastAsia="黑体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高层次人才培养</w:t>
      </w:r>
    </w:p>
    <w:p w14:paraId="355CFCA8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培育高水平交通科技人才和高技能人才队伍。</w:t>
      </w:r>
    </w:p>
    <w:p w14:paraId="4B557DAA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一是深化体制机制改革。着眼拔尖创新人才培养，着力激发科技创新创造活力，着重人才培养、使用、评价、服务、支持、激励机制建设，统筹推进教育、科技、人才一体化发展。二是完善人才自主培养机制。通过实施更加积极、更加开放、更加有效的人才政策，建设吸引集聚行业人才平台，加强行业战略人才力量建设。三是开展行业人</w:t>
      </w:r>
      <w:r>
        <w:rPr>
          <w:rFonts w:ascii="Times New Roman" w:eastAsia="仿宋_GB2312" w:hAnsi="Times New Roman"/>
          <w:sz w:val="32"/>
          <w:szCs w:val="21"/>
        </w:rPr>
        <w:lastRenderedPageBreak/>
        <w:t>才队伍谱系化建设。围绕重点领域和特色人才群体，加强人才分类培养。四是加强高技能人才队伍建设。围绕行业技能人才培养、使用、激励、评价，打造素质优良的交通劳动者大军。</w:t>
      </w:r>
    </w:p>
    <w:p w14:paraId="29C2CB49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部人事教育司、科技司。</w:t>
      </w:r>
    </w:p>
    <w:p w14:paraId="30FD71E8" w14:textId="77777777" w:rsidR="00222B4A" w:rsidRDefault="00222B4A">
      <w:pPr>
        <w:numPr>
          <w:ilvl w:val="0"/>
          <w:numId w:val="2"/>
        </w:numPr>
        <w:spacing w:line="580" w:lineRule="exact"/>
        <w:ind w:firstLineChars="200" w:firstLine="640"/>
        <w:outlineLvl w:val="1"/>
        <w:rPr>
          <w:rFonts w:ascii="Times New Roman" w:eastAsia="楷体_GB2312" w:hAnsi="Times New Roman"/>
          <w:sz w:val="32"/>
          <w:szCs w:val="21"/>
        </w:rPr>
      </w:pPr>
      <w:r>
        <w:rPr>
          <w:rFonts w:ascii="Times New Roman" w:eastAsia="楷体_GB2312" w:hAnsi="Times New Roman"/>
          <w:sz w:val="32"/>
          <w:szCs w:val="21"/>
        </w:rPr>
        <w:t>高等院校、职业院校交通优势学科和专业建设。</w:t>
      </w:r>
    </w:p>
    <w:p w14:paraId="0607A894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主要内容：</w:t>
      </w:r>
      <w:r>
        <w:rPr>
          <w:rFonts w:ascii="Times New Roman" w:eastAsia="仿宋_GB2312" w:hAnsi="Times New Roman"/>
          <w:sz w:val="32"/>
          <w:szCs w:val="21"/>
        </w:rPr>
        <w:t>创新探索交通优势学科和专业建设内涵、路径、方法，适应交通运输行业新技术新业态发展。</w:t>
      </w:r>
    </w:p>
    <w:p w14:paraId="6EDADA54" w14:textId="77777777" w:rsidR="00222B4A" w:rsidRDefault="00222B4A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21"/>
        </w:rPr>
      </w:pPr>
      <w:r>
        <w:rPr>
          <w:rFonts w:ascii="Times New Roman" w:eastAsia="黑体" w:hAnsi="Times New Roman"/>
          <w:sz w:val="32"/>
          <w:szCs w:val="21"/>
        </w:rPr>
        <w:t>责任单位：</w:t>
      </w:r>
      <w:r>
        <w:rPr>
          <w:rFonts w:ascii="Times New Roman" w:eastAsia="仿宋_GB2312" w:hAnsi="Times New Roman"/>
          <w:sz w:val="32"/>
          <w:szCs w:val="21"/>
        </w:rPr>
        <w:t>部人事教育司。</w:t>
      </w:r>
    </w:p>
    <w:p w14:paraId="5CF6BAEE" w14:textId="77777777" w:rsidR="00222B4A" w:rsidRDefault="00222B4A">
      <w:pPr>
        <w:rPr>
          <w:rFonts w:ascii="Times New Roman" w:hAnsi="Times New Roman"/>
        </w:rPr>
      </w:pPr>
    </w:p>
    <w:p w14:paraId="006E2464" w14:textId="77777777" w:rsidR="00222B4A" w:rsidRDefault="00222B4A">
      <w:pPr>
        <w:snapToGrid w:val="0"/>
        <w:spacing w:line="580" w:lineRule="exact"/>
        <w:ind w:firstLineChars="200" w:firstLine="640"/>
        <w:rPr>
          <w:rFonts w:ascii="Times New Roman" w:eastAsia="楷体_GB2312" w:hAnsi="Times New Roman" w:hint="eastAsia"/>
          <w:sz w:val="32"/>
          <w:szCs w:val="32"/>
        </w:rPr>
      </w:pPr>
    </w:p>
    <w:sectPr w:rsidR="00222B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EFDF908"/>
    <w:multiLevelType w:val="singleLevel"/>
    <w:tmpl w:val="EEFDF90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F6FE0100"/>
    <w:multiLevelType w:val="singleLevel"/>
    <w:tmpl w:val="F6FE010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4327817">
    <w:abstractNumId w:val="1"/>
  </w:num>
  <w:num w:numId="2" w16cid:durableId="98431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5F2"/>
    <w:rsid w:val="002734DA"/>
    <w:rsid w:val="00D135F2"/>
    <w:rsid w:val="0FDB2422"/>
    <w:rsid w:val="1BAFE013"/>
    <w:rsid w:val="1F6DEFC9"/>
    <w:rsid w:val="1FDF69CA"/>
    <w:rsid w:val="1FF728C0"/>
    <w:rsid w:val="29CF7AE2"/>
    <w:rsid w:val="2D5EA15B"/>
    <w:rsid w:val="2EFE2D5C"/>
    <w:rsid w:val="2EFFFC26"/>
    <w:rsid w:val="2FB15BB4"/>
    <w:rsid w:val="2FDD37CC"/>
    <w:rsid w:val="335F868D"/>
    <w:rsid w:val="3575E9B1"/>
    <w:rsid w:val="37BCDD80"/>
    <w:rsid w:val="38FF4443"/>
    <w:rsid w:val="39F9369F"/>
    <w:rsid w:val="3AEF177E"/>
    <w:rsid w:val="3AF91F40"/>
    <w:rsid w:val="3BFF43AF"/>
    <w:rsid w:val="3D5DB098"/>
    <w:rsid w:val="3DBF03DF"/>
    <w:rsid w:val="3DEF32D6"/>
    <w:rsid w:val="3EF95770"/>
    <w:rsid w:val="3F7F794B"/>
    <w:rsid w:val="3FDDB727"/>
    <w:rsid w:val="3FE9B4BF"/>
    <w:rsid w:val="47F67B8F"/>
    <w:rsid w:val="47FF3CAE"/>
    <w:rsid w:val="4CFF34A1"/>
    <w:rsid w:val="4D766F5A"/>
    <w:rsid w:val="4EFBE597"/>
    <w:rsid w:val="4FDDA1AE"/>
    <w:rsid w:val="4FFF7281"/>
    <w:rsid w:val="52FB5424"/>
    <w:rsid w:val="57F77FE1"/>
    <w:rsid w:val="57FF70E3"/>
    <w:rsid w:val="5BC720E8"/>
    <w:rsid w:val="5BF905B6"/>
    <w:rsid w:val="5D4F872E"/>
    <w:rsid w:val="5DFFF051"/>
    <w:rsid w:val="5E7729EB"/>
    <w:rsid w:val="5EADD878"/>
    <w:rsid w:val="5EFD9A87"/>
    <w:rsid w:val="5F3C1105"/>
    <w:rsid w:val="5FBD996C"/>
    <w:rsid w:val="5FCBCDCD"/>
    <w:rsid w:val="5FFBF8D2"/>
    <w:rsid w:val="5FFF202F"/>
    <w:rsid w:val="5FFF7F2E"/>
    <w:rsid w:val="63BB7B71"/>
    <w:rsid w:val="677DC8CC"/>
    <w:rsid w:val="677F4E49"/>
    <w:rsid w:val="679FE042"/>
    <w:rsid w:val="67CBD4A0"/>
    <w:rsid w:val="67F73B59"/>
    <w:rsid w:val="6AD95601"/>
    <w:rsid w:val="6BADA321"/>
    <w:rsid w:val="6F1F8590"/>
    <w:rsid w:val="6FAEEDAA"/>
    <w:rsid w:val="6FBF3FF6"/>
    <w:rsid w:val="6FDBCE42"/>
    <w:rsid w:val="6FFF9402"/>
    <w:rsid w:val="72024F0E"/>
    <w:rsid w:val="727D929A"/>
    <w:rsid w:val="75D9CC9C"/>
    <w:rsid w:val="75F94B8C"/>
    <w:rsid w:val="77F74210"/>
    <w:rsid w:val="77FEA720"/>
    <w:rsid w:val="77FFCA1A"/>
    <w:rsid w:val="782FAB82"/>
    <w:rsid w:val="791F3D8A"/>
    <w:rsid w:val="7A7F8CE4"/>
    <w:rsid w:val="7BBF7BD0"/>
    <w:rsid w:val="7BD30D77"/>
    <w:rsid w:val="7BDF8B9A"/>
    <w:rsid w:val="7CFD5CCC"/>
    <w:rsid w:val="7DD1A003"/>
    <w:rsid w:val="7F7B8D1F"/>
    <w:rsid w:val="7F95CE3B"/>
    <w:rsid w:val="7FAF6D5A"/>
    <w:rsid w:val="7FEF39C0"/>
    <w:rsid w:val="7FEFF274"/>
    <w:rsid w:val="7FF73128"/>
    <w:rsid w:val="7FF78B36"/>
    <w:rsid w:val="97EF1755"/>
    <w:rsid w:val="9DEAE05E"/>
    <w:rsid w:val="A6BFD02F"/>
    <w:rsid w:val="AC3E00F8"/>
    <w:rsid w:val="ADB5281E"/>
    <w:rsid w:val="AFFD6B80"/>
    <w:rsid w:val="B7AF33CF"/>
    <w:rsid w:val="B7B3401F"/>
    <w:rsid w:val="B8BFCE47"/>
    <w:rsid w:val="BABFAF97"/>
    <w:rsid w:val="BEFF06A3"/>
    <w:rsid w:val="BF67DD96"/>
    <w:rsid w:val="BF730B5E"/>
    <w:rsid w:val="BFEFE000"/>
    <w:rsid w:val="BFFD662A"/>
    <w:rsid w:val="C13F175B"/>
    <w:rsid w:val="C6FFB00A"/>
    <w:rsid w:val="CB1705CA"/>
    <w:rsid w:val="CF17E08F"/>
    <w:rsid w:val="CFFD8DA5"/>
    <w:rsid w:val="D1D7B43A"/>
    <w:rsid w:val="D2D6CBCD"/>
    <w:rsid w:val="D3894CAD"/>
    <w:rsid w:val="D7687DD9"/>
    <w:rsid w:val="D77FBD5B"/>
    <w:rsid w:val="D7E51A6E"/>
    <w:rsid w:val="D7E708BA"/>
    <w:rsid w:val="D7FA20CA"/>
    <w:rsid w:val="D9E6BB5E"/>
    <w:rsid w:val="D9F9582E"/>
    <w:rsid w:val="DB4B544E"/>
    <w:rsid w:val="DBBA3E11"/>
    <w:rsid w:val="DBFE6608"/>
    <w:rsid w:val="DCBEF4CB"/>
    <w:rsid w:val="DEFDF7E6"/>
    <w:rsid w:val="DF178236"/>
    <w:rsid w:val="DFAF2579"/>
    <w:rsid w:val="DFBF5F3B"/>
    <w:rsid w:val="DFDF42E4"/>
    <w:rsid w:val="DFED6736"/>
    <w:rsid w:val="E6ADBDDC"/>
    <w:rsid w:val="E72D1CF7"/>
    <w:rsid w:val="EAB2115E"/>
    <w:rsid w:val="ECFCE753"/>
    <w:rsid w:val="EDB71FBA"/>
    <w:rsid w:val="EE9CF9E6"/>
    <w:rsid w:val="EEFBDD14"/>
    <w:rsid w:val="EF3DEB08"/>
    <w:rsid w:val="EF9F499C"/>
    <w:rsid w:val="EFFD6309"/>
    <w:rsid w:val="F1FFA942"/>
    <w:rsid w:val="F3DD2EA6"/>
    <w:rsid w:val="F3E42B78"/>
    <w:rsid w:val="F6FB73E0"/>
    <w:rsid w:val="F77761CC"/>
    <w:rsid w:val="F9BF2AC0"/>
    <w:rsid w:val="F9FB3B3E"/>
    <w:rsid w:val="FAB630ED"/>
    <w:rsid w:val="FACDA4BE"/>
    <w:rsid w:val="FAFD9A76"/>
    <w:rsid w:val="FAFF83CD"/>
    <w:rsid w:val="FB7BBC49"/>
    <w:rsid w:val="FB859F4D"/>
    <w:rsid w:val="FBE48715"/>
    <w:rsid w:val="FBE7DA2E"/>
    <w:rsid w:val="FBFB1ABE"/>
    <w:rsid w:val="FBFE4C0D"/>
    <w:rsid w:val="FCBFD0F2"/>
    <w:rsid w:val="FCC34703"/>
    <w:rsid w:val="FD750B95"/>
    <w:rsid w:val="FDA2AE33"/>
    <w:rsid w:val="FDBD823D"/>
    <w:rsid w:val="FDEDAAC9"/>
    <w:rsid w:val="FDF97ADD"/>
    <w:rsid w:val="FDFD2B20"/>
    <w:rsid w:val="FDFD52CD"/>
    <w:rsid w:val="FE9E8C2F"/>
    <w:rsid w:val="FEBF8BB6"/>
    <w:rsid w:val="FECC1282"/>
    <w:rsid w:val="FEF608A7"/>
    <w:rsid w:val="FEFBB10B"/>
    <w:rsid w:val="FF3BA30E"/>
    <w:rsid w:val="FF45EDDC"/>
    <w:rsid w:val="FF5B1417"/>
    <w:rsid w:val="FF5EBDE1"/>
    <w:rsid w:val="FF762B0B"/>
    <w:rsid w:val="FF7EDBBE"/>
    <w:rsid w:val="FF7F31FF"/>
    <w:rsid w:val="FFD69EE2"/>
    <w:rsid w:val="FFD74925"/>
    <w:rsid w:val="FFEF06BD"/>
    <w:rsid w:val="FFEF1629"/>
    <w:rsid w:val="FFFDB728"/>
    <w:rsid w:val="FFFF010D"/>
    <w:rsid w:val="FFFF01C9"/>
    <w:rsid w:val="FFFF3159"/>
    <w:rsid w:val="FFFFC5DD"/>
    <w:rsid w:val="00222B4A"/>
    <w:rsid w:val="006606D0"/>
    <w:rsid w:val="009A53BA"/>
    <w:rsid w:val="00A1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41C4BA"/>
  <w15:chartTrackingRefBased/>
  <w15:docId w15:val="{E433B2CE-FAB9-44A9-BDD7-3581E792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rFonts w:ascii="Calibri" w:hAnsi="Calibri"/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chenkai</dc:creator>
  <cp:keywords/>
  <cp:lastModifiedBy>张文华</cp:lastModifiedBy>
  <cp:revision>2</cp:revision>
  <cp:lastPrinted>2025-09-10T14:32:00Z</cp:lastPrinted>
  <dcterms:created xsi:type="dcterms:W3CDTF">2026-04-18T01:34:00Z</dcterms:created>
  <dcterms:modified xsi:type="dcterms:W3CDTF">2026-04-18T01:34:00Z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39F4C80C7B7C431E993827E2F2B74624_13</vt:lpwstr>
  </property>
  <property fmtid="{D5CDD505-2E9C-101B-9397-08002B2CF9AE}" pid="4" name="hmcheck_markmode">
    <vt:r8>0</vt:r8>
  </property>
  <property fmtid="{D5CDD505-2E9C-101B-9397-08002B2CF9AE}" pid="5" name="hmcheck_taskpanetype">
    <vt:r8>1</vt:r8>
  </property>
  <property fmtid="{D5CDD505-2E9C-101B-9397-08002B2CF9AE}" pid="6" name="KSOTemplateDocerSaveRecord">
    <vt:lpwstr>eyJoZGlkIjoiMGY5YzExYzdiNzdjMzk1YTc1NjUwYWI4YjU4MzgyYjEiLCJ1c2VySWQiOiIzNjg3NDIyNzAifQ==</vt:lpwstr>
  </property>
</Properties>
</file>