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“河北高速光伏作为交通基础设施绿色化转型、建设国家级零碳重卡通道”的深入研究打下基础，以下几个核心必备的要素信息，这些要素共同构成了一个完整的“发-储-配-用”的新能源交通微电网生态：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z2mth47nv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一、 政策与战略支撑要素（顶层设计基座）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项目的合法性与战略高度是开展国家级示范通道的基础。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国家级政策导向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：项目高度契合国家多部委发布的《智能光伏产业创新发展行动计划（2021-2025年）》，致力于推动“智能光伏交通”及“光伏+交通”融合发展。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示范效应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：该项目旨在为促进交通与新能源融合发展提供可复制、可推广的经验，形成交能融合发展的新思路，具备极强的先进典型示范作用。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2rmotd5m7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二、 物理空间与资源要素（土地与场景基座）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不新增用地的集约化发展是交通基础设施绿色转型的关键。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土地零新增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：充分盘活高速公路带状土地资源，原则上不新增建设用地。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全场景覆盖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：建设场景深度嵌入高速公路全景，包括：收费站/服务区屋顶、光伏车棚、高速公路南侧边坡、闲置未利用的大型预留地、隧道出入口（山坡及中央分隔带）以及匝道互通区域。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特定路段考量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：针对重卡通行密集的上坡段、隧道口等容易产生尾气油污及橡胶颗粒积尘的区域，项目规划了智能清洗和分段监测的差异化运维方案，这直接响应了重卡通道的特殊环境需求。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5u0fkwc9k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三、 能源供给与调配要素（动力基座）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稳定、绿色的电力供应是零碳通道的源动力。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规模化绿色电力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：项目总体建设规模高达 </w:t>
      </w:r>
      <w:r w:rsidDel="00000000" w:rsidR="00000000" w:rsidRPr="00000000">
        <w:rPr>
          <w:b w:val="1"/>
          <w:bCs w:val="1"/>
          <w:rtl w:val="0"/>
        </w:rPr>
        <w:t xml:space="preserve">191MWp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，整体平均超发比例约4.3%，发电能力优异且稳健，为通道提供充足的绿电保障。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“光伏+储能”模式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：在关键节点（如要求24小时不间断供电的高速公路隧道内）配置储能系统，实现“峰谷套利”并解决消纳限制，提升供电稳定性。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就地消纳机制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：所发电能“自发自用，余电上网”，直接供应隧道照明、通风、收费站、服务区及充电桩等交通设施，实现了新能源与道路交通的友好适配。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xdux5g2ua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四、 终端应用设施要素（服务基座）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直接为新能源重卡及车辆提供补能服务的物理终端。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高速充电站网络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：项目规划在津石高速、太行山高速、新元高速、张石高速的收费站站口等区域，分批次建设充电设施将直接作为零碳通道的补能基站。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光伏车棚一体化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：在服务区建设光伏车棚，既能为电动汽车提供充电和照明，又能提供遮阳挡雨功能，实现设施的多功能复用。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aqohm2r1o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五、 数字化与柔性电网要素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重卡充电具有功率大、负荷冲击强的特点，需要强大的数字化平台进行调度。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虚拟电厂（VPP）建设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：项目拟通过信息技术和人工智能系统，统筹高速分布式光伏、分散式风电、储能、数据中心、充电桩及高速隧道等可控负荷，建设虚拟电厂。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协同优化与市场参与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：通过多种分布式资源的聚合和协同优化，提升系统灵活性。虚拟电厂不仅能够指导电力集控和调度，还能作为一个特殊的电力单元，参与电力市场（容量需求、辅助服务等）和碳市场交易。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n4af5i9xc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六、 光伏场站的具体场址与应用场景情况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项目在选址上做到了土地的极致利用，主要涵盖以下六大典型场址情况及各自的应用细节：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收费站及服务区房屋屋顶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情况说明：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主要铺设在服务区、收费站的混凝土屋面及彩钢瓦屋面上。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核心优势：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完全不额外占用土地资源，施工简单且成本较低，还能在夏季为房屋起到隔热降温的作用。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光伏车棚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情况说明：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在高速公路服务区停车场顶部安装光伏组件。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核心优势：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占地面积小，实现“一棚多用”，不仅为电动汽车充电和灯光照明提供电力，还能为停放车辆提供遮挡阳光及雨雪的服务。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高速公路边坡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情况说明：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重点利用高速公路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南侧边坡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铺设光伏组件。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用途细节：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所发电能主要用于电子标识标牌、收费龙门架、监控、通讯基站、警示灯及雾灯等公路沿线设施的用电需求,。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核心优势：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边坡资源在高速公路沿线相对丰富，具有面积广阔及连片的优势。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高速公路隧道出入口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情况说明：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选址在隧道出入口的山坡及中央分隔带范围内，以**“光伏+储能”**的组合方式建设。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用途细节：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直接用于满足高速公路隧道内照明、广播、监控、信号灯、通风机等设备的用电需求。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核心优势：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隧道要求24小时不间断供电，用电量大且需求稳定，是极佳的电能就地消纳场景。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收费站匝道互通区域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情况说明：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利用高速公路沿线控制区内匝道互通圈（即立交桥下的环形空地）建设分布式光伏。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核心优势：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该区域通常距离收费站较近且面积较大，有利于降低铺设集电线路的成本和日常运维成本。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闲置未利用地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情况说明：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涵盖偏远的丘陵、废弃服务区以及高速公路沿线控制区划拨的未利用大型预留地。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核心优势：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具备面积广阔且成片开发的优势。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5zseb2zce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七、 光伏场站的区域分布细节（分期建设情况）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项目总规模达191MWp，分为三期在河北省多条重要高速公路上进行矩阵式布局，具体分布细节如下：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tq7onur7r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一期项目（合计规模约 62.1MWp）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张石高速保定段（15.411MWp）：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分布于保定市的定兴县、涞水县、涞源县、满城区、曲阳县、顺平县、唐县、徐水区、易县、涿州市等域内。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津石高速一期（46.6873MWp）：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分布于邢台市（邢台管理中心）、沧州市（任丘市护坡）、廊坊市（大城县护坡、文安县护坡/互通圈/收费站）,。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还包括保定市的多个收费站（徐水、辛木、满城、曲阳、唐县等）及易县的多个隧道（云蒙山1-3号隧道、紫荆关2-4号隧道等）。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vz60ozkto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二期项目（合计规模约 45.67MWp）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太行山高速（3.20614MWp）：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主要分布于邢台市、邯郸市内的收费站屋顶、空地及护坡。具体包括任丘开发区收费站、梁召收费站等。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津石高速二期（42.463MWp）：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主要分布在保定市（高阳县护坡/互通圈、安国市护坡、定州市护坡）,。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向南延伸至邯郸市（武安西收费站/服务区、赵峪/岭底东/琅矿/北沟等隧道）及邢台市（沙河服务区、临城服务区、南会/牛峪南坪隧道）。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uvekwwz2u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三期项目（规模约 83.3MWp）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遵秦高速（83.29885MWp）：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集中分布于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唐山市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秦皇岛市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境内。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涉及区域包括：遵化（护坡）、迁西（护坡）、迁安（收费站、服务区、互通、护坡）、秦皇岛海港区（黄土岭/温泉堡隧道、管理分中心等）、卢龙县（护坡、收费站）、抚宁区（护坡）、山海关区（护坡、收费站）以及唐山段的多个隧道（挂云山、铁厂1-2号隧道等）,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