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_rels/document.xml.rels" ContentType="application/vnd.openxmlformats-package.relationship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Guardian TextEgyp" w:hAnsi="Guardian TextEgyp"/>
          <w:lang w:val="nl-BE"/>
        </w:rPr>
      </w:pPr>
      <w:r>
        <w:rPr>
          <w:rFonts w:ascii="Guardian TextEgyp" w:hAnsi="Guardian TextEgyp"/>
          <w:lang w:val="nl-BE"/>
        </w:rPr>
      </w:r>
    </w:p>
    <w:p>
      <w:pPr>
        <w:pStyle w:val="Normal"/>
        <w:rPr>
          <w:rFonts w:ascii="Guardian TextEgyp" w:hAnsi="Guardian TextEgyp"/>
        </w:rPr>
      </w:pPr>
      <w:r>
        <w:rPr>
          <w:rFonts w:ascii="Guardian TextEgyp" w:hAnsi="Guardian TextEgyp"/>
        </w:rPr>
      </w:r>
    </w:p>
    <w:p>
      <w:pPr>
        <w:pStyle w:val="Normal"/>
        <w:rPr>
          <w:rFonts w:ascii="Guardian TextEgyp" w:hAnsi="Guardian TextEgyp"/>
        </w:rPr>
      </w:pPr>
      <w:r>
        <w:rPr>
          <w:rFonts w:ascii="Guardian TextEgyp" w:hAnsi="Guardian TextEgyp"/>
          <w:lang w:val="nl-BE"/>
        </w:rPr>
        <w:t>Guinness is één van de bekendste bieren ter wereld. Minder bekend is dat Guinness winst en welzijn probeerde te verzoenen — drie eeuwen later toont het kapitalisme zelf wat voorrang krijgt.</w:t>
      </w:r>
    </w:p>
    <w:p>
      <w:pPr>
        <w:pStyle w:val="Normal"/>
        <w:rPr>
          <w:rFonts w:ascii="Guardian TextEgyp" w:hAnsi="Guardian TextEgyp"/>
          <w:lang w:val="nl-BE"/>
        </w:rPr>
      </w:pPr>
      <w:r>
        <w:rPr>
          <w:rFonts w:ascii="Guardian TextEgyp" w:hAnsi="Guardian TextEgyp"/>
          <w:lang w:val="nl-BE"/>
        </w:rPr>
      </w:r>
    </w:p>
    <w:p>
      <w:pPr>
        <w:pStyle w:val="Normal"/>
        <w:rPr>
          <w:rFonts w:ascii="Guardian TextEgyp" w:hAnsi="Guardian TextEgyp"/>
        </w:rPr>
      </w:pPr>
      <w:r>
        <w:rPr>
          <w:rFonts w:ascii="Guardian TextEgyp" w:hAnsi="Guardian TextEgyp"/>
          <w:b/>
          <w:bCs/>
          <w:lang w:val="nl-BE"/>
        </w:rPr>
        <w:t xml:space="preserve">Streamers: </w:t>
      </w:r>
    </w:p>
    <w:p>
      <w:pPr>
        <w:pStyle w:val="ListParagraph"/>
        <w:rPr>
          <w:rFonts w:ascii="Guardian TextEgyp" w:hAnsi="Guardian TextEgyp"/>
        </w:rPr>
      </w:pPr>
      <w:r>
        <w:rPr>
          <w:rFonts w:ascii="Guardian TextEgyp" w:hAnsi="Guardian TextEgyp"/>
          <w:lang w:val="nl-BE"/>
        </w:rPr>
        <w:t>Guinness bouwde een wereldberoemde brouwerij met een sociaal geweten — maar binnen de grenzen van het koloniale systeem.</w:t>
      </w:r>
    </w:p>
    <w:p>
      <w:pPr>
        <w:pStyle w:val="ListParagraph"/>
        <w:rPr>
          <w:rFonts w:ascii="Guardian TextEgyp" w:hAnsi="Guardian TextEgyp"/>
        </w:rPr>
      </w:pPr>
      <w:r>
        <w:rPr>
          <w:rFonts w:ascii="Guardian TextEgyp" w:hAnsi="Guardian TextEgyp"/>
          <w:lang w:val="nl-BE"/>
        </w:rPr>
        <w:t>Swift schreef tegen het systeem, Guinness werkte erin — satire werd verzet, filantropie werd strategie.</w:t>
      </w:r>
    </w:p>
    <w:p>
      <w:pPr>
        <w:pStyle w:val="ListParagraph"/>
        <w:rPr>
          <w:rFonts w:ascii="Guardian TextEgyp" w:hAnsi="Guardian TextEgyp"/>
        </w:rPr>
      </w:pPr>
      <w:r>
        <w:rPr>
          <w:rFonts w:ascii="Guardian TextEgyp" w:hAnsi="Guardian TextEgyp"/>
          <w:lang w:val="nl-BE"/>
        </w:rPr>
        <w:t xml:space="preserve">Zijn werkers genoten uitzonderlijke voordelen: huisvesting, gezondheidszorg en pensioenen </w:t>
      </w:r>
    </w:p>
    <w:p>
      <w:pPr>
        <w:pStyle w:val="ListParagraph"/>
        <w:rPr>
          <w:rFonts w:ascii="Guardian TextEgyp" w:hAnsi="Guardian TextEgyp"/>
        </w:rPr>
      </w:pPr>
      <w:r>
        <w:rPr>
          <w:rFonts w:ascii="Guardian TextEgyp" w:hAnsi="Guardian TextEgyp"/>
          <w:lang w:val="nl-BE"/>
        </w:rPr>
        <w:t>Filantropisch, maar ook berekend: gezonde en loyale werkers waren de motor van zijn succes.</w:t>
      </w:r>
    </w:p>
    <w:p>
      <w:pPr>
        <w:pStyle w:val="Normal"/>
        <w:rPr>
          <w:rFonts w:ascii="Guardian TextEgyp" w:hAnsi="Guardian TextEgyp"/>
          <w:b/>
          <w:bCs/>
          <w:lang w:val="nl-BE"/>
        </w:rPr>
      </w:pPr>
      <w:r>
        <w:rPr>
          <w:rFonts w:ascii="Guardian TextEgyp" w:hAnsi="Guardian TextEgyp"/>
          <w:b/>
          <w:bCs/>
          <w:lang w:val="nl-BE"/>
        </w:rPr>
      </w:r>
    </w:p>
    <w:p>
      <w:pPr>
        <w:pStyle w:val="Heading2"/>
        <w:rPr>
          <w:rFonts w:ascii="Guardian TextEgyp" w:hAnsi="Guardian TextEgyp"/>
        </w:rPr>
      </w:pPr>
      <w:r>
        <w:rPr>
          <w:rFonts w:ascii="Guardian TextEgyp" w:hAnsi="Guardian TextEgyp"/>
          <w:lang w:val="nl-BE"/>
        </w:rPr>
        <w:t>Arthur Guinness wordt 300</w:t>
      </w:r>
    </w:p>
    <w:p>
      <w:pPr>
        <w:pStyle w:val="TextBody"/>
        <w:rPr>
          <w:rFonts w:ascii="Guardian TextEgyp" w:hAnsi="Guardian TextEgyp"/>
        </w:rPr>
      </w:pPr>
      <w:r>
        <w:rPr>
          <w:rFonts w:ascii="Guardian TextEgyp" w:hAnsi="Guardian TextEgyp"/>
          <w:lang w:val="nl-BE"/>
        </w:rPr>
        <w:t>Leuk weetje: Guinness, het typische Ierse bier dat wereldwijd wordt geëxporteerd, ontstond begin 18</w:t>
      </w:r>
      <w:r>
        <w:rPr>
          <w:rFonts w:ascii="Guardian TextEgyp" w:hAnsi="Guardian TextEgyp"/>
          <w:vertAlign w:val="superscript"/>
          <w:lang w:val="nl-BE"/>
        </w:rPr>
        <w:t>e</w:t>
      </w:r>
      <w:r>
        <w:rPr>
          <w:rFonts w:ascii="Guardian TextEgyp" w:hAnsi="Guardian TextEgyp"/>
          <w:lang w:val="nl-BE"/>
        </w:rPr>
        <w:t xml:space="preserve"> eeuw in de Londense pubs van de werkende klasse. Dit donkere bier, bekend als porter, werd ontwikkeld als een betaalbaar, voedzaam en consistent alternatief voor de vaak op maat gemaakte mengsels die klanten gewend waren. De naam verwijst naar de enorme populariteit onder de Londense havenarbeiders en marktkramers. Porter, gebrouwen met geroosterde mout en extra hop, was duurzaam genoeg voor lange zeereizen, waardoor het een perfect handelsproduct was voor het Britse zeemachtimperium.</w:t>
      </w:r>
    </w:p>
    <w:p>
      <w:pPr>
        <w:pStyle w:val="TextBody"/>
        <w:rPr>
          <w:rFonts w:ascii="Guardian TextEgyp" w:hAnsi="Guardian TextEgyp"/>
        </w:rPr>
      </w:pPr>
      <w:r>
        <w:rPr>
          <w:rFonts w:ascii="Guardian TextEgyp" w:hAnsi="Guardian TextEgyp"/>
          <w:lang w:val="nl-BE"/>
        </w:rPr>
        <w:t>Wanneer dit populaire Londense importproduct Dublin bereikte, was het meteen een succes. Arthur Guinness kocht in 1759 een verlaten brouwerij aan St. James’s Gate. Hij was echter niet de eerste lokale porterbrouwer – Dubliners zoals James Farrell, onder leiding van de in Londen opgeleide brouwer John Purser, produceerden het al halverwege de jaren 1770. Guinness paste zich snel aan: hij begon met porter in 1778, stopte met ales in 1799, en vanaf de jaren 1820 brachten zijn opvolgers sterkere varianten zoals "stout porter" en later gewoon "stout" op de markt. In 1779 verzekerde hij zich van het lucratieve contract met Dublin Castle, waarmee de groei van zijn brouwerij gegarandeerd was. Zijn echte nalatenschap lag echter in het produceren van porter op grote schaal.</w:t>
      </w:r>
    </w:p>
    <w:p>
      <w:pPr>
        <w:pStyle w:val="TextBody"/>
        <w:rPr>
          <w:rFonts w:ascii="Guardian TextEgyp" w:hAnsi="Guardian TextEgyp"/>
        </w:rPr>
      </w:pPr>
      <w:r>
        <w:rPr>
          <w:rFonts w:ascii="Guardian TextEgyp" w:hAnsi="Guardian TextEgyp"/>
          <w:b/>
          <w:bCs/>
          <w:lang w:val="nl-BE"/>
        </w:rPr>
        <w:t xml:space="preserve">Guinness: protestante zakenman van Ierse komaf </w:t>
      </w:r>
    </w:p>
    <w:p>
      <w:pPr>
        <w:pStyle w:val="TextBody"/>
        <w:rPr>
          <w:rFonts w:ascii="Guardian TextEgyp" w:hAnsi="Guardian TextEgyp"/>
        </w:rPr>
      </w:pPr>
      <w:r>
        <w:rPr>
          <w:rFonts w:ascii="Guardian TextEgyp" w:hAnsi="Guardian TextEgyp"/>
          <w:lang w:val="nl-BE"/>
        </w:rPr>
        <w:t>Arthur Guinness (1725-1803) werd 300 jaar geleden geboren in Ierland, in een familie van Ierse afkomst die zich tot het protestantisme had bekeerd. Hoewel hij geen deel uitmaakte van de bevoorrechte elite, behoorde hij tot een middenklasse die via onderwijs, strategische huwelijken en zakelijk inzicht probeerde op te klimmen binnen de Britse koloniale samenleving. Hij identificeerde zich als een protestantse Ierse patriot – voorstander van katholieke emancipatie en loyaal aan Ierland – maar bleef een pragmatische zakenman die binnen het systeem werkte om succes te behalen.</w:t>
      </w:r>
    </w:p>
    <w:p>
      <w:pPr>
        <w:pStyle w:val="TextBody"/>
        <w:rPr>
          <w:rFonts w:ascii="Guardian TextEgyp" w:hAnsi="Guardian TextEgyp"/>
        </w:rPr>
      </w:pPr>
      <w:r>
        <w:rPr>
          <w:rFonts w:ascii="Guardian TextEgyp" w:hAnsi="Guardian TextEgyp"/>
          <w:lang w:val="nl-BE"/>
        </w:rPr>
        <w:t>Zijn leven speelde zich af tegen de achtergrond van het Strafwetboek, een uitgebreid systeem van onderdrukking ontworpen om koloniale controle af te dwingen, waarbij de katholieke meerderheid politiek machteloos, economisch gewurgd en sociaal vernederd werd. Wetten verhinderden dat katholieken mochten stemmen, waardevol eigendom bezitten, onderwijs volgen of hun geloof vrij belijden, waardoor ze tot ellendige lijfeigenen werden gereduceerd. Deze onderdrukking smeedde een veerkrachtige, ondergrondse Ierse identiteit, met clandestiene verzetsgroepen, cultuur en kennis die in het geheim werden bewaard door illegale, informele lagere scholen – de zogenaamde ‘hedge schools’ – en priesters.</w:t>
      </w:r>
      <w:r>
        <w:rPr>
          <w:rStyle w:val="EndnoteAnchor"/>
          <w:rFonts w:ascii="Guardian TextEgyp" w:hAnsi="Guardian TextEgyp"/>
          <w:lang w:val="nl-BE"/>
        </w:rPr>
        <w:endnoteReference w:id="2"/>
      </w:r>
    </w:p>
    <w:p>
      <w:pPr>
        <w:pStyle w:val="TextBody"/>
        <w:rPr>
          <w:rFonts w:ascii="Guardian TextEgyp" w:hAnsi="Guardian TextEgyp"/>
        </w:rPr>
      </w:pPr>
      <w:r>
        <w:rPr>
          <w:rFonts w:ascii="Guardian TextEgyp" w:hAnsi="Guardian TextEgyp"/>
          <w:lang w:val="nl-BE"/>
        </w:rPr>
        <w:t>De commerciële ambities van Guinness werden beperkt door het meedogenloze koloniale beleid van Engeland, dat Ierse productie, handel en industrie systematisch ontmantelde via gerichte wetgeving zoals de beruchte Wool Act. Welvarende Ierse exportproducten zoals wol, vee en industrieproducten werden opzettelijk in de kiem gesmoord om concurrentie uit te schakelen, waardoor de economie verlamd raakte en de Ieren gedwongen ondergeschikt werden gemaakt. Een corrupt en niet-representatief Iers parlement, gecontroleerd door een oligarchie van landeigenaren en Engelse beschermheren, diende slechts als instrument van de wil van Londen. Het resultaat was een economische structuur ontworpen om de overgrote meerderheid van de bevolking tot louter overleven te reduceren, waarbij pachters en arbeiders op een precair dieet van aardappelen overleefden, terwijl ze voedsel en grondstoffen voor export produceerden. Hongersnoden kwamen vaak voor. En zoals Jonathan Swift’s bittere ironie benadrukte, liet dit systeem de landheren het volk "verslinden", waardoor de natie voortdurend op de rand van hongerdood balanceerde.</w:t>
      </w:r>
    </w:p>
    <w:p>
      <w:pPr>
        <w:pStyle w:val="TextBody"/>
        <w:rPr>
          <w:rFonts w:ascii="Guardian TextEgyp" w:hAnsi="Guardian TextEgyp"/>
        </w:rPr>
      </w:pPr>
      <w:r>
        <w:rPr>
          <w:rFonts w:ascii="Guardian TextEgyp" w:hAnsi="Guardian TextEgyp"/>
          <w:b/>
          <w:bCs/>
          <w:lang w:val="nl-BE"/>
        </w:rPr>
        <w:t>Swift: de smid van de Ierse nationale identiteit</w:t>
      </w:r>
    </w:p>
    <w:p>
      <w:pPr>
        <w:pStyle w:val="TextBody"/>
        <w:rPr/>
      </w:pPr>
      <w:r>
        <w:rPr>
          <w:rFonts w:ascii="Guardian TextEgyp" w:hAnsi="Guardian TextEgyp"/>
          <w:lang w:val="nl-BE"/>
        </w:rPr>
        <w:t xml:space="preserve">Jonathan Swift, een sleutelfiguur van de Verlichting, gebruikte rede en satire om het koloniale systeem als kannibalistisch aan de kaak te stellen – het bekendst in </w:t>
      </w:r>
      <w:r>
        <w:rPr>
          <w:rStyle w:val="Emphasis"/>
          <w:rFonts w:ascii="Guardian TextEgyp" w:hAnsi="Guardian TextEgyp"/>
          <w:lang w:val="nl-BE"/>
        </w:rPr>
        <w:t>A Modest Proposal</w:t>
      </w:r>
      <w:r>
        <w:rPr>
          <w:rFonts w:ascii="Guardian TextEgyp" w:hAnsi="Guardian TextEgyp"/>
          <w:lang w:val="nl-BE"/>
        </w:rPr>
        <w:t xml:space="preserve"> (1729) – en verdedigde de noodzaak van een inheemse Ierse economie in werken als </w:t>
      </w:r>
      <w:r>
        <w:rPr>
          <w:rStyle w:val="Emphasis"/>
          <w:rFonts w:ascii="Guardian TextEgyp" w:hAnsi="Guardian TextEgyp"/>
          <w:lang w:val="nl-BE"/>
        </w:rPr>
        <w:t>The Drapier's Letters</w:t>
      </w:r>
      <w:r>
        <w:rPr>
          <w:rFonts w:ascii="Guardian TextEgyp" w:hAnsi="Guardian TextEgyp"/>
          <w:lang w:val="nl-BE"/>
        </w:rPr>
        <w:t xml:space="preserve"> (1724-25, met de beroemdste vierde brief:</w:t>
      </w:r>
      <w:r>
        <w:rPr>
          <w:rStyle w:val="Emphasis"/>
          <w:rFonts w:ascii="Guardian TextEgyp" w:hAnsi="Guardian TextEgyp"/>
          <w:lang w:val="nl-BE"/>
        </w:rPr>
        <w:t xml:space="preserve"> A Letter to the Whole People of Ireland</w:t>
      </w:r>
      <w:r>
        <w:rPr>
          <w:rFonts w:ascii="Guardian TextEgyp" w:hAnsi="Guardian TextEgyp"/>
          <w:lang w:val="nl-BE"/>
        </w:rPr>
        <w:t xml:space="preserve">). Schrijvend onder het pseudoniem van een eenvoudige winkelier, creëerde hij een herkenbare nationale held die de publieke opinie mobiliseerde tegen uitbuitende maatregelen, zoals de inferieure koperen munt van William Wood. Zo droeg Swift bij aan het smeden van een nationale Ierse identiteit die klasse- en sektarische grenzen overschreed, en een "heel volk van Ierland" opriep om zich te verenigen tegen een gemeenschappelijke onderdrukker. In </w:t>
      </w:r>
      <w:r>
        <w:rPr>
          <w:rStyle w:val="Emphasis"/>
          <w:rFonts w:ascii="Guardian TextEgyp" w:hAnsi="Guardian TextEgyp"/>
          <w:lang w:val="nl-BE"/>
        </w:rPr>
        <w:t>Gulliver's Travels</w:t>
      </w:r>
      <w:r>
        <w:rPr>
          <w:rFonts w:ascii="Guardian TextEgyp" w:hAnsi="Guardian TextEgyp"/>
          <w:lang w:val="nl-BE"/>
        </w:rPr>
        <w:t xml:space="preserve"> (1725) anticipeerde hij zelfs op een succesvolle Ierse revolutie – zeventig jaar vóór de United Irishmen!</w:t>
      </w:r>
    </w:p>
    <w:p>
      <w:pPr>
        <w:pStyle w:val="TextBody"/>
        <w:rPr>
          <w:rFonts w:ascii="Guardian TextEgyp" w:hAnsi="Guardian TextEgyp"/>
        </w:rPr>
      </w:pPr>
      <w:r>
        <w:rPr>
          <w:rFonts w:ascii="Guardian TextEgyp" w:hAnsi="Guardian TextEgyp"/>
          <w:b/>
          <w:bCs/>
          <w:lang w:val="nl-BE"/>
        </w:rPr>
        <w:t>Filantropie met verlicht eigenbelang</w:t>
      </w:r>
    </w:p>
    <w:p>
      <w:pPr>
        <w:pStyle w:val="TextBody"/>
        <w:rPr>
          <w:rFonts w:ascii="Guardian TextEgyp" w:hAnsi="Guardian TextEgyp"/>
        </w:rPr>
      </w:pPr>
      <w:r>
        <w:rPr>
          <w:rFonts w:ascii="Guardian TextEgyp" w:hAnsi="Guardian TextEgyp"/>
          <w:lang w:val="nl-BE"/>
        </w:rPr>
        <w:t>Zowel Swift als Guinness maakten deel uit van het protestantse establishment, maar hun aanpak verschilde aanzienlijk. Swift trad op als het kritische geweten dat zich verzette tegen de koloniale overheersing, terwijl Guinness de rol van  welwillende patriarch vervulde. Zijn filantropie – het verlenen van gezondheidszorg, het ondersteunen van ziekenhuizen zoals het Meath Hospital, het mede oprichten van Ierlands eerste zondagschool en, in latere generaties, het aanbieden van pensioenen en huisvesting – was zowel oprecht in zorg als pragmatisch in uitvoering. Gezonde en loyale werkers waren immers productieve werkers. Waar Swift de elite berispte omdat zij Ierland bewust verwaarloosden, bood Guinness een model van paternalistische zorg binnen het bestaande systeem, met privé-oplossingen voor publieke problemen, zonder de onderliggende ongelijkheden aan te pakken.</w:t>
      </w:r>
    </w:p>
    <w:p>
      <w:pPr>
        <w:pStyle w:val="TextBody"/>
        <w:rPr>
          <w:rFonts w:ascii="Guardian TextEgyp" w:hAnsi="Guardian TextEgyp"/>
        </w:rPr>
      </w:pPr>
      <w:r>
        <w:rPr>
          <w:rFonts w:ascii="Guardian TextEgyp" w:hAnsi="Guardian TextEgyp"/>
          <w:lang w:val="nl-BE"/>
        </w:rPr>
        <w:t>Guinness was een pragmatische patriot. Hij verzette zich tegen de Strafwetten, steunde vrijere handel en pleitte in de jaren 1780 al voor wetgevende onafhankelijkheid van het Ierse parlement. Als lid van de "Kildare Knot", een provinciale afdeling van de grotere Orde van de Vriendelijke Broeders van St. Patrick, die zichzelf sierde met groene linten en Ierse emblemen, identificeerde hij zich duidelijk als Ier. Tegelijk gebruikt hij netwerken, raadlidmaatschap en invloed binnen het systeem – voor hervorming, niet voor revolutie. Hij steunde de epische opstand van de United Irishmen in 1798 niet; zijn visie bleef gericht op geleidelijke hervorming van het kiesstelsel. Zo profiteerde hij van het systeem dat de klachten achter de opstand veroorzaakte, waardoor zijn progressieve idealen eerder sentimenten dan katalysatoren voor verandering bleven.</w:t>
      </w:r>
    </w:p>
    <w:p>
      <w:pPr>
        <w:pStyle w:val="TextBody"/>
        <w:rPr>
          <w:rFonts w:ascii="Guardian TextEgyp" w:hAnsi="Guardian TextEgyp"/>
        </w:rPr>
      </w:pPr>
      <w:r>
        <w:rPr>
          <w:rFonts w:ascii="Guardian TextEgyp" w:hAnsi="Guardian TextEgyp"/>
          <w:lang w:val="nl-BE"/>
        </w:rPr>
        <w:t>Zijn filantropie was geworteld in het protestantse ethos van "goede werken". Hij gaf aanzienlijke leningen aan liefdadigheidsinstellingen, weigerde terugbetaling en diende tientallen jaren als onbetaald penningmeester van het Meath Hospital. Abonnees van het ziekenhuis konden patiënten voor behandeling aanmelden, een praktijk waar zijn personeel baat bij had en die de basis legde voor de latere formele klinieken van de brouwerij. Deze aanpak combineerde liefdadigheid met verlicht eigenbelang, versterkte goodwill en sociaal aanzien, en adresseerde tegelijkertijd de echte noden  binnen de beperkingen van de tijd.</w:t>
      </w:r>
    </w:p>
    <w:p>
      <w:pPr>
        <w:pStyle w:val="TextBody"/>
        <w:rPr>
          <w:rFonts w:ascii="Guardian TextEgyp" w:hAnsi="Guardian TextEgyp"/>
        </w:rPr>
      </w:pPr>
      <w:r>
        <w:rPr>
          <w:rFonts w:ascii="Guardian TextEgyp" w:hAnsi="Guardian TextEgyp"/>
          <w:b/>
          <w:bCs/>
          <w:lang w:val="nl-BE"/>
        </w:rPr>
        <w:t>Van filantropie naar aandeelhouderslogica</w:t>
      </w:r>
    </w:p>
    <w:p>
      <w:pPr>
        <w:pStyle w:val="TextBody"/>
        <w:rPr>
          <w:rFonts w:ascii="Guardian TextEgyp" w:hAnsi="Guardian TextEgyp"/>
        </w:rPr>
      </w:pPr>
      <w:r>
        <w:rPr>
          <w:rFonts w:ascii="Guardian TextEgyp" w:hAnsi="Guardian TextEgyp"/>
          <w:lang w:val="nl-BE"/>
        </w:rPr>
        <w:t>Het nalatenschap van Arthur Guinness is dus dubbel: hij was een product van het koloniale systeem, wiens daden enkele hardheden verzachten, maar desondanks uiteindelijk de structuren in stand hield.</w:t>
      </w:r>
    </w:p>
    <w:p>
      <w:pPr>
        <w:pStyle w:val="TextBody"/>
        <w:rPr>
          <w:rFonts w:ascii="Guardian TextEgyp" w:hAnsi="Guardian TextEgyp"/>
        </w:rPr>
      </w:pPr>
      <w:r>
        <w:rPr>
          <w:rFonts w:ascii="Guardian TextEgyp" w:hAnsi="Guardian TextEgyp"/>
          <w:lang w:val="nl-BE"/>
        </w:rPr>
        <w:t>Schokkend feit: tussen 1799 tot 1939 was Guinness de grootste particuliere werkgever van Ierland. Tegenwoordig is het merk echter eigendom van Diageo, een Britse multinational ontstaan in 1997 door de fusie van Guinness plc en Grand Metropolitan. Tijdens dit proces werden de eens zo geroemde voorzieningen voor de werknemers –  huisvesting, gezondheidszorg, pensioenen - tegen het eind van de 20</w:t>
      </w:r>
      <w:r>
        <w:rPr>
          <w:rFonts w:ascii="Guardian TextEgyp" w:hAnsi="Guardian TextEgyp"/>
          <w:vertAlign w:val="superscript"/>
          <w:lang w:val="nl-BE"/>
        </w:rPr>
        <w:t>e</w:t>
      </w:r>
      <w:r>
        <w:rPr>
          <w:rFonts w:ascii="Guardian TextEgyp" w:hAnsi="Guardian TextEgyp"/>
          <w:lang w:val="nl-BE"/>
        </w:rPr>
        <w:t xml:space="preserve"> eeuw geleidelijk afgeschaft. Sindsdien staat Diageo bekend om kostenbesparingen, brouwerijsluitingen en banenverlies. Het bedrijf zat zelfs in het bestuur van de American Legislative Exchange Council (ALEC), waar het mee hielp aan bedrijfsvriendelijke belasting- en aansprakelijkheidswetten, totdat het in 2018 onder publieke druk opstapte. Wat ooit een paternalistische brouwerij in het hart van Dublin was, is nu een multinational die prioriteit geeft aan aandeelhouders boven de belangen van de werkende klasse.</w:t>
      </w:r>
    </w:p>
    <w:p>
      <w:pPr>
        <w:pStyle w:val="TextBody"/>
        <w:rPr/>
      </w:pPr>
      <w:hyperlink r:id="rId2">
        <w:r>
          <w:rPr>
            <w:rFonts w:ascii="Guardian TextEgyp" w:hAnsi="Guardian TextEgyp"/>
            <w:lang w:val="nl-BE"/>
          </w:rPr>
          <w:t>Dit artikel verscheen oorspronkelijk op Culture Matters: https://www.culturematters.org.uk/arthur-guinness-turns-300/</w:t>
        </w:r>
      </w:hyperlink>
    </w:p>
    <w:p>
      <w:pPr>
        <w:pStyle w:val="Normal"/>
        <w:rPr>
          <w:rFonts w:ascii="Guardian TextEgyp" w:hAnsi="Guardian TextEgyp" w:eastAsia="Times New Roman"/>
          <w:lang w:val="nl-BE"/>
        </w:rPr>
      </w:pPr>
      <w:r>
        <w:rPr>
          <w:rFonts w:eastAsia="Times New Roman" w:ascii="Guardian TextEgyp" w:hAnsi="Guardian TextEgyp"/>
          <w:lang w:val="nl-BE"/>
        </w:rPr>
      </w:r>
    </w:p>
    <w:p>
      <w:pPr>
        <w:pStyle w:val="Normal"/>
        <w:rPr>
          <w:rFonts w:ascii="Guardian TextEgyp" w:hAnsi="Guardian TextEgyp"/>
          <w:lang w:val="nl-BE"/>
        </w:rPr>
      </w:pPr>
      <w:r>
        <w:rPr>
          <w:rFonts w:ascii="Guardian TextEgyp" w:hAnsi="Guardian TextEgyp"/>
          <w:lang w:val="nl-BE"/>
        </w:rPr>
      </w:r>
    </w:p>
    <w:sectPr>
      <w:endnotePr>
        <w:numFmt w:val="lowerRoman"/>
      </w:endnotePr>
      <w:type w:val="nextPage"/>
      <w:pgSz w:w="11906" w:h="16838"/>
      <w:pgMar w:left="1134" w:right="1134" w:gutter="0" w:header="0" w:top="1134" w:footer="0" w:bottom="1134"/>
      <w:pgNumType w:fmt="decimal"/>
      <w:formProt w:val="false"/>
      <w:textDirection w:val="lrTb"/>
      <w:docGrid w:type="default" w:linePitch="100"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ListParagraph"/>
        <w:numPr>
          <w:ilvl w:val="0"/>
          <w:numId w:val="1"/>
        </w:numPr>
        <w:rPr>
          <w:rFonts w:ascii="Guardian TextEgyp" w:hAnsi="Guardian TextEgyp"/>
        </w:rPr>
      </w:pPr>
      <w:r>
        <w:rPr>
          <w:rStyle w:val="EndnoteCharacters"/>
        </w:rPr>
        <w:endnoteRef/>
      </w:r>
      <w:r>
        <w:rPr>
          <w:rFonts w:ascii="Guardian TextEgyp" w:hAnsi="Guardian TextEgyp"/>
          <w:lang w:val="en-GB"/>
        </w:rPr>
        <w:t xml:space="preserve">Tony Lyons, “‘Inciting the lawless and profligate adventure’—the hedge schools of Ireland”, History Ireland, 2016. </w:t>
      </w:r>
      <w:r>
        <w:rPr>
          <w:rFonts w:ascii="Guardian TextEgyp" w:hAnsi="Guardian TextEgyp"/>
          <w:lang w:val="nl-BE"/>
        </w:rPr>
        <w:t>Zie: https://historyireland.com/inciting-lawless-profligate-adventure-hedge-schools-ireland/</w:t>
      </w:r>
    </w:p>
  </w:endnote>
</w:endnote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 w:name="Times New Roman">
    <w:charset w:val="01"/>
    <w:family w:val="roman"/>
    <w:pitch w:val="variable"/>
  </w:font>
  <w:font w:name="Guardian TextEgyp">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709"/>
  <w:autoHyphenation w:val="true"/>
  <w:endnotePr>
    <w:numFmt w:val="lowerRoman"/>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B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fr-BE"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fr-BE" w:eastAsia="zh-CN" w:bidi="hi-IN"/>
    </w:rPr>
  </w:style>
  <w:style w:type="paragraph" w:styleId="Heading2">
    <w:name w:val="Heading 2"/>
    <w:basedOn w:val="Heading"/>
    <w:next w:val="TextBody"/>
    <w:uiPriority w:val="9"/>
    <w:unhideWhenUsed/>
    <w:qFormat/>
    <w:pPr>
      <w:spacing w:before="200" w:after="120"/>
      <w:outlineLvl w:val="1"/>
    </w:pPr>
    <w:rPr>
      <w:rFonts w:ascii="Liberation Serif" w:hAnsi="Liberation Serif" w:eastAsia="Songti SC"/>
      <w:b/>
      <w:bCs/>
      <w:sz w:val="36"/>
      <w:szCs w:val="36"/>
    </w:rPr>
  </w:style>
  <w:style w:type="character" w:styleId="DefaultParagraphFont" w:default="1">
    <w:name w:val="Default Paragraph Font"/>
    <w:uiPriority w:val="1"/>
    <w:semiHidden/>
    <w:unhideWhenUsed/>
    <w:qFormat/>
    <w:rPr/>
  </w:style>
  <w:style w:type="character" w:styleId="Emphasis">
    <w:name w:val="Emphasis"/>
    <w:qFormat/>
    <w:rPr>
      <w:i/>
      <w:iCs/>
    </w:rPr>
  </w:style>
  <w:style w:type="character" w:styleId="InternetLink">
    <w:name w:val="Hyperlink"/>
    <w:rPr>
      <w:color w:val="000080"/>
      <w:u w:val="single"/>
    </w:rPr>
  </w:style>
  <w:style w:type="character" w:styleId="Annotationreference">
    <w:name w:val="annotation reference"/>
    <w:basedOn w:val="DefaultParagraphFont"/>
    <w:uiPriority w:val="99"/>
    <w:semiHidden/>
    <w:unhideWhenUsed/>
    <w:qFormat/>
    <w:rsid w:val="00b11050"/>
    <w:rPr>
      <w:sz w:val="16"/>
      <w:szCs w:val="16"/>
    </w:rPr>
  </w:style>
  <w:style w:type="character" w:styleId="CommentTextChar" w:customStyle="1">
    <w:name w:val="Comment Text Char"/>
    <w:basedOn w:val="DefaultParagraphFont"/>
    <w:link w:val="Annotationtext"/>
    <w:uiPriority w:val="99"/>
    <w:qFormat/>
    <w:rsid w:val="00b11050"/>
    <w:rPr>
      <w:rFonts w:cs="Mangal"/>
      <w:sz w:val="20"/>
      <w:szCs w:val="18"/>
    </w:rPr>
  </w:style>
  <w:style w:type="character" w:styleId="CommentSubjectChar" w:customStyle="1">
    <w:name w:val="Comment Subject Char"/>
    <w:basedOn w:val="CommentTextChar"/>
    <w:link w:val="Annotationsubject"/>
    <w:uiPriority w:val="99"/>
    <w:semiHidden/>
    <w:qFormat/>
    <w:rsid w:val="00b11050"/>
    <w:rPr>
      <w:rFonts w:cs="Mangal"/>
      <w:b/>
      <w:bCs/>
      <w:sz w:val="20"/>
      <w:szCs w:val="18"/>
    </w:rPr>
  </w:style>
  <w:style w:type="character" w:styleId="EndnoteTextChar" w:customStyle="1">
    <w:name w:val="Endnote Text Char"/>
    <w:basedOn w:val="DefaultParagraphFont"/>
    <w:link w:val="Endnote"/>
    <w:uiPriority w:val="99"/>
    <w:semiHidden/>
    <w:qFormat/>
    <w:rsid w:val="00ef762c"/>
    <w:rPr>
      <w:rFonts w:cs="Mangal"/>
      <w:sz w:val="20"/>
      <w:szCs w:val="18"/>
    </w:rPr>
  </w:style>
  <w:style w:type="character" w:styleId="EndnoteCharacters">
    <w:name w:val="Endnote Characters"/>
    <w:uiPriority w:val="99"/>
    <w:semiHidden/>
    <w:unhideWhenUsed/>
    <w:qFormat/>
    <w:rsid w:val="00ef762c"/>
    <w:rPr>
      <w:vertAlign w:val="superscript"/>
    </w:rPr>
  </w:style>
  <w:style w:type="character" w:styleId="EndnoteAnchor">
    <w:name w:val="Endnote Reference"/>
    <w:rPr>
      <w:vertAlign w:val="superscript"/>
    </w:rPr>
  </w:style>
  <w:style w:type="character" w:styleId="UnresolvedMention">
    <w:name w:val="Unresolved Mention"/>
    <w:basedOn w:val="DefaultParagraphFont"/>
    <w:uiPriority w:val="99"/>
    <w:semiHidden/>
    <w:unhideWhenUsed/>
    <w:qFormat/>
    <w:rsid w:val="007e0bbe"/>
    <w:rPr>
      <w:color w:val="605E5C"/>
      <w:shd w:fill="E1DFDD" w:val="clear"/>
    </w:rPr>
  </w:style>
  <w:style w:type="character" w:styleId="BodyTextChar" w:customStyle="1">
    <w:name w:val="Body Text Char"/>
    <w:basedOn w:val="DefaultParagraphFont"/>
    <w:qFormat/>
    <w:rsid w:val="002f7a6b"/>
    <w:rPr/>
  </w:style>
  <w:style w:type="character" w:styleId="LineNumbering">
    <w:name w:val="Line Number"/>
    <w:rPr/>
  </w:style>
  <w:style w:type="character" w:styleId="FootnoteAnchor">
    <w:name w:val="Footnote Reference"/>
    <w:rPr>
      <w:vertAlign w:val="superscript"/>
    </w:rPr>
  </w:style>
  <w:style w:type="character" w:styleId="FootnoteCharacters">
    <w:name w:val="Footnote Characters"/>
    <w:qFormat/>
    <w:rPr/>
  </w:style>
  <w:style w:type="paragraph" w:styleId="Heading" w:customStyle="1">
    <w:name w:val="Heading"/>
    <w:basedOn w:val="Normal"/>
    <w:next w:val="TextBody"/>
    <w:qFormat/>
    <w:pPr>
      <w:keepNext w:val="true"/>
      <w:spacing w:before="240" w:after="120"/>
    </w:pPr>
    <w:rPr>
      <w:rFonts w:ascii="Liberation Sans" w:hAnsi="Liberation Sans" w:eastAsia="PingFang SC"/>
      <w:sz w:val="28"/>
      <w:szCs w:val="28"/>
    </w:rPr>
  </w:style>
  <w:style w:type="paragraph" w:styleId="TextBody">
    <w:name w:val="Body Text"/>
    <w:basedOn w:val="Normal"/>
    <w:link w:val="BodyTextChar"/>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ListParagraph">
    <w:name w:val="List Paragraph"/>
    <w:basedOn w:val="Normal"/>
    <w:uiPriority w:val="34"/>
    <w:qFormat/>
    <w:rsid w:val="00a51893"/>
    <w:pPr>
      <w:spacing w:before="0" w:after="0"/>
      <w:ind w:left="720" w:hanging="0"/>
      <w:contextualSpacing/>
    </w:pPr>
    <w:rPr>
      <w:rFonts w:cs="Mangal"/>
      <w:szCs w:val="21"/>
    </w:rPr>
  </w:style>
  <w:style w:type="paragraph" w:styleId="Annotationtext">
    <w:name w:val="annotation text"/>
    <w:basedOn w:val="Normal"/>
    <w:link w:val="CommentTextChar"/>
    <w:uiPriority w:val="99"/>
    <w:unhideWhenUsed/>
    <w:qFormat/>
    <w:rsid w:val="00b11050"/>
    <w:pPr/>
    <w:rPr>
      <w:rFonts w:cs="Mangal"/>
      <w:sz w:val="20"/>
      <w:szCs w:val="18"/>
    </w:rPr>
  </w:style>
  <w:style w:type="paragraph" w:styleId="Annotationsubject">
    <w:name w:val="annotation subject"/>
    <w:basedOn w:val="Annotationtext"/>
    <w:next w:val="Annotationtext"/>
    <w:link w:val="CommentSubjectChar"/>
    <w:uiPriority w:val="99"/>
    <w:semiHidden/>
    <w:unhideWhenUsed/>
    <w:qFormat/>
    <w:rsid w:val="00b11050"/>
    <w:pPr/>
    <w:rPr>
      <w:b/>
      <w:bCs/>
    </w:rPr>
  </w:style>
  <w:style w:type="paragraph" w:styleId="Revision">
    <w:name w:val="Revision"/>
    <w:uiPriority w:val="99"/>
    <w:semiHidden/>
    <w:qFormat/>
    <w:rsid w:val="0071710b"/>
    <w:pPr>
      <w:widowControl/>
      <w:suppressAutoHyphens w:val="false"/>
      <w:bidi w:val="0"/>
      <w:spacing w:before="0" w:after="0"/>
      <w:jc w:val="left"/>
    </w:pPr>
    <w:rPr>
      <w:rFonts w:ascii="Liberation Serif" w:hAnsi="Liberation Serif" w:eastAsia="Songti SC" w:cs="Mangal"/>
      <w:color w:val="auto"/>
      <w:kern w:val="2"/>
      <w:sz w:val="24"/>
      <w:szCs w:val="21"/>
      <w:lang w:val="fr-BE" w:eastAsia="zh-CN" w:bidi="hi-IN"/>
    </w:rPr>
  </w:style>
  <w:style w:type="paragraph" w:styleId="Endnote">
    <w:name w:val="Endnote Text"/>
    <w:basedOn w:val="Normal"/>
    <w:link w:val="EndnoteTextChar"/>
    <w:uiPriority w:val="99"/>
    <w:semiHidden/>
    <w:unhideWhenUsed/>
    <w:rsid w:val="00ef762c"/>
    <w:pPr/>
    <w:rPr>
      <w:rFonts w:cs="Mangal"/>
      <w:sz w:val="20"/>
      <w:szCs w:val="18"/>
    </w:rPr>
  </w:style>
  <w:style w:type="paragraph" w:styleId="Bibliography">
    <w:name w:val="Bibliography"/>
    <w:basedOn w:val="Normal"/>
    <w:next w:val="Normal"/>
    <w:uiPriority w:val="37"/>
    <w:unhideWhenUsed/>
    <w:qFormat/>
    <w:rsid w:val="009d264f"/>
    <w:pPr/>
    <w:rPr>
      <w:rFonts w:cs="Mangal"/>
      <w:szCs w:val="21"/>
    </w:rPr>
  </w:style>
  <w:style w:type="paragraph" w:styleId="NormalWeb">
    <w:name w:val="Normal (Web)"/>
    <w:basedOn w:val="Normal"/>
    <w:uiPriority w:val="99"/>
    <w:semiHidden/>
    <w:unhideWhenUsed/>
    <w:qFormat/>
    <w:rsid w:val="009007e9"/>
    <w:pPr>
      <w:suppressAutoHyphens w:val="false"/>
      <w:spacing w:beforeAutospacing="1" w:afterAutospacing="1"/>
    </w:pPr>
    <w:rPr>
      <w:rFonts w:ascii="Times New Roman" w:hAnsi="Times New Roman" w:eastAsia="Times New Roman" w:cs="Times New Roman"/>
      <w:kern w:val="0"/>
      <w:lang w:val="en-BE" w:eastAsia="en-BE"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ulturematters.org.uk/arthur-guinness-turns-300/" TargetMode="External"/><Relationship Id="rId3" Type="http://schemas.openxmlformats.org/officeDocument/2006/relationships/endnotes" Target="end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Ton13</b:Tag>
    <b:SourceType>InternetSite</b:SourceType>
    <b:Guid>{626D128E-FD4C-44D2-A602-B025F5A32DC6}</b:Guid>
    <b:Title>‘Inciting the lawless and profligate adventure’—the hedge schools of Ireland</b:Title>
    <b:Year>2013</b:Year>
    <b:Author>
      <b:Author>
        <b:NameList>
          <b:Person>
            <b:Last>Lyons</b:Last>
            <b:First>Tony</b:First>
          </b:Person>
        </b:NameList>
      </b:Author>
    </b:Author>
    <b:InternetSiteTitle>History Ireland</b:InternetSiteTitle>
    <b:Month>November/December</b:Month>
    <b:URL>https://historyireland.com/inciting-lawless-profligate-adventure-hedge-schools-ireland/</b:URL>
    <b:RefOrder>1</b:RefOrder>
  </b:Source>
</b:Sources>
</file>

<file path=customXml/itemProps1.xml><?xml version="1.0" encoding="utf-8"?>
<ds:datastoreItem xmlns:ds="http://schemas.openxmlformats.org/officeDocument/2006/customXml" ds:itemID="{98A45FE8-D0A7-4BC8-AD7E-14E405290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LibreOffice/7.5.9.2$MacOSX_AARCH64 LibreOffice_project/cdeefe45c17511d326101eed8008ac4092f278a9</Application>
  <AppVersion>15.0000</AppVersion>
  <Pages>5</Pages>
  <Words>1295</Words>
  <Characters>7984</Characters>
  <CharactersWithSpaces>9274</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2025-10-05T15:32:00Z</dcterms:created>
  <dc:creator>Jairo Jamba</dc:creator>
  <dc:description/>
  <dc:language>fr-BE</dc:language>
  <cp:lastModifiedBy/>
  <dcterms:modified xsi:type="dcterms:W3CDTF">2025-11-27T17:53:56Z</dcterms:modified>
  <cp:revision>228</cp:revision>
  <dc:subject/>
  <dc:title/>
</cp:coreProperties>
</file>

<file path=docProps/custom.xml><?xml version="1.0" encoding="utf-8"?>
<Properties xmlns="http://schemas.openxmlformats.org/officeDocument/2006/custom-properties" xmlns:vt="http://schemas.openxmlformats.org/officeDocument/2006/docPropsVTypes"/>
</file>