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9"/>
          <w:sz w:val="40"/>
          <w:szCs w:val="40"/>
        </w:rPr>
        <w:t xml:space="preserve">Comprehensive Pipeline Analysis Protocol</w:t>
      </w:r>
    </w:p>
    <w:p>
      <w:pPr>
        <w:spacing w:after="60"/>
      </w:pPr>
      <w:r>
        <w:rPr>
          <w:color w:val="2E75B6"/>
          <w:sz w:val="28"/>
          <w:szCs w:val="28"/>
        </w:rPr>
        <w:t xml:space="preserve">De Novo, Mosaic and Somatic Mutation Analysis from Trio WGS / WES Sequencing Data</w:t>
      </w:r>
    </w:p>
    <w:p>
      <w:pPr>
        <w:spacing w:after="240"/>
      </w:pPr>
      <w:r>
        <w:rPr>
          <w:color w:val="555555"/>
          <w:sz w:val="22"/>
          <w:szCs w:val="22"/>
        </w:rPr>
        <w:t xml:space="preserve">Version 2.0  ·  Standard Operating Procedure  ·  supersedes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Field</w:t>
            </w:r>
          </w:p>
        </w:tc>
        <w:tc>
          <w:tcPr>
            <w:tcW w:type="dxa" w:w="69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Value</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Scope</w:t>
            </w:r>
          </w:p>
        </w:tc>
        <w:tc>
          <w:tcPr>
            <w:tcW w:type="dxa" w:w="6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Germline DNMs, post-zygotic and parental mosaicism, functional annotation and provisional ACMG/AMP classification, and somatic mutation analysis (tumour or affected tissue vs blood; clonal haematopoiesis screen) for WGS, WES and large panels</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Inputs supported</w:t>
            </w:r>
          </w:p>
        </w:tc>
        <w:tc>
          <w:tcPr>
            <w:tcW w:type="dxa" w:w="6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FASTQ, BAM/CRAM, or joint trio VCF; optional tumour / affected-tissue BAMs</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Reference build</w:t>
            </w:r>
          </w:p>
        </w:tc>
        <w:tc>
          <w:tcPr>
            <w:tcW w:type="dxa" w:w="6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GRCh38 no-alt analysis set (primary); GRCh37 supported (PAR coordinates handled by build)</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Family configuration</w:t>
            </w:r>
          </w:p>
        </w:tc>
        <w:tc>
          <w:tcPr>
            <w:tcW w:type="dxa" w:w="6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Trio (proband + both biological parents); quads and multi-trio pedigrees processed trio by trio</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Reference implementation</w:t>
            </w:r>
          </w:p>
        </w:tc>
        <w:tc>
          <w:tcPr>
            <w:tcW w:type="dxa" w:w="6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trio_dnm_pipeline/</w:t>
            </w:r>
            <w:r>
              <w:rPr>
                <w:sz w:val="18"/>
                <w:szCs w:val="18"/>
              </w:rPr>
              <w:t xml:space="preserve"> — Nextflow DSL2 workflow + </w:t>
            </w:r>
            <w:r>
              <w:rPr>
                <w:rStyle w:val="InlineCode"/>
                <w:sz w:val="18"/>
                <w:szCs w:val="18"/>
              </w:rPr>
              <w:t xml:space="preserve">trio-dnm</w:t>
            </w:r>
            <w:r>
              <w:rPr>
                <w:sz w:val="18"/>
                <w:szCs w:val="18"/>
              </w:rPr>
              <w:t xml:space="preserve"> Python engine (stdlib only, unit-tested)</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Expected runtime</w:t>
            </w:r>
          </w:p>
        </w:tc>
        <w:tc>
          <w:tcPr>
            <w:tcW w:type="dxa" w:w="6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~12–24 h per 30× WGS trio on a 16-core node (germline); +8–16 h per tumour–normal pair (somatic)</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Validation requirement</w:t>
            </w:r>
          </w:p>
        </w:tc>
        <w:tc>
          <w:tcPr>
            <w:tcW w:type="dxa" w:w="6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All reportable candidates orthogonally validated (Sanger, ddPCR, amplicon-UMI or long-read)</w:t>
            </w:r>
          </w:p>
        </w:tc>
      </w:tr>
    </w:tbl>
    <w:p>
      <w:pPr>
        <w:spacing w:after="60"/>
      </w:pPr>
    </w:p>
    <w:p>
      <w:pPr>
        <w:pStyle w:val="Heading1"/>
        <w:spacing w:after="160" w:before="360"/>
      </w:pPr>
      <w:r>
        <w:t xml:space="preserve">0. Revision Summary (v1.0 → v2.0)</w:t>
      </w:r>
    </w:p>
    <w:p>
      <w:pPr>
        <w:spacing w:after="120"/>
      </w:pPr>
      <w:r>
        <w:t xml:space="preserve">The v1.0 protocol was reviewed line by line against current tool documentation and the DNM literature. Three commands would fail or silently corrupt results as written, one QC step was not computable, and several biology rules missed whole variant classes. All are corrected below; section numbers refer to v2.0.</w:t>
      </w:r>
    </w:p>
    <w:p>
      <w:pPr>
        <w:pStyle w:val="Heading2"/>
        <w:spacing w:after="120" w:before="240"/>
      </w:pPr>
      <w:r>
        <w:t xml:space="preserve">0.1 Corrections to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300"/>
        <w:gridCol w:w="4000"/>
        <w:gridCol w:w="900"/>
        <w:gridCol w:w="2800"/>
      </w:tblGrid>
      <w:tr>
        <w:trPr>
          <w:tblHeader/>
        </w:trPr>
        <w:tc>
          <w:tcPr>
            <w:tcW w:type="dxa" w:w="3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w:t>
            </w:r>
          </w:p>
        </w:tc>
        <w:tc>
          <w:tcPr>
            <w:tcW w:type="dxa" w:w="13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v1.0 location</w:t>
            </w:r>
          </w:p>
        </w:tc>
        <w:tc>
          <w:tcPr>
            <w:tcW w:type="dxa" w:w="40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Problem</w:t>
            </w:r>
          </w:p>
        </w:tc>
        <w:tc>
          <w:tcPr>
            <w:tcW w:type="dxa" w:w="9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Severity</w:t>
            </w:r>
          </w:p>
        </w:tc>
        <w:tc>
          <w:tcPr>
            <w:tcW w:type="dxa" w:w="2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v2.0 fix</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5.1 HaplotypeCaller</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--output-mode EMIT_VARIANTS_ONLY</w:t>
            </w:r>
            <w:r>
              <w:rPr>
                <w:sz w:val="18"/>
                <w:szCs w:val="18"/>
              </w:rPr>
              <w:t xml:space="preserve"> combined with </w:t>
            </w:r>
            <w:r>
              <w:rPr>
                <w:rStyle w:val="InlineCode"/>
                <w:sz w:val="18"/>
                <w:szCs w:val="18"/>
              </w:rPr>
              <w:t xml:space="preserve">-ERC GVCF</w:t>
            </w:r>
            <w:r>
              <w:rPr>
                <w:sz w:val="18"/>
                <w:szCs w:val="18"/>
              </w:rPr>
              <w:t xml:space="preserve"> removes the reference-confidence blocks. Parental hom-ref status — the core evidence for a DNM — is then unknown at every site the parent did not vary.</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Critical</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Option removed; </w:t>
            </w:r>
            <w:r>
              <w:rPr>
                <w:rStyle w:val="InlineCode"/>
                <w:sz w:val="18"/>
                <w:szCs w:val="18"/>
              </w:rPr>
              <w:t xml:space="preserve">-A StrandBiasBySample</w:t>
            </w:r>
            <w:r>
              <w:rPr>
                <w:sz w:val="18"/>
                <w:szCs w:val="18"/>
              </w:rPr>
              <w:t xml:space="preserve"> added (§5.1)</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5.1 HaplotypeCaller</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Inline </w:t>
            </w:r>
            <w:r>
              <w:rPr>
                <w:rStyle w:val="InlineCode"/>
                <w:sz w:val="18"/>
                <w:szCs w:val="18"/>
              </w:rPr>
              <w:t xml:space="preserve"># PCR-free libraries</w:t>
            </w:r>
            <w:r>
              <w:rPr>
                <w:sz w:val="18"/>
                <w:szCs w:val="18"/>
              </w:rPr>
              <w:t xml:space="preserve"> after </w:t>
            </w:r>
            <w:r>
              <w:rPr>
                <w:rStyle w:val="InlineCode"/>
                <w:sz w:val="18"/>
                <w:szCs w:val="18"/>
              </w:rPr>
              <w:t xml:space="preserve">--pcr-indel-model NONE</w:t>
            </w:r>
            <w:r>
              <w:rPr>
                <w:sz w:val="18"/>
                <w:szCs w:val="18"/>
              </w:rPr>
              <w:t xml:space="preserve"> with no trailing backslash ends the shell command; the remaining arguments run as a separate (failing) command.</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Critical</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Comments moved out of continued lines (§5.1)</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5.2 GenotypeGVCFs</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--use-new-qual-calculator</w:t>
            </w:r>
            <w:r>
              <w:rPr>
                <w:sz w:val="18"/>
                <w:szCs w:val="18"/>
              </w:rPr>
              <w:t xml:space="preserve"> no longer exists in GATK 4.5 (new QUAL model is the default since 4.1); the command errors.</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Critical</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Flag removed (§5.2)</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7.6 Layer 6</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Kinship cannot be computed from the filtered DNM set: DNMs are by definition absent from parents, and ~70 sites carry no relatedness information.</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High</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Replaced by parental-leakage, raw Mendelian-error and allele-balance checks (§7.6)</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7.1 Layer 1</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No sex-chromosome logic. A male proband's chrX DNM is hemizygous (GT 1, VAF ≈ 1.0) and fails the 0/1 and VAF 0.30–0.70 rules; the father is irrelevant outside the PARs, chrY DNMs depend only on the father.</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High</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Ploidy-aware rules by PAR/non-PAR region (§7.1)</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10.1 VEP</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--pick_order</w:t>
            </w:r>
            <w:r>
              <w:rPr>
                <w:sz w:val="18"/>
                <w:szCs w:val="18"/>
              </w:rPr>
              <w:t xml:space="preserve"> does nothing without </w:t>
            </w:r>
            <w:r>
              <w:rPr>
                <w:rStyle w:val="InlineCode"/>
                <w:sz w:val="18"/>
                <w:szCs w:val="18"/>
              </w:rPr>
              <w:t xml:space="preserve">--pick</w:t>
            </w:r>
            <w:r>
              <w:rPr>
                <w:sz w:val="18"/>
                <w:szCs w:val="18"/>
              </w:rPr>
              <w:t xml:space="preserve">/</w:t>
            </w:r>
            <w:r>
              <w:rPr>
                <w:rStyle w:val="InlineCode"/>
                <w:sz w:val="18"/>
                <w:szCs w:val="18"/>
              </w:rPr>
              <w:t xml:space="preserve">--flag_pick*</w:t>
            </w:r>
            <w:r>
              <w:rPr>
                <w:sz w:val="18"/>
                <w:szCs w:val="18"/>
              </w:rPr>
              <w:t xml:space="preserve">; CADD/REVEL/AlphaMissense/SpliceAI plugins need data-file arguments; gnomAD v4 has no </w:t>
            </w:r>
            <w:r>
              <w:rPr>
                <w:rStyle w:val="InlineCode"/>
                <w:sz w:val="18"/>
                <w:szCs w:val="18"/>
              </w:rPr>
              <w:t xml:space="preserve">AF_popmax</w:t>
            </w:r>
            <w:r>
              <w:rPr>
                <w:sz w:val="18"/>
                <w:szCs w:val="18"/>
              </w:rPr>
              <w:t xml:space="preserve"> (renamed grpmax).</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High</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Working command with plugin files and </w:t>
            </w:r>
            <w:r>
              <w:rPr>
                <w:rStyle w:val="InlineCode"/>
                <w:sz w:val="18"/>
                <w:szCs w:val="18"/>
              </w:rPr>
              <w:t xml:space="preserve">--flag_pick_allele_gene</w:t>
            </w:r>
            <w:r>
              <w:rPr>
                <w:sz w:val="18"/>
                <w:szCs w:val="18"/>
              </w:rPr>
              <w:t xml:space="preserve"> (§10.1)</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5.3</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Intersecting GATK-PASS with DeepVariant-PASS </w:t>
            </w:r>
            <w:r>
              <w:rPr>
                <w:i/>
                <w:iCs/>
                <w:sz w:val="18"/>
                <w:szCs w:val="18"/>
              </w:rPr>
              <w:t xml:space="preserve">before</w:t>
            </w:r>
            <w:r>
              <w:rPr>
                <w:sz w:val="18"/>
                <w:szCs w:val="18"/>
              </w:rPr>
              <w:t xml:space="preserve"> DNM detection discards true DNMs (especially indels) that one caller filters.</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Medium</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Union for candidate discovery; agreement used as evidence in the consensus tier (§5.3, §6.5)</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6.4 DeepTrio</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Described as "trained on PacBio HG002 trios". DeepTrio ships separate Illumina WGS, WES and PacBio models trained on GIAB trios.</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Medium</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Description corrected; model chosen by data type (§6.4)</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7.1 / 9</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Parental AD_alt ≤ 1 silently discards variants inherited from a mosaic parent — the cases with the highest recurrence risk.</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Medium</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Dedicated parental-mosaic track (§9.4)</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9.3</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VAF bins mislabelled ("0.05–0.30 germline-mosaic boundary"); at 30× a VAF of 0.30–0.45 is not distinguishable from a heterozygote by eye.</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Medium</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Binomial test against 0.5 plus Wilson CI (§9.3)</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8.2</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PhaseByTransmission</w:t>
            </w:r>
            <w:r>
              <w:rPr>
                <w:sz w:val="18"/>
                <w:szCs w:val="18"/>
              </w:rPr>
              <w:t xml:space="preserve"> is GATK3-only and cannot phase a DNM (it is absent from both parents). Only ~20–40 % of short-read DNMs are phaseable.</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Medium</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Read-backed phasing with unfazed; report fraction with CI and n (§8.2)</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12</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10.2 tiers</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REVEL &gt; 0.7 and CADD ≥ 25 are uncalibrated; LOEUF &lt; 0.35 is a gnomAD v2 decile cut-off; SpliceAI ≥ 0.5 misses the ClinGen PP3 range (≥ 0.2).</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Medium</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ClinGen-calibrated thresholds; gnomAD v4 LOEUF &lt; 0.6 (§10.3–10.8)</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13</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3.2</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"Kinship ≈ 0.25" and somalier "relatedness ≈ 0.5" describe the same parent–child relationship on different scales; thresholds were ambiguous.</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Low</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Relatedness and IBS0 stated explicitly (§3.2)</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14</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5.3</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Indel hard filter omitted GATK's </w:t>
            </w:r>
            <w:r>
              <w:rPr>
                <w:rStyle w:val="InlineCode"/>
                <w:sz w:val="18"/>
                <w:szCs w:val="18"/>
              </w:rPr>
              <w:t xml:space="preserve">QUAL &lt; 30</w:t>
            </w:r>
            <w:r>
              <w:rPr>
                <w:sz w:val="18"/>
                <w:szCs w:val="18"/>
              </w:rPr>
              <w:t xml:space="preserve"> criterion.</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Low</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Added (§5.3)</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15</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7.3</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"Segmental duplications (UCSC Self-Chain)" conflates two tracks.</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Low</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GIAB genome stratifications used as the canonical mask set (§7.3)</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16</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8.2 vs 13</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Paternal-fraction alarm threshold inconsistent (65 % vs 60 %).</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Low</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Single threshold 65–90 % (§8.2, §14)</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17</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4.1</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Read-group line omitted PU although the text requires it.</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Low</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Added (§4.1)</w:t>
            </w:r>
          </w:p>
        </w:tc>
      </w:tr>
      <w:tr>
        <w:tc>
          <w:tcPr>
            <w:tcW w:type="dxa" w:w="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18</w:t>
            </w:r>
          </w:p>
        </w:tc>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6.1</w:t>
            </w:r>
          </w:p>
        </w:tc>
        <w:tc>
          <w:tcPr>
            <w:tcW w:type="dxa" w:w="4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INFO tag is </w:t>
            </w:r>
            <w:r>
              <w:rPr>
                <w:rStyle w:val="InlineCode"/>
                <w:sz w:val="18"/>
                <w:szCs w:val="18"/>
              </w:rPr>
              <w:t xml:space="preserve">hiConfDeNovo</w:t>
            </w:r>
            <w:r>
              <w:rPr>
                <w:sz w:val="18"/>
                <w:szCs w:val="18"/>
              </w:rPr>
              <w:t xml:space="preserve">, not </w:t>
            </w:r>
            <w:r>
              <w:rPr>
                <w:rStyle w:val="InlineCode"/>
                <w:sz w:val="18"/>
                <w:szCs w:val="18"/>
              </w:rPr>
              <w:t xml:space="preserve">hi_conf_denovo</w:t>
            </w:r>
            <w:r>
              <w:rPr>
                <w:sz w:val="18"/>
                <w:szCs w:val="18"/>
              </w:rPr>
              <w:t xml:space="preserve">.</w:t>
            </w:r>
          </w:p>
        </w:tc>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Low</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Corrected (§6.1)</w:t>
            </w:r>
          </w:p>
        </w:tc>
      </w:tr>
    </w:tbl>
    <w:p>
      <w:pPr>
        <w:spacing w:after="60"/>
      </w:pPr>
    </w:p>
    <w:p>
      <w:pPr>
        <w:pStyle w:val="Heading2"/>
        <w:spacing w:after="120" w:before="240"/>
      </w:pPr>
      <w:r>
        <w:t xml:space="preserve">0.2 Additions in v2.0</w:t>
      </w:r>
    </w:p>
    <w:p>
      <w:pPr>
        <w:pStyle w:val="ListParagraph"/>
        <w:numPr>
          <w:ilvl w:val="0"/>
          <w:numId w:val="2"/>
        </w:numPr>
        <w:spacing w:after="60"/>
      </w:pPr>
      <w:r>
        <w:rPr>
          <w:b/>
          <w:bCs/>
        </w:rPr>
        <w:t xml:space="preserve">Bayesian trio posterior computed in-pipeline</w:t>
      </w:r>
      <w:r>
        <w:t xml:space="preserve"> from the joint VCF genotype likelihoods, independent of the external callers (§7.5).</w:t>
      </w:r>
    </w:p>
    <w:p>
      <w:pPr>
        <w:pStyle w:val="ListParagraph"/>
        <w:numPr>
          <w:ilvl w:val="0"/>
          <w:numId w:val="2"/>
        </w:numPr>
        <w:spacing w:after="60"/>
      </w:pPr>
      <w:r>
        <w:rPr>
          <w:b/>
          <w:bCs/>
        </w:rPr>
        <w:t xml:space="preserve">Parental-mosaic and post-zygotic tracks</w:t>
      </w:r>
      <w:r>
        <w:t xml:space="preserve"> with statistical VAF classification and clonal-haematopoiesis (CH) confounder screening (§9).</w:t>
      </w:r>
    </w:p>
    <w:p>
      <w:pPr>
        <w:pStyle w:val="ListParagraph"/>
        <w:numPr>
          <w:ilvl w:val="0"/>
          <w:numId w:val="2"/>
        </w:numPr>
        <w:spacing w:after="60"/>
      </w:pPr>
      <w:r>
        <w:rPr>
          <w:b/>
          <w:bCs/>
        </w:rPr>
        <w:t xml:space="preserve">Expanded functional prediction</w:t>
      </w:r>
      <w:r>
        <w:t xml:space="preserve">: LOFTEE and NMD escape, AlphaMissense, REVEL, CADD v1.7, BayesDel, PrimateAI-3D, ESM1b, EVE, MetaRNN, SpliceAI/Pangolin, UTRAnnotator, conservation, ENCODE cCREs, protein domains and gene constraint including s_het (§10).</w:t>
      </w:r>
    </w:p>
    <w:p>
      <w:pPr>
        <w:pStyle w:val="ListParagraph"/>
        <w:numPr>
          <w:ilvl w:val="0"/>
          <w:numId w:val="2"/>
        </w:numPr>
        <w:spacing w:after="60"/>
      </w:pPr>
      <w:r>
        <w:rPr>
          <w:b/>
          <w:bCs/>
        </w:rPr>
        <w:t xml:space="preserve">Provisional ACMG/AMP classification</w:t>
      </w:r>
      <w:r>
        <w:t xml:space="preserve"> with ClinGen-calibrated PP3/BP4 and the Bayesian point system; ranked prioritisation with phenotype scores (§10.7–10.9).</w:t>
      </w:r>
    </w:p>
    <w:p>
      <w:pPr>
        <w:pStyle w:val="ListParagraph"/>
        <w:numPr>
          <w:ilvl w:val="0"/>
          <w:numId w:val="2"/>
        </w:numPr>
        <w:spacing w:after="60"/>
      </w:pPr>
      <w:r>
        <w:rPr>
          <w:b/>
          <w:bCs/>
        </w:rPr>
        <w:t xml:space="preserve">Cohort statistics</w:t>
      </w:r>
      <w:r>
        <w:t xml:space="preserve">: gene-level DNM enrichment (DeNovoWEST / denovolyzeR) and signatures (§10.10).</w:t>
      </w:r>
    </w:p>
    <w:p>
      <w:pPr>
        <w:pStyle w:val="ListParagraph"/>
        <w:numPr>
          <w:ilvl w:val="0"/>
          <w:numId w:val="2"/>
        </w:numPr>
        <w:spacing w:after="60"/>
      </w:pPr>
      <w:r>
        <w:rPr>
          <w:b/>
          <w:bCs/>
        </w:rPr>
        <w:t xml:space="preserve">New Stage 9 — somatic mutation analysis</w:t>
      </w:r>
      <w:r>
        <w:t xml:space="preserve">: tumour or affected tissue vs blood, trio-aware germline subtraction, copy number, clonality, TMB, signatures, drivers, germline + somatic two-hit detection, and CH screening (§11).</w:t>
      </w:r>
    </w:p>
    <w:p>
      <w:pPr>
        <w:pStyle w:val="ListParagraph"/>
        <w:numPr>
          <w:ilvl w:val="0"/>
          <w:numId w:val="2"/>
        </w:numPr>
        <w:spacing w:after="60"/>
      </w:pPr>
      <w:r>
        <w:rPr>
          <w:b/>
          <w:bCs/>
        </w:rPr>
        <w:t xml:space="preserve">Reference implementation</w:t>
      </w:r>
      <w:r>
        <w:t xml:space="preserve"> mapping every stage to a Nextflow process and a tested </w:t>
      </w:r>
      <w:r>
        <w:rPr>
          <w:rStyle w:val="InlineCode"/>
        </w:rPr>
        <w:t xml:space="preserve">trio-dnm</w:t>
      </w:r>
      <w:r>
        <w:t xml:space="preserve"> command (§15).</w:t>
      </w:r>
    </w:p>
    <w:p>
      <w:pPr>
        <w:pStyle w:val="Heading1"/>
        <w:spacing w:after="160" w:before="360"/>
      </w:pPr>
      <w:r>
        <w:t xml:space="preserve">1. Purpose and Scope</w:t>
      </w:r>
    </w:p>
    <w:p>
      <w:pPr>
        <w:spacing w:after="120"/>
      </w:pPr>
      <w:r>
        <w:t xml:space="preserve">This protocol defines a standardised workflow for identifying de novo mutations (DNMs) — variants present in a proband but absent from both biological parents — from trio short-read sequencing, and for characterising their functional consequence. Because &gt;99 % of raw Mendelian-violation calls are technical artefacts, the workflow is built around independent lines of evidence and explicit, auditable filter layers.</w:t>
      </w:r>
    </w:p>
    <w:p>
      <w:pPr>
        <w:spacing w:after="120"/>
      </w:pPr>
      <w:r>
        <w:t xml:space="preserve">The pipeline integrates: (i) pre-flight sample QC with hard stop-gates; (ii) joint trio calling with two independent engines; (iii) multi-caller DNM detection plus an in-pipeline Bayesian posterior; (iv) a layered filter cascade; (v) biological sanity checks; (vi) post-zygotic and parental-mosaic tracks; (vii) functional annotation, calibrated pathogenicity evidence and prioritisation; (viii) somatic mutation analysis; and (ix) orthogonal validation.</w:t>
      </w:r>
    </w:p>
    <w:p>
      <w:pPr>
        <w:spacing w:after="120"/>
      </w:pPr>
      <w:r>
        <w:rPr>
          <w:b/>
          <w:bCs/>
        </w:rPr>
        <w:t xml:space="preserve">Out of scope</w:t>
      </w:r>
      <w:r>
        <w:t xml:space="preserve"> (require dedicated companion pipelines): structural and copy-number DNMs (e.g. GATK-SV, Manta + CNVnator trio mode), mitochondrial heteroplasmy, short-tandem-repeat expansions (ExpansionHunter), and long-read–only analyses. Somatic analyses are now in scope (§11).</w:t>
      </w:r>
    </w:p>
    <w:p>
      <w:pPr>
        <w:pStyle w:val="Heading1"/>
        <w:spacing w:after="160" w:before="360"/>
      </w:pPr>
      <w:r>
        <w:t xml:space="preserve">2. Inputs, References, and Software Environment</w:t>
      </w:r>
    </w:p>
    <w:p>
      <w:pPr>
        <w:pStyle w:val="Heading2"/>
        <w:spacing w:after="120" w:before="240"/>
      </w:pPr>
      <w:r>
        <w:t xml:space="preserve">2.1 Required inputs</w:t>
      </w:r>
    </w:p>
    <w:p>
      <w:pPr>
        <w:pStyle w:val="ListParagraph"/>
        <w:numPr>
          <w:ilvl w:val="0"/>
          <w:numId w:val="2"/>
        </w:numPr>
        <w:spacing w:after="60"/>
      </w:pPr>
      <w:r>
        <w:t xml:space="preserve">Paired-end Illumina FASTQ or analysis-ready BAM/CRAM for proband, father and mother — minimum 30× WGS or 100× mean on-target WES.</w:t>
      </w:r>
    </w:p>
    <w:p>
      <w:pPr>
        <w:pStyle w:val="ListParagraph"/>
        <w:numPr>
          <w:ilvl w:val="0"/>
          <w:numId w:val="2"/>
        </w:numPr>
        <w:spacing w:after="60"/>
      </w:pPr>
      <w:r>
        <w:t xml:space="preserve">Sample sheet (CSV): </w:t>
      </w:r>
      <w:r>
        <w:rPr>
          <w:rStyle w:val="InlineCode"/>
        </w:rPr>
        <w:t xml:space="preserve">family_id, sample_id, role (proband | father | mother | tumor | tissue), sex, bam</w:t>
      </w:r>
      <w:r>
        <w:t xml:space="preserve"> plus library/lane metadata.</w:t>
      </w:r>
    </w:p>
    <w:p>
      <w:pPr>
        <w:pStyle w:val="ListParagraph"/>
        <w:numPr>
          <w:ilvl w:val="0"/>
          <w:numId w:val="2"/>
        </w:numPr>
        <w:spacing w:after="60"/>
      </w:pPr>
      <w:r>
        <w:t xml:space="preserve">Pedigree in PLINK PED format with IDs identical to BAM </w:t>
      </w:r>
      <w:r>
        <w:rPr>
          <w:rStyle w:val="InlineCode"/>
        </w:rPr>
        <w:t xml:space="preserve">@RG SM</w:t>
      </w:r>
      <w:r>
        <w:t xml:space="preserve"> tags.</w:t>
      </w:r>
    </w:p>
    <w:p>
      <w:pPr>
        <w:pStyle w:val="ListParagraph"/>
        <w:numPr>
          <w:ilvl w:val="0"/>
          <w:numId w:val="2"/>
        </w:numPr>
        <w:spacing w:after="60"/>
      </w:pPr>
      <w:r>
        <w:t xml:space="preserve">Parental ages at conception (strongly recommended: required for the age-adjusted DNM expectation, §8.1).</w:t>
      </w:r>
    </w:p>
    <w:p>
      <w:pPr>
        <w:pStyle w:val="ListParagraph"/>
        <w:numPr>
          <w:ilvl w:val="0"/>
          <w:numId w:val="2"/>
        </w:numPr>
        <w:spacing w:after="60"/>
      </w:pPr>
      <w:r>
        <w:t xml:space="preserve">HPO terms for the proband (for phenotype-driven ranking, §10.9).</w:t>
      </w:r>
    </w:p>
    <w:p>
      <w:pPr>
        <w:pStyle w:val="ListParagraph"/>
        <w:numPr>
          <w:ilvl w:val="0"/>
          <w:numId w:val="2"/>
        </w:numPr>
        <w:spacing w:after="60"/>
      </w:pPr>
      <w:r>
        <w:t xml:space="preserve">Optional, for §11: tumour or affected-tissue BAM, tumour purity estimate, FFPE status.</w:t>
      </w:r>
    </w:p>
    <w:p>
      <w:pPr>
        <w:pStyle w:val="Heading2"/>
        <w:spacing w:after="120" w:before="240"/>
      </w:pPr>
      <w:r>
        <w:t xml:space="preserve">2.2 Reference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Resource</w:t>
            </w:r>
          </w:p>
        </w:tc>
        <w:tc>
          <w:tcPr>
            <w:tcW w:type="dxa" w:w="42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Source / version</w:t>
            </w:r>
          </w:p>
        </w:tc>
        <w:tc>
          <w:tcPr>
            <w:tcW w:type="dxa" w:w="30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Purpose</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Reference FASTA</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GRCh38 no-alt analysis set (+ .fai, .dict)</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Alignment and calling scaffold</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Known sites</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dbSNP 156, Mills/1000G gold indels, 1KG phase 3 SNVs</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BQSR</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Population AF</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gnomAD v4.1 joint (exomes + genomes) — </w:t>
            </w:r>
            <w:r>
              <w:rPr>
                <w:rStyle w:val="InlineCode"/>
                <w:sz w:val="18"/>
                <w:szCs w:val="18"/>
              </w:rPr>
              <w:t xml:space="preserve">AF_joint</w:t>
            </w:r>
            <w:r>
              <w:rPr>
                <w:sz w:val="18"/>
                <w:szCs w:val="18"/>
              </w:rPr>
              <w:t xml:space="preserve">, </w:t>
            </w:r>
            <w:r>
              <w:rPr>
                <w:rStyle w:val="InlineCode"/>
                <w:sz w:val="18"/>
                <w:szCs w:val="18"/>
              </w:rPr>
              <w:t xml:space="preserve">AF_joint_grpmax</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Population filter; PM2/BS1/BA1</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Region stratifications</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GIAB genome stratifications v3.x (low mappability, segdups, tandem repeats, homopolymers), ENCODE blacklist v2</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Hard masks (§7.3)</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Consequence</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Ensembl VEP 113 cache (MANE Select v1.4), LOFTEE, NMD and UTRAnnotator plugins</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Transcript consequence, LoF confidence</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Missense predictors</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AlphaMissense, REVEL, CADD v1.7, dbNSFP 4.x (BayesDel, PrimateAI-3D, ESM1b, EVE, MetaRNN)</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PP3/BP4 and ranking</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Splicing</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SpliceAI (masked, pre-computed), Pangolin</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Splice PP3/BP4, Tier 3</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Conservation / regulatory</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phyloP (100-way vertebrate / 447-way mammal), GERP++, ENCODE SCREEN cCREs v4</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Non-coding prioritisation</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Gene constraint</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gnomAD v4.1 pLI / LOEUF / missense Z, GeneBayes s_het, ClinGen dosage (HI) scores</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Gene-level prioritisation, PVS1 applicability</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Clinical knowledge</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ClinVar (monthly), OMIM, GenCC, Gene2Phenotype (DDG2P), HPO</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Disease association, phenotype match</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Somatic resources</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Mutect2 af-only gnomAD, panel of normals, small_exac_common; COSMIC CGC, cancerhotspots, OncoKB (licensed)</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Signatures</w:t>
            </w:r>
          </w:p>
        </w:tc>
        <w:tc>
          <w:tcPr>
            <w:tcW w:type="dxa" w:w="4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COSMIC SBS v3.4 (GRCh38)</w:t>
            </w:r>
          </w:p>
        </w:tc>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Germline and somatic spectra</w:t>
            </w:r>
          </w:p>
        </w:tc>
      </w:tr>
    </w:tbl>
    <w:p>
      <w:pPr>
        <w:spacing w:after="60"/>
      </w:pPr>
    </w:p>
    <w:p>
      <w:pPr>
        <w:pStyle w:val="Heading2"/>
        <w:spacing w:after="120" w:before="240"/>
      </w:pPr>
      <w:r>
        <w:t xml:space="preserve">2.3 Software environment</w:t>
      </w:r>
    </w:p>
    <w:p>
      <w:pPr>
        <w:spacing w:after="120"/>
      </w:pPr>
      <w:r>
        <w:t xml:space="preserve">Every tool is containerised (Docker/Singularity) and pinned by digest in </w:t>
      </w:r>
      <w:r>
        <w:rPr>
          <w:rStyle w:val="InlineCode"/>
        </w:rPr>
        <w:t xml:space="preserve">nextflow.config</w:t>
      </w:r>
      <w:r>
        <w:t xml:space="preserve">. Versions below are the validated baseline; verify availability before pinning.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Stage</w:t>
            </w:r>
          </w:p>
        </w:tc>
        <w:tc>
          <w:tcPr>
            <w:tcW w:type="dxa" w:w="47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Primary tool(s)</w:t>
            </w:r>
          </w:p>
        </w:tc>
        <w:tc>
          <w:tcPr>
            <w:tcW w:type="dxa" w:w="23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Baseline version</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FASTQ QC / trimming</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FastQC, fastp, MultiQC</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0.12.1 / 0.23.4 / 1.25</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Alignment</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BWA-MEM2 (or DRAGEN)</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2.2.1</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Sort / dedup / BQSR</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samtools; GATK MarkDuplicatesSpark, BaseRecalibrator</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1.21 / 4.6</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Germline calling</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GATK HaplotypeCaller + GenotypeGVCFs; DeepTrio + GLnexus</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4.6 / 1.8 / 1.4.1</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DNM callers</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GATK CGP + PossibleDeNovo, DeNovoGear, TrioDeNovo, DeepTrio, trio-dnm posterior</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4.6 / 1.1.1 / latest / 1.8 / 2.0</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Parent of origin</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unfazed</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1.0.x</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Mosaic</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Mutect2 (tumour-only mode), MosaicForecast, DeepMosaic (optional)</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4.6 / 0.0.1 / 1.x</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Somatic</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Mutect2, Strelka2 + Manta, DeepSomatic, CNVkit (or PURPLE/FACETS)</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4.6 / 2.9.10 / 1.8 / 0.9.11</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Annotation</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Ensembl VEP (+ plugins), vcfanno, bcftools</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113 / 0.3.5 / 1.21</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Sample QC</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mosdepth, VerifyBamID2, somalier</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0.3.10 / 2.0.1 / 0.2.19</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Post-calling engine</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trio-dnm (this protocol)</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2.0.0</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Workflow engine</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Nextflow DSL2</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23.10</w:t>
            </w:r>
          </w:p>
        </w:tc>
      </w:tr>
    </w:tbl>
    <w:p>
      <w:pPr>
        <w:pStyle w:val="Heading1"/>
        <w:spacing w:after="160" w:before="360"/>
      </w:pPr>
      <w:r>
        <w:t xml:space="preserve">3. Stage 1 — Pre-flight Sample Quality Control</w:t>
      </w:r>
    </w:p>
    <w:p>
      <w:pPr>
        <w:spacing w:after="120"/>
      </w:pPr>
      <w:r>
        <w:t xml:space="preserve">Sample swaps, non-paternity and contamination silently corrupt every downstream DNM call. Stage 1 must pass before variant calling; </w:t>
      </w:r>
      <w:r>
        <w:rPr>
          <w:rStyle w:val="InlineCode"/>
        </w:rPr>
        <w:t xml:space="preserve">trio-dnm qc-gate</w:t>
      </w:r>
      <w:r>
        <w:t xml:space="preserve"> evaluates the gates and exits non-zero on failure, which halts the workflow.</w:t>
      </w:r>
    </w:p>
    <w:p>
      <w:pPr>
        <w:pStyle w:val="Heading2"/>
        <w:spacing w:after="120" w:before="240"/>
      </w:pPr>
      <w:r>
        <w:t xml:space="preserve">3.1 Sequencing-level QC</w:t>
      </w:r>
    </w:p>
    <w:p>
      <w:pPr>
        <w:pStyle w:val="ListParagraph"/>
        <w:numPr>
          <w:ilvl w:val="0"/>
          <w:numId w:val="2"/>
        </w:numPr>
        <w:spacing w:after="60"/>
      </w:pPr>
      <w:r>
        <w:t xml:space="preserve">FastQC + MultiQC on all FASTQ; flag abnormal GC, adapter content &gt; 5 %, or Q20 base fraction &lt; 90 %.</w:t>
      </w:r>
    </w:p>
    <w:p>
      <w:pPr>
        <w:pStyle w:val="ListParagraph"/>
        <w:numPr>
          <w:ilvl w:val="0"/>
          <w:numId w:val="2"/>
        </w:numPr>
        <w:spacing w:after="60"/>
      </w:pPr>
      <w:r>
        <w:t xml:space="preserve">fastp: adapter auto-detection, poly-G trimming (NovaSeq/NextSeq), minimum length 50 bp, low-complexity filter.</w:t>
      </w:r>
    </w:p>
    <w:p>
      <w:pPr>
        <w:pStyle w:val="ListParagraph"/>
        <w:numPr>
          <w:ilvl w:val="0"/>
          <w:numId w:val="2"/>
        </w:numPr>
        <w:spacing w:after="60"/>
      </w:pPr>
      <w:r>
        <w:t xml:space="preserve">mosdepth after alignment: WGS mean ≥ 28×; WES ≥ 80× on target with ≥ 90 % of targets at ≥ 20×; coverage CV &lt; 0.30 for WES.</w:t>
      </w:r>
    </w:p>
    <w:p>
      <w:pPr>
        <w:pStyle w:val="Heading2"/>
        <w:spacing w:after="120" w:before="240"/>
      </w:pPr>
      <w:r>
        <w:t xml:space="preserve">3.2 Sample identity and relatedness</w:t>
      </w:r>
    </w:p>
    <w:p>
      <w:pPr>
        <w:pStyle w:val="ListParagraph"/>
        <w:numPr>
          <w:ilvl w:val="0"/>
          <w:numId w:val="2"/>
        </w:numPr>
        <w:spacing w:after="60"/>
      </w:pPr>
      <w:r>
        <w:t xml:space="preserve">VerifyBamID2 FREEMIX &lt; 0.02 pass; 0.02–0.05 investigate; &gt; 0.05 fail.</w:t>
      </w:r>
    </w:p>
    <w:p>
      <w:pPr>
        <w:pStyle w:val="ListParagraph"/>
        <w:numPr>
          <w:ilvl w:val="0"/>
          <w:numId w:val="2"/>
        </w:numPr>
        <w:spacing w:after="60"/>
      </w:pPr>
      <w:r>
        <w:t xml:space="preserve">somalier </w:t>
      </w:r>
      <w:r>
        <w:rPr>
          <w:rStyle w:val="InlineCode"/>
        </w:rPr>
        <w:t xml:space="preserve">relate</w:t>
      </w:r>
      <w:r>
        <w:t xml:space="preserve">: parent–child </w:t>
      </w:r>
      <w:r>
        <w:rPr>
          <w:b/>
          <w:bCs/>
        </w:rPr>
        <w:t xml:space="preserve">relatedness 0.40–0.60</w:t>
      </w:r>
      <w:r>
        <w:t xml:space="preserve"> (kinship coefficient ≈ 0.25) </w:t>
      </w:r>
      <w:r>
        <w:rPr>
          <w:b/>
          <w:bCs/>
        </w:rPr>
        <w:t xml:space="preserve">and IBS0 ≈ 0</w:t>
      </w:r>
      <w:r>
        <w:t xml:space="preserve"> (&lt; 0.5 % of informative sites). Low IBS0 is the discriminating signal — full siblings also show relatedness ≈ 0.5 but have IBS0 &gt; 0.</w:t>
      </w:r>
    </w:p>
    <w:p>
      <w:pPr>
        <w:pStyle w:val="ListParagraph"/>
        <w:numPr>
          <w:ilvl w:val="0"/>
          <w:numId w:val="2"/>
        </w:numPr>
        <w:spacing w:after="60"/>
      </w:pPr>
      <w:r>
        <w:t xml:space="preserve">Parents: relatedness &lt; 0.10 unless consanguinity is documented (it changes the prior on inherited homozygosity).</w:t>
      </w:r>
    </w:p>
    <w:p>
      <w:pPr>
        <w:pStyle w:val="ListParagraph"/>
        <w:numPr>
          <w:ilvl w:val="0"/>
          <w:numId w:val="2"/>
        </w:numPr>
        <w:spacing w:after="60"/>
      </w:pPr>
      <w:r>
        <w:t xml:space="preserve">Sex inferred from chrY depth ratio and chrX heterozygosity must match the pedigree.</w:t>
      </w:r>
    </w:p>
    <w:p>
      <w:pPr>
        <w:pStyle w:val="ListParagraph"/>
        <w:numPr>
          <w:ilvl w:val="0"/>
          <w:numId w:val="2"/>
        </w:numPr>
        <w:spacing w:after="60"/>
      </w:pPr>
      <w:r>
        <w:t xml:space="preserve">Raw Mendelian error rate among trio-variant autosomal sites, computed by </w:t>
      </w:r>
      <w:r>
        <w:rPr>
          <w:rStyle w:val="InlineCode"/>
        </w:rPr>
        <w:t xml:space="preserve">trio-dnm call</w:t>
      </w:r>
      <w:r>
        <w:t xml:space="preserve">: typically 0.5–2 %; &gt; 5 % indicates a swap or contamination.</w:t>
      </w:r>
    </w:p>
    <w:p>
      <w:pPr>
        <w:pStyle w:val="Heading2"/>
        <w:spacing w:after="120" w:before="240"/>
      </w:pPr>
      <w:r>
        <w:t xml:space="preserve">3.3 Stop-gates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Gate</w:t>
            </w:r>
          </w:p>
        </w:tc>
        <w:tc>
          <w:tcPr>
            <w:tcW w:type="dxa" w:w="39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Fail condition</w:t>
            </w:r>
          </w:p>
        </w:tc>
        <w:tc>
          <w:tcPr>
            <w:tcW w:type="dxa" w:w="36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Action</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Contamination</w:t>
            </w:r>
          </w:p>
        </w:tc>
        <w:tc>
          <w:tcPr>
            <w:tcW w:type="dxa" w:w="3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FREEMIX &gt; 0.05 in any member</w:t>
            </w:r>
          </w:p>
        </w:tc>
        <w:tc>
          <w:tcPr>
            <w:tcW w:type="dxa" w:w="3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Halt; re-extract or re-sequence</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Sex</w:t>
            </w:r>
          </w:p>
        </w:tc>
        <w:tc>
          <w:tcPr>
            <w:tcW w:type="dxa" w:w="3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Inferred ≠ reported sex</w:t>
            </w:r>
          </w:p>
        </w:tc>
        <w:tc>
          <w:tcPr>
            <w:tcW w:type="dxa" w:w="3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Halt; resolve swap / sex-chromosome aneuploidy</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Parentage</w:t>
            </w:r>
          </w:p>
        </w:tc>
        <w:tc>
          <w:tcPr>
            <w:tcW w:type="dxa" w:w="3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Parent–child relatedness outside 0.40–0.60 or IBS0 &gt; 0.5 %</w:t>
            </w:r>
          </w:p>
        </w:tc>
        <w:tc>
          <w:tcPr>
            <w:tcW w:type="dxa" w:w="3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Halt; confirm pedigree (consent-appropriate handling of non-paternity)</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Mendelian errors</w:t>
            </w:r>
          </w:p>
        </w:tc>
        <w:tc>
          <w:tcPr>
            <w:tcW w:type="dxa" w:w="3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Raw rate &gt; 5 %</w:t>
            </w:r>
          </w:p>
        </w:tc>
        <w:tc>
          <w:tcPr>
            <w:tcW w:type="dxa" w:w="3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Halt; investigate swap / contamination</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DNA source</w:t>
            </w:r>
          </w:p>
        </w:tc>
        <w:tc>
          <w:tcPr>
            <w:tcW w:type="dxa" w:w="3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Lymphoblastoid cell-line DNA</w:t>
            </w:r>
          </w:p>
        </w:tc>
        <w:tc>
          <w:tcPr>
            <w:tcW w:type="dxa" w:w="3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Proceed with flag: LCL culture introduces somatic "DNMs" at low VAF</w:t>
            </w:r>
          </w:p>
        </w:tc>
      </w:tr>
    </w:tbl>
    <w:p>
      <w:pPr>
        <w:pStyle w:val="Heading1"/>
        <w:spacing w:after="160" w:before="360"/>
      </w:pPr>
      <w:r>
        <w:t xml:space="preserve">4. Stage 2 — Read Processing, Alignment and BQSR</w:t>
      </w:r>
    </w:p>
    <w:p>
      <w:pPr>
        <w:pStyle w:val="Heading2"/>
        <w:spacing w:after="120" w:before="240"/>
      </w:pPr>
      <w:r>
        <w:t xml:space="preserve">4.1 Alignment</w:t>
      </w:r>
    </w:p>
    <w:p>
      <w:pPr>
        <w:pStyle w:val="CodeBlock"/>
        <w:spacing w:after="0" w:before="80"/>
      </w:pPr>
      <w:r>
        <w:t xml:space="preserve">bwa-mem2 mem -t 16 -K 100000000 -Y \</w:t>
      </w:r>
    </w:p>
    <w:p>
      <w:pPr>
        <w:pStyle w:val="CodeBlock"/>
        <w:spacing w:after="0" w:before="0"/>
      </w:pPr>
      <w:r>
        <w:t xml:space="preserve">    -R "@RG\tID:${fc}.${lane}\tSM:${sm}\tLB:${lb}\tPL:ILLUMINA\tPU:${fc}.${lane}.${barcode}" \</w:t>
      </w:r>
    </w:p>
    <w:p>
      <w:pPr>
        <w:pStyle w:val="CodeBlock"/>
        <w:spacing w:after="140" w:before="0"/>
      </w:pPr>
      <w:r>
        <w:t xml:space="preserve">    ${REF} ${R1} ${R2} | samtools sort -@ 8 -m 2G -o ${id}.sorted.bam -</w:t>
      </w:r>
    </w:p>
    <w:p>
      <w:pPr>
        <w:spacing w:after="120"/>
      </w:pPr>
      <w:r>
        <w:rPr>
          <w:rStyle w:val="InlineCode"/>
        </w:rPr>
        <w:t xml:space="preserve">-Y</w:t>
      </w:r>
      <w:r>
        <w:t xml:space="preserve"> soft-clips supplementary alignments; </w:t>
      </w:r>
      <w:r>
        <w:rPr>
          <w:rStyle w:val="InlineCode"/>
        </w:rPr>
        <w:t xml:space="preserve">-K</w:t>
      </w:r>
      <w:r>
        <w:t xml:space="preserve"> fixes the batch size so output is deterministic across thread counts.</w:t>
      </w:r>
    </w:p>
    <w:p>
      <w:pPr>
        <w:pStyle w:val="Heading2"/>
        <w:spacing w:after="120" w:before="240"/>
      </w:pPr>
      <w:r>
        <w:t xml:space="preserve">4.2 Duplicate marking</w:t>
      </w:r>
    </w:p>
    <w:p>
      <w:pPr>
        <w:spacing w:after="120"/>
      </w:pPr>
      <w:r>
        <w:t xml:space="preserve">GATK MarkDuplicatesSpark (optical distance 2500 for patterned flow cells). Duplication should be &lt; 15 % for PCR-free WGS and &lt; 25 % for WES; higher rates inflate apparent allele support and must be flagged.</w:t>
      </w:r>
    </w:p>
    <w:p>
      <w:pPr>
        <w:pStyle w:val="Heading2"/>
        <w:spacing w:after="120" w:before="240"/>
      </w:pPr>
      <w:r>
        <w:t xml:space="preserve">4.3 Base-quality recalibration</w:t>
      </w:r>
    </w:p>
    <w:p>
      <w:pPr>
        <w:spacing w:after="120"/>
      </w:pPr>
      <w:r>
        <w:t xml:space="preserve">Required for the GATK path (dbSNP + Mills + 1KG sites; confirm flattened residuals with AnalyzeCovariates). DeepTrio/DeepVariant are trained on un-recalibrated qualities and should be given the pre-BQSR BAM or run with BQSR disabled. Archive as reference-based CRAM after verifying round-trip checksums.</w:t>
      </w:r>
    </w:p>
    <w:p>
      <w:pPr>
        <w:pStyle w:val="Heading1"/>
        <w:spacing w:after="160" w:before="360"/>
      </w:pPr>
      <w:r>
        <w:t xml:space="preserve">5. Stage 3 — Joint Trio Variant Calling</w:t>
      </w:r>
    </w:p>
    <w:p>
      <w:pPr>
        <w:pStyle w:val="Heading2"/>
        <w:spacing w:after="120" w:before="240"/>
      </w:pPr>
      <w:r>
        <w:t xml:space="preserve">5.1 Per-sample GVCFs (corrected command)</w:t>
      </w:r>
    </w:p>
    <w:p>
      <w:pPr>
        <w:pStyle w:val="CodeBlock"/>
        <w:spacing w:after="0" w:before="80"/>
      </w:pPr>
      <w:r>
        <w:t xml:space="preserve"># PCR-free library: disable the PCR indel model. Keep comments OFF continued lines.</w:t>
      </w:r>
    </w:p>
    <w:p>
      <w:pPr>
        <w:pStyle w:val="CodeBlock"/>
        <w:spacing w:after="0" w:before="0"/>
      </w:pPr>
      <w:r>
        <w:t xml:space="preserve">gatk --java-options "-Xmx14g" HaplotypeCaller \</w:t>
      </w:r>
    </w:p>
    <w:p>
      <w:pPr>
        <w:pStyle w:val="CodeBlock"/>
        <w:spacing w:after="0" w:before="0"/>
      </w:pPr>
      <w:r>
        <w:t xml:space="preserve">    -R ${REF} -I ${BAM} -O ${SM}.g.vcf.gz \</w:t>
      </w:r>
    </w:p>
    <w:p>
      <w:pPr>
        <w:pStyle w:val="CodeBlock"/>
        <w:spacing w:after="0" w:before="0"/>
      </w:pPr>
      <w:r>
        <w:t xml:space="preserve">    -ERC GVCF \</w:t>
      </w:r>
    </w:p>
    <w:p>
      <w:pPr>
        <w:pStyle w:val="CodeBlock"/>
        <w:spacing w:after="0" w:before="0"/>
      </w:pPr>
      <w:r>
        <w:t xml:space="preserve">    --pcr-indel-model NONE \</w:t>
      </w:r>
    </w:p>
    <w:p>
      <w:pPr>
        <w:pStyle w:val="CodeBlock"/>
        <w:spacing w:after="0" w:before="0"/>
      </w:pPr>
      <w:r>
        <w:t xml:space="preserve">    -G StandardAnnotation -G StandardHCAnnotation -G AS_StandardAnnotation \</w:t>
      </w:r>
    </w:p>
    <w:p>
      <w:pPr>
        <w:pStyle w:val="CodeBlock"/>
        <w:spacing w:after="0" w:before="0"/>
      </w:pPr>
      <w:r>
        <w:t xml:space="preserve">    -A StrandBiasBySample \</w:t>
      </w:r>
    </w:p>
    <w:p>
      <w:pPr>
        <w:pStyle w:val="CodeBlock"/>
        <w:spacing w:after="0" w:before="0"/>
      </w:pPr>
      <w:r>
        <w:t xml:space="preserve">    --max-alternate-alleles 6 \</w:t>
      </w:r>
    </w:p>
    <w:p>
      <w:pPr>
        <w:pStyle w:val="CodeBlock"/>
        <w:spacing w:after="140" w:before="0"/>
      </w:pPr>
      <w:r>
        <w:t xml:space="preserve">    -L ${INTERVALS}</w:t>
      </w:r>
    </w:p>
    <w:p>
      <w:pPr>
        <w:pStyle w:val="Note"/>
        <w:pBdr>
          <w:left w:val="single" w:color="E0A030" w:sz="18" w:space="6"/>
        </w:pBdr>
        <w:shd w:fill="FFF4E5" w:color="auto" w:val="clear"/>
        <w:spacing w:after="160" w:before="80"/>
        <w:ind w:left="144" w:right="144"/>
      </w:pPr>
      <w:r>
        <w:t xml:space="preserve">Do </w:t>
      </w:r>
      <w:r>
        <w:rPr>
          <w:b/>
          <w:bCs/>
        </w:rPr>
        <w:t xml:space="preserve">not</w:t>
      </w:r>
      <w:r>
        <w:t xml:space="preserve"> add </w:t>
      </w:r>
      <w:r>
        <w:rPr>
          <w:rStyle w:val="InlineCode"/>
        </w:rPr>
        <w:t xml:space="preserve">--output-mode EMIT_VARIANTS_ONLY</w:t>
      </w:r>
      <w:r>
        <w:t xml:space="preserve">: in GVCF mode it strips the reference blocks that prove each parent is hom-ref. </w:t>
      </w:r>
      <w:r>
        <w:rPr>
          <w:rStyle w:val="InlineCode"/>
        </w:rPr>
        <w:t xml:space="preserve">StrandBiasBySample</w:t>
      </w:r>
      <w:r>
        <w:t xml:space="preserve"> writes FORMAT/SB, which Layer 2 uses for per-sample strand tests.</w:t>
      </w:r>
    </w:p>
    <w:p>
      <w:pPr>
        <w:spacing w:after="120"/>
      </w:pPr>
      <w:r>
        <w:t xml:space="preserve">WES/panels: restrict to targets ± 100 bp. WGS: scatter across ~50 interval shards. Sex chromosomes: calling male chrX/chrY non-PAR with </w:t>
      </w:r>
      <w:r>
        <w:rPr>
          <w:rStyle w:val="InlineCode"/>
        </w:rPr>
        <w:t xml:space="preserve">--sample-ploidy 1</w:t>
      </w:r>
      <w:r>
        <w:t xml:space="preserve"> is optional — </w:t>
      </w:r>
      <w:r>
        <w:rPr>
          <w:rStyle w:val="InlineCode"/>
        </w:rPr>
        <w:t xml:space="preserve">trio-dnm</w:t>
      </w:r>
      <w:r>
        <w:t xml:space="preserve"> treats diploid 1/1 calls there as hemizygous.</w:t>
      </w:r>
    </w:p>
    <w:p>
      <w:pPr>
        <w:pStyle w:val="Heading2"/>
        <w:spacing w:after="120" w:before="240"/>
      </w:pPr>
      <w:r>
        <w:t xml:space="preserve">5.2 Joint genotyping</w:t>
      </w:r>
    </w:p>
    <w:p>
      <w:pPr>
        <w:pStyle w:val="CodeBlock"/>
        <w:spacing w:after="0" w:before="80"/>
      </w:pPr>
      <w:r>
        <w:t xml:space="preserve">gatk GenomicsDBImport -V proband.g.vcf.gz -V father.g.vcf.gz -V mother.g.vcf.gz \</w:t>
      </w:r>
    </w:p>
    <w:p>
      <w:pPr>
        <w:pStyle w:val="CodeBlock"/>
        <w:spacing w:after="0" w:before="0"/>
      </w:pPr>
      <w:r>
        <w:t xml:space="preserve">    --genomicsdb-workspace-path trio_db -L ${INTERVALS} --merge-input-intervals</w:t>
      </w:r>
    </w:p>
    <w:p>
      <w:pPr>
        <w:pStyle w:val="CodeBlock"/>
        <w:spacing w:after="0" w:before="0"/>
      </w:pPr>
      <w:r>
        <w:t xml:space="preserve">gatk GenotypeGVCFs -R ${REF} -V gendb://trio_db -O trio.vcf.gz \</w:t>
      </w:r>
    </w:p>
    <w:p>
      <w:pPr>
        <w:pStyle w:val="CodeBlock"/>
        <w:spacing w:after="0" w:before="0"/>
      </w:pPr>
      <w:r>
        <w:t xml:space="preserve">    -G StandardAnnotation -G AS_StandardAnnotation \</w:t>
      </w:r>
    </w:p>
    <w:p>
      <w:pPr>
        <w:pStyle w:val="CodeBlock"/>
        <w:spacing w:after="140" w:before="0"/>
      </w:pPr>
      <w:r>
        <w:t xml:space="preserve">    --only-output-calls-starting-in-intervals -L ${INTERVALS}</w:t>
      </w:r>
    </w:p>
    <w:p>
      <w:pPr>
        <w:spacing w:after="120"/>
      </w:pPr>
      <w:r>
        <w:t xml:space="preserve">Joint genotyping is essential: it recovers low-confidence parental ALT evidence that distinguishes inherited variants from DNMs.</w:t>
      </w:r>
    </w:p>
    <w:p>
      <w:pPr>
        <w:pStyle w:val="Heading2"/>
        <w:spacing w:after="120" w:before="240"/>
      </w:pPr>
      <w:r>
        <w:t xml:space="preserve">5.3 Site-level filtering and second caller</w:t>
      </w:r>
    </w:p>
    <w:p>
      <w:pPr>
        <w:spacing w:after="120"/>
      </w:pPr>
      <w:r>
        <w:t xml:space="preserve">Apply VQSR/VETS when cohort-scale data exist; otherwise GATK hard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Variant class</w:t>
            </w:r>
          </w:p>
        </w:tc>
        <w:tc>
          <w:tcPr>
            <w:tcW w:type="dxa" w:w="75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Filter expression</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SNVs</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QD &lt; 2.0 | FS &gt; 60.0 | MQ &lt; 40.0 | MQRankSum &lt; −12.5 | ReadPosRankSum &lt; −8.0 | SOR &gt; 3.0</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Indels</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QD &lt; 2.0 | QUAL &lt; 30.0 | FS &gt; 200.0 | ReadPosRankSum &lt; −20.0 | SOR &gt; 10.0</w:t>
            </w:r>
          </w:p>
        </w:tc>
      </w:tr>
    </w:tbl>
    <w:p>
      <w:pPr>
        <w:spacing w:after="60"/>
      </w:pPr>
    </w:p>
    <w:p>
      <w:pPr>
        <w:spacing w:after="120"/>
      </w:pPr>
      <w:r>
        <w:t xml:space="preserve">Normalise (</w:t>
      </w:r>
      <w:r>
        <w:rPr>
          <w:rStyle w:val="InlineCode"/>
        </w:rPr>
        <w:t xml:space="preserve">bcftools norm -m -any -f ref.fa</w:t>
      </w:r>
      <w:r>
        <w:t xml:space="preserve">) and annotate gnomAD v4.1 joint AF, ClinVar and the in-house panel of normals with vcfanno. In parallel run DeepTrio + GLnexus. </w:t>
      </w:r>
      <w:r>
        <w:rPr>
          <w:b/>
          <w:bCs/>
        </w:rPr>
        <w:t xml:space="preserve">Use the union of GATK and DeepTrio Mendelian-violation sites for candidate discovery</w:t>
      </w:r>
      <w:r>
        <w:t xml:space="preserve">; agreement between engines is counted as evidence in §6.5 rather than used as a pre-filter.</w:t>
      </w:r>
    </w:p>
    <w:p>
      <w:pPr>
        <w:pStyle w:val="Heading1"/>
        <w:spacing w:after="160" w:before="360"/>
      </w:pPr>
      <w:r>
        <w:t xml:space="preserve">6. Stage 4 — Multi-Caller De Novo Detection</w:t>
      </w:r>
    </w:p>
    <w:p>
      <w:pPr>
        <w:spacing w:after="120"/>
      </w:pPr>
      <w:r>
        <w:t xml:space="preserve">Each caller models the trio differently; agreement is the strongest single false-positive reducer. DeNovoGear and TrioDeNovo are run only at the candidate sites from §5.3, which keeps them tractable on WGS.</w:t>
      </w:r>
    </w:p>
    <w:p>
      <w:pPr>
        <w:pStyle w:val="Heading2"/>
        <w:spacing w:after="120" w:before="240"/>
      </w:pPr>
      <w:r>
        <w:t xml:space="preserve">6.1 GATK CalculateGenotypePosteriors + PossibleDeNovo</w:t>
      </w:r>
    </w:p>
    <w:p>
      <w:pPr>
        <w:pStyle w:val="CodeBlock"/>
        <w:spacing w:after="0" w:before="80"/>
      </w:pPr>
      <w:r>
        <w:t xml:space="preserve">gatk CalculateGenotypePosteriors -V trio.filtered.vcf.gz -ped trio.ped \</w:t>
      </w:r>
    </w:p>
    <w:p>
      <w:pPr>
        <w:pStyle w:val="CodeBlock"/>
        <w:spacing w:after="0" w:before="0"/>
      </w:pPr>
      <w:r>
        <w:t xml:space="preserve">    --skip-population-priors -O trio.cgp.vcf.gz</w:t>
      </w:r>
    </w:p>
    <w:p>
      <w:pPr>
        <w:pStyle w:val="CodeBlock"/>
        <w:spacing w:after="0" w:before="0"/>
      </w:pPr>
      <w:r>
        <w:t xml:space="preserve">gatk VariantAnnotator -R ${REF} -V trio.cgp.vcf.gz -ped trio.ped \</w:t>
      </w:r>
    </w:p>
    <w:p>
      <w:pPr>
        <w:pStyle w:val="CodeBlock"/>
        <w:spacing w:after="140" w:before="0"/>
      </w:pPr>
      <w:r>
        <w:t xml:space="preserve">    -A PossibleDeNovo -O trio.cgp.dn.vcf.gz      # writes hiConfDeNovo / loConfDeNovo</w:t>
      </w:r>
    </w:p>
    <w:p>
      <w:pPr>
        <w:pStyle w:val="Heading2"/>
        <w:spacing w:after="120" w:before="240"/>
      </w:pPr>
      <w:r>
        <w:t xml:space="preserve">6.2 DeNovoGear</w:t>
      </w:r>
    </w:p>
    <w:p>
      <w:pPr>
        <w:spacing w:after="120"/>
      </w:pPr>
      <w:r>
        <w:rPr>
          <w:rStyle w:val="InlineCode"/>
        </w:rPr>
        <w:t xml:space="preserve">bcftools mpileup -a AD,DP</w:t>
      </w:r>
      <w:r>
        <w:t xml:space="preserve"> of the three BAMs at candidate sites, then </w:t>
      </w:r>
      <w:r>
        <w:rPr>
          <w:rStyle w:val="InlineCode"/>
        </w:rPr>
        <w:t xml:space="preserve">dng dnm auto --ped trio.ped --bcf cand.bcf</w:t>
      </w:r>
      <w:r>
        <w:t xml:space="preserve">. Keep </w:t>
      </w:r>
      <w:r>
        <w:rPr>
          <w:rStyle w:val="InlineCode"/>
        </w:rPr>
        <w:t xml:space="preserve">pp_dnm ≥ 0.5</w:t>
      </w:r>
      <w:r>
        <w:t xml:space="preserve"> as caller support (</w:t>
      </w:r>
      <w:r>
        <w:rPr>
          <w:rStyle w:val="InlineCode"/>
        </w:rPr>
        <w:t xml:space="preserve">bin/dng2tsv.py</w:t>
      </w:r>
      <w:r>
        <w:t xml:space="preserve">).</w:t>
      </w:r>
    </w:p>
    <w:p>
      <w:pPr>
        <w:pStyle w:val="Heading2"/>
        <w:spacing w:after="120" w:before="240"/>
      </w:pPr>
      <w:r>
        <w:t xml:space="preserve">6.3 TrioDeNovo</w:t>
      </w:r>
    </w:p>
    <w:p>
      <w:pPr>
        <w:spacing w:after="120"/>
      </w:pPr>
      <w:r>
        <w:rPr>
          <w:rStyle w:val="InlineCode"/>
        </w:rPr>
        <w:t xml:space="preserve">triodenovo --ped trio.ped --in_vcf cand.vcf --out_vcf out.vcf --minDQ 7</w:t>
      </w:r>
      <w:r>
        <w:t xml:space="preserve"> on the joint-called candidate VCF (uses PL).</w:t>
      </w:r>
    </w:p>
    <w:p>
      <w:pPr>
        <w:pStyle w:val="Heading2"/>
        <w:spacing w:after="120" w:before="240"/>
      </w:pPr>
      <w:r>
        <w:t xml:space="preserve">6.4 DeepTrio</w:t>
      </w:r>
    </w:p>
    <w:p>
      <w:pPr>
        <w:spacing w:after="120"/>
      </w:pPr>
      <w:r>
        <w:t xml:space="preserve">Deep-learning trio caller with dedicated </w:t>
      </w:r>
      <w:r>
        <w:rPr>
          <w:b/>
          <w:bCs/>
        </w:rPr>
        <w:t xml:space="preserve">Illumina WGS, Illumina WES and PacBio models</w:t>
      </w:r>
      <w:r>
        <w:t xml:space="preserve"> trained on GIAB trios; select </w:t>
      </w:r>
      <w:r>
        <w:rPr>
          <w:rStyle w:val="InlineCode"/>
        </w:rPr>
        <w:t xml:space="preserve">--model_type</w:t>
      </w:r>
      <w:r>
        <w:t xml:space="preserve"> by data type. Particularly strong for indels and low-complexity sequence. Mendelian-violation sites from the GLnexus-merged trio are the DeepTrio call set.</w:t>
      </w:r>
    </w:p>
    <w:p>
      <w:pPr>
        <w:pStyle w:val="Heading2"/>
        <w:spacing w:after="120" w:before="240"/>
      </w:pPr>
      <w:r>
        <w:t xml:space="preserve">6.5 Consensus integration</w:t>
      </w:r>
    </w:p>
    <w:p>
      <w:pPr>
        <w:spacing w:after="120"/>
      </w:pPr>
      <w:r>
        <w:t xml:space="preserve">Each candidate carries </w:t>
      </w:r>
      <w:r>
        <w:rPr>
          <w:rStyle w:val="InlineCode"/>
        </w:rPr>
        <w:t xml:space="preserve">N_CALLERS</w:t>
      </w:r>
      <w:r>
        <w:t xml:space="preserve"> (external callers reporting it) and the in-pipeline posterior (§7.5). Thresholds adapt to the number of callers actually run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2800"/>
      </w:tblGrid>
      <w:tr>
        <w:trPr>
          <w:tblHeader/>
        </w:trPr>
        <w:tc>
          <w:tcPr>
            <w:tcW w:type="dxa" w:w="13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Tier</w:t>
            </w:r>
          </w:p>
        </w:tc>
        <w:tc>
          <w:tcPr>
            <w:tcW w:type="dxa" w:w="52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Definition</w:t>
            </w:r>
          </w:p>
        </w:tc>
        <w:tc>
          <w:tcPr>
            <w:tcW w:type="dxa" w:w="2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Expected use</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HIGH</w:t>
            </w:r>
          </w:p>
        </w:tc>
        <w:tc>
          <w:tcPr>
            <w:tcW w:type="dxa" w:w="5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Passes all layers; N_CALLERS ≥ min(3, k); and hiConfDeNovo or posterior ≥ 0.95</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Primary set; spot-check IGV</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MEDIUM</w:t>
            </w:r>
          </w:p>
        </w:tc>
        <w:tc>
          <w:tcPr>
            <w:tcW w:type="dxa" w:w="5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Passes all layers; N_CALLERS ≥ min(2, k) (or posterior ≥ 0.95 when k = 0)</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Mandatory IGV review before validation</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LOW</w:t>
            </w:r>
          </w:p>
        </w:tc>
        <w:tc>
          <w:tcPr>
            <w:tcW w:type="dxa" w:w="52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Passes all layers with single-caller support</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Report only if biologically compelling and orthogonally validated</w:t>
            </w:r>
          </w:p>
        </w:tc>
      </w:tr>
    </w:tbl>
    <w:p>
      <w:pPr>
        <w:pStyle w:val="Heading1"/>
        <w:spacing w:after="160" w:before="360"/>
      </w:pPr>
      <w:r>
        <w:t xml:space="preserve">7. Stage 5 — Layered Filter Cascade</w:t>
      </w:r>
    </w:p>
    <w:p>
      <w:pPr>
        <w:spacing w:after="120"/>
      </w:pPr>
      <w:r>
        <w:rPr>
          <w:rStyle w:val="InlineCode"/>
        </w:rPr>
        <w:t xml:space="preserve">trio-dnm call</w:t>
      </w:r>
      <w:r>
        <w:t xml:space="preserve"> evaluates every Mendelian-violation candidate against </w:t>
      </w:r>
      <w:r>
        <w:rPr>
          <w:b/>
          <w:bCs/>
        </w:rPr>
        <w:t xml:space="preserve">all</w:t>
      </w:r>
      <w:r>
        <w:t xml:space="preserve"> layers and records every failure reason in </w:t>
      </w:r>
      <w:r>
        <w:rPr>
          <w:rStyle w:val="InlineCode"/>
        </w:rPr>
        <w:t xml:space="preserve">candidates.tsv</w:t>
      </w:r>
      <w:r>
        <w:t xml:space="preserve">; the waterfall in </w:t>
      </w:r>
      <w:r>
        <w:rPr>
          <w:rStyle w:val="InlineCode"/>
        </w:rPr>
        <w:t xml:space="preserve">call_summary.json</w:t>
      </w:r>
      <w:r>
        <w:t xml:space="preserve"> counts each candidate once, at the first layer it fails. Defaults are for 30× PCR-free WGS; </w:t>
      </w:r>
      <w:r>
        <w:rPr>
          <w:rStyle w:val="InlineCode"/>
        </w:rPr>
        <w:t xml:space="preserve">--data-type wes|panel</w:t>
      </w:r>
      <w:r>
        <w:t xml:space="preserve"> applies the capture presets, and any threshold can be overridden with a JSON config.</w:t>
      </w:r>
    </w:p>
    <w:p>
      <w:pPr>
        <w:pStyle w:val="Heading2"/>
        <w:spacing w:after="120" w:before="240"/>
      </w:pPr>
      <w:r>
        <w:t xml:space="preserve">7.1 Layer 1 — Genotype-level filters (ploidy-aware)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60"/>
        <w:gridCol w:w="2300"/>
      </w:tblGrid>
      <w:tr>
        <w:trPr>
          <w:tblHeader/>
        </w:trPr>
        <w:tc>
          <w:tcPr>
            <w:tcW w:type="dxa" w:w="14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Metric</w:t>
            </w:r>
          </w:p>
        </w:tc>
        <w:tc>
          <w:tcPr>
            <w:tcW w:type="dxa" w:w="2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Proband</w:t>
            </w:r>
          </w:p>
        </w:tc>
        <w:tc>
          <w:tcPr>
            <w:tcW w:type="dxa" w:w="28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Each contributing parent</w:t>
            </w:r>
          </w:p>
        </w:tc>
        <w:tc>
          <w:tcPr>
            <w:tcW w:type="dxa" w:w="23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Rationale</w:t>
            </w:r>
          </w:p>
        </w:tc>
      </w:tr>
      <w:tr>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Genotype</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Carries ALT (0/1; hemizygous 1 or 1/1 where ploidy = 1)</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Called hom-ref (0/0 or 0)</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Mendelian violation</w:t>
            </w:r>
          </w:p>
        </w:tc>
      </w:tr>
      <w:tr>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GQ</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20</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20</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Genotype confidence</w:t>
            </w:r>
          </w:p>
        </w:tc>
      </w:tr>
      <w:tr>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DP</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10 and ≤ 2 × sample mean</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15 and ≤ 2 × sample mean (≥ 30 in mosaic track)</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P(0 ALT reads | het, DP 15) ≈ 3 × 10⁻⁵</w:t>
            </w:r>
          </w:p>
        </w:tc>
      </w:tr>
      <w:tr>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ALT reads</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5</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1 (0 in mosaic track)</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Parental leakage</w:t>
            </w:r>
          </w:p>
        </w:tc>
      </w:tr>
      <w:tr>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VAF</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0.30–0.70 diploid; ≥ 0.85 hemizygous</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0.05</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Allele balance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Region (by build-specific PAR coordinates)</w:t>
            </w:r>
          </w:p>
        </w:tc>
        <w:tc>
          <w:tcPr>
            <w:tcW w:type="dxa" w:w="16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Proband ploidy</w:t>
            </w:r>
          </w:p>
        </w:tc>
        <w:tc>
          <w:tcPr>
            <w:tcW w:type="dxa" w:w="35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Parents that must be hom-ref</w:t>
            </w:r>
          </w:p>
        </w:tc>
      </w:tr>
      <w:tr>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Autosomes, PAR1/PAR2</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3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Father and mother</w:t>
            </w:r>
          </w:p>
        </w:tc>
      </w:tr>
      <w:tr>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chrX non-PAR, female proband</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2</w:t>
            </w:r>
          </w:p>
        </w:tc>
        <w:tc>
          <w:tcPr>
            <w:tcW w:type="dxa" w:w="3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Father (hemizygous ref) and mother</w:t>
            </w:r>
          </w:p>
        </w:tc>
      </w:tr>
      <w:tr>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chrX non-PAR, male proband</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w:t>
            </w:r>
          </w:p>
        </w:tc>
        <w:tc>
          <w:tcPr>
            <w:tcW w:type="dxa" w:w="3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Mother only (father transmits Y)</w:t>
            </w:r>
          </w:p>
        </w:tc>
      </w:tr>
      <w:tr>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chrY non-PAR, male proband</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w:t>
            </w:r>
          </w:p>
        </w:tc>
        <w:tc>
          <w:tcPr>
            <w:tcW w:type="dxa" w:w="3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Father only</w:t>
            </w:r>
          </w:p>
        </w:tc>
      </w:tr>
      <w:tr>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chrM</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c>
          <w:tcPr>
            <w:tcW w:type="dxa" w:w="3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Excluded (heteroplasmy pipeline)</w:t>
            </w:r>
          </w:p>
        </w:tc>
      </w:tr>
    </w:tbl>
    <w:p>
      <w:pPr>
        <w:spacing w:after="60"/>
      </w:pPr>
    </w:p>
    <w:p>
      <w:pPr>
        <w:spacing w:after="120"/>
      </w:pPr>
      <w:r>
        <w:t xml:space="preserve">Candidates whose proband VAF is significantly below 0.5 (one-sided binomial p &lt; 10⁻³ and VAF &lt; 0.40) are routed to the post-zygotic mosaic track; candidates with significant low-level parental ALT reads are routed to the parental-mosaic track (§9).</w:t>
      </w:r>
    </w:p>
    <w:p>
      <w:pPr>
        <w:pStyle w:val="Heading2"/>
        <w:spacing w:after="120" w:before="240"/>
      </w:pPr>
      <w:r>
        <w:t xml:space="preserve">7.2 Layer 2 — Read and alignment quality</w:t>
      </w:r>
    </w:p>
    <w:p>
      <w:pPr>
        <w:pStyle w:val="ListParagraph"/>
        <w:numPr>
          <w:ilvl w:val="0"/>
          <w:numId w:val="2"/>
        </w:numPr>
        <w:spacing w:after="60"/>
      </w:pPr>
      <w:r>
        <w:t xml:space="preserve">MQ ≥ 40; FS &lt; 60 (SNV) / &lt; 200 (indel); SOR &lt; 3 (SNV) / &lt; 10 (indel).</w:t>
      </w:r>
    </w:p>
    <w:p>
      <w:pPr>
        <w:pStyle w:val="ListParagraph"/>
        <w:numPr>
          <w:ilvl w:val="0"/>
          <w:numId w:val="2"/>
        </w:numPr>
        <w:spacing w:after="60"/>
      </w:pPr>
      <w:r>
        <w:t xml:space="preserve">MQRankSum ≥ −12.5; ReadPosRankSum ≥ −8 (SNV) / ≥ −20 (indel).</w:t>
      </w:r>
    </w:p>
    <w:p>
      <w:pPr>
        <w:pStyle w:val="ListParagraph"/>
        <w:numPr>
          <w:ilvl w:val="0"/>
          <w:numId w:val="2"/>
        </w:numPr>
        <w:spacing w:after="60"/>
      </w:pPr>
      <w:r>
        <w:t xml:space="preserve">Proband ALT reads on both strands (≥ 1 each, ≥ 2 preferred) and per-sample strand Fisher p ≥ 10⁻³ from FORMAT/SB.</w:t>
      </w:r>
    </w:p>
    <w:p>
      <w:pPr>
        <w:pStyle w:val="ListParagraph"/>
        <w:numPr>
          <w:ilvl w:val="0"/>
          <w:numId w:val="2"/>
        </w:numPr>
        <w:spacing w:after="60"/>
      </w:pPr>
      <w:r>
        <w:t xml:space="preserve">Soft-clipped read fraction &lt; 30 % at the site when available; indels supported by ≥ 2 distinct read start positions.</w:t>
      </w:r>
    </w:p>
    <w:p>
      <w:pPr>
        <w:pStyle w:val="Heading2"/>
        <w:spacing w:after="120" w:before="240"/>
      </w:pPr>
      <w:r>
        <w:t xml:space="preserve">7.3 Layer 3 — Genomic region exclusion (hard masks)</w:t>
      </w:r>
    </w:p>
    <w:p>
      <w:pPr>
        <w:pStyle w:val="ListParagraph"/>
        <w:numPr>
          <w:ilvl w:val="0"/>
          <w:numId w:val="2"/>
        </w:numPr>
        <w:spacing w:after="60"/>
      </w:pPr>
      <w:r>
        <w:t xml:space="preserve">ENCODE blacklist v2; GIAB stratifications: low mappability, segmental duplications, tandem repeats / low complexity; in-house recurrent-artefact and pseudogene masks.</w:t>
      </w:r>
    </w:p>
    <w:p>
      <w:pPr>
        <w:pStyle w:val="ListParagraph"/>
        <w:numPr>
          <w:ilvl w:val="0"/>
          <w:numId w:val="2"/>
        </w:numPr>
        <w:spacing w:after="60"/>
      </w:pPr>
      <w:r>
        <w:t xml:space="preserve">Homopolymer run ≥ 8 bp (SNV) or ≥ 6 bp (indel), computed from the reference around the site.</w:t>
      </w:r>
    </w:p>
    <w:p>
      <w:pPr>
        <w:pStyle w:val="ListParagraph"/>
        <w:numPr>
          <w:ilvl w:val="0"/>
          <w:numId w:val="2"/>
        </w:numPr>
        <w:spacing w:after="60"/>
      </w:pPr>
      <w:r>
        <w:t xml:space="preserve">Within ± 5 bp of a reference N stretch.</w:t>
      </w:r>
    </w:p>
    <w:p>
      <w:pPr>
        <w:pStyle w:val="Heading2"/>
        <w:spacing w:after="120" w:before="240"/>
      </w:pPr>
      <w:r>
        <w:t xml:space="preserve">7.4 Layer 4 — Population and recurrence</w:t>
      </w:r>
    </w:p>
    <w:p>
      <w:pPr>
        <w:pStyle w:val="ListParagraph"/>
        <w:numPr>
          <w:ilvl w:val="0"/>
          <w:numId w:val="2"/>
        </w:numPr>
        <w:spacing w:after="60"/>
      </w:pPr>
      <w:r>
        <w:t xml:space="preserve">gnomAD v4.1 joint AF &lt; 1 × 10⁻⁴. A ClinVar P/LP match is flagged </w:t>
      </w:r>
      <w:r>
        <w:rPr>
          <w:rStyle w:val="InlineCode"/>
        </w:rPr>
        <w:t xml:space="preserve">POP_AF_RESCUED_BY_CLINVAR</w:t>
      </w:r>
      <w:r>
        <w:t xml:space="preserve"> rather than removed: recurrent pathogenic DNMs at hypermutable CpGs, and CH variants in gnomAD blood donors, can appear at low counts.</w:t>
      </w:r>
    </w:p>
    <w:p>
      <w:pPr>
        <w:pStyle w:val="ListParagraph"/>
        <w:numPr>
          <w:ilvl w:val="0"/>
          <w:numId w:val="2"/>
        </w:numPr>
        <w:spacing w:after="60"/>
      </w:pPr>
      <w:r>
        <w:t xml:space="preserve">In-house panel of normals (≥ 100 unrelated, identically processed): AF ≤ 0.01.</w:t>
      </w:r>
    </w:p>
    <w:p>
      <w:pPr>
        <w:pStyle w:val="ListParagraph"/>
        <w:numPr>
          <w:ilvl w:val="0"/>
          <w:numId w:val="2"/>
        </w:numPr>
        <w:spacing w:after="60"/>
      </w:pPr>
      <w:r>
        <w:t xml:space="preserve">Recurrence in ≥ 5 unrelated trios in project history: removed as a likely artefact unless ClinVar P/LP (then flagged as a known recurrent pathogenic site).</w:t>
      </w:r>
    </w:p>
    <w:p>
      <w:pPr>
        <w:pStyle w:val="Heading2"/>
        <w:spacing w:after="120" w:before="240"/>
      </w:pPr>
      <w:r>
        <w:t xml:space="preserve">7.5 Layer 5 — Bayesian trio posterior</w:t>
      </w:r>
    </w:p>
    <w:p>
      <w:pPr>
        <w:spacing w:after="120"/>
      </w:pPr>
      <w:r>
        <w:rPr>
          <w:rStyle w:val="InlineCode"/>
        </w:rPr>
        <w:t xml:space="preserve">trio-dnm</w:t>
      </w:r>
      <w:r>
        <w:t xml:space="preserve"> computes the posterior from the joint-VCF genotype likelihoods (PL; a binomial read model with 1 % error when PL is absent), summing over every joint genotype configuration:</w:t>
      </w:r>
    </w:p>
    <w:p>
      <w:pPr>
        <w:pStyle w:val="CodeBlock"/>
        <w:spacing w:after="0" w:before="80"/>
      </w:pPr>
      <w:r>
        <w:t xml:space="preserve">P(DNM | D) = Σ_{g_c&gt;0} P(D_f|0) P(D_m|0) P(D_c|g_c) π(0)π(0) T(g_c|0,0)  /  Σ_{g_f,g_m,g_c} (same terms)</w:t>
      </w:r>
    </w:p>
    <w:p>
      <w:pPr>
        <w:pStyle w:val="CodeBlock"/>
        <w:spacing w:after="0" w:before="0"/>
      </w:pPr>
      <w:r>
        <w:t xml:space="preserve"> </w:t>
      </w:r>
    </w:p>
    <w:p>
      <w:pPr>
        <w:pStyle w:val="CodeBlock"/>
        <w:spacing w:after="0" w:before="0"/>
      </w:pPr>
      <w:r>
        <w:t xml:space="preserve">π(g)          Hardy–Weinberg prior with q = max(gnomAD AF, 1e-4)   (floor keeps absent sites conservative)</w:t>
      </w:r>
    </w:p>
    <w:p>
      <w:pPr>
        <w:pStyle w:val="CodeBlock"/>
        <w:spacing w:after="0" w:before="0"/>
      </w:pPr>
      <w:r>
        <w:t xml:space="preserve">T(g_c|g_f,g_m) Mendelian transmission with per-allele mutation μ = 1.2e-8 (SNV) / 1e-9 (indel)</w:t>
      </w:r>
    </w:p>
    <w:p>
      <w:pPr>
        <w:pStyle w:val="CodeBlock"/>
        <w:spacing w:after="140" w:before="0"/>
      </w:pPr>
      <w:r>
        <w:t xml:space="preserve">ploidy         taken from the region table in §7.1 (hemizygous child: single transmitting parent)</w:t>
      </w:r>
    </w:p>
    <w:p>
      <w:pPr>
        <w:pStyle w:val="ListParagraph"/>
        <w:numPr>
          <w:ilvl w:val="0"/>
          <w:numId w:val="2"/>
        </w:numPr>
        <w:spacing w:after="60"/>
      </w:pPr>
      <w:r>
        <w:t xml:space="preserve">Retain candidates with posterior ≥ 0.80; the HIGH tier requires ≥ 0.95 or hiConfDeNovo.</w:t>
      </w:r>
    </w:p>
    <w:p>
      <w:pPr>
        <w:pStyle w:val="ListParagraph"/>
        <w:numPr>
          <w:ilvl w:val="0"/>
          <w:numId w:val="2"/>
        </w:numPr>
        <w:spacing w:after="60"/>
      </w:pPr>
      <w:r>
        <w:t xml:space="preserve">For the mosaic tracks a two-class read model (true event at observed VAF vs sequencing error 0.5 %) replaces the diploid model, multiplied by the probability that each parent does not carry the event at that VAF.</w:t>
      </w:r>
    </w:p>
    <w:p>
      <w:pPr>
        <w:pStyle w:val="Heading2"/>
        <w:spacing w:after="120" w:before="240"/>
      </w:pPr>
      <w:r>
        <w:t xml:space="preserve">7.6 Layer 6 — Call-set integrity (replaces v1.0 kinship-on-DNMs)</w:t>
      </w:r>
    </w:p>
    <w:p>
      <w:pPr>
        <w:pStyle w:val="ListParagraph"/>
        <w:numPr>
          <w:ilvl w:val="0"/>
          <w:numId w:val="2"/>
        </w:numPr>
        <w:spacing w:after="60"/>
      </w:pPr>
      <w:r>
        <w:rPr>
          <w:b/>
          <w:bCs/>
        </w:rPr>
        <w:t xml:space="preserve">Parental leakage</w:t>
      </w:r>
      <w:r>
        <w:t xml:space="preserve">: fraction of germline DNMs with any ALT read in each parent. An asymmetric excess (e.g. father 25 %, mother 3 %) points to contamination, a swap or under-sequencing of that parent.</w:t>
      </w:r>
    </w:p>
    <w:p>
      <w:pPr>
        <w:pStyle w:val="ListParagraph"/>
        <w:numPr>
          <w:ilvl w:val="0"/>
          <w:numId w:val="2"/>
        </w:numPr>
        <w:spacing w:after="60"/>
      </w:pPr>
      <w:r>
        <w:rPr>
          <w:b/>
          <w:bCs/>
        </w:rPr>
        <w:t xml:space="preserve">Raw Mendelian error rate</w:t>
      </w:r>
      <w:r>
        <w:t xml:space="preserve"> (§3.2) recorded per trio.</w:t>
      </w:r>
    </w:p>
    <w:p>
      <w:pPr>
        <w:pStyle w:val="ListParagraph"/>
        <w:numPr>
          <w:ilvl w:val="0"/>
          <w:numId w:val="2"/>
        </w:numPr>
        <w:spacing w:after="60"/>
      </w:pPr>
      <w:r>
        <w:rPr>
          <w:b/>
          <w:bCs/>
        </w:rPr>
        <w:t xml:space="preserve">Allele balance</w:t>
      </w:r>
      <w:r>
        <w:t xml:space="preserve">: median proband VAF of germline DNMs should be 0.42–0.58.</w:t>
      </w:r>
    </w:p>
    <w:p>
      <w:pPr>
        <w:pStyle w:val="ListParagraph"/>
        <w:numPr>
          <w:ilvl w:val="0"/>
          <w:numId w:val="2"/>
        </w:numPr>
        <w:spacing w:after="60"/>
      </w:pPr>
      <w:r>
        <w:rPr>
          <w:b/>
          <w:bCs/>
        </w:rPr>
        <w:t xml:space="preserve">Clustering</w:t>
      </w:r>
      <w:r>
        <w:t xml:space="preserve">: DNMs within 20 kb are flagged </w:t>
      </w:r>
      <w:r>
        <w:rPr>
          <w:rStyle w:val="InlineCode"/>
        </w:rPr>
        <w:t xml:space="preserve">CLUSTERED_DNM</w:t>
      </w:r>
      <w:r>
        <w:t xml:space="preserve"> for review (complex events, MNVs, maternal-age-associated clusters, or mapping artefacts).</w:t>
      </w:r>
    </w:p>
    <w:p>
      <w:pPr>
        <w:pStyle w:val="Heading1"/>
        <w:spacing w:after="160" w:before="360"/>
      </w:pPr>
      <w:r>
        <w:t xml:space="preserve">8. Stage 6 — Biological Sanity Checks</w:t>
      </w:r>
    </w:p>
    <w:p>
      <w:pPr>
        <w:spacing w:after="120"/>
      </w:pPr>
      <w:r>
        <w:t xml:space="preserve">True germline DNMs reproduce known aggregate biology. </w:t>
      </w:r>
      <w:r>
        <w:rPr>
          <w:rStyle w:val="InlineCode"/>
        </w:rPr>
        <w:t xml:space="preserve">trio-dnm annotate</w:t>
      </w:r>
      <w:r>
        <w:t xml:space="preserve"> computes each metric and sets the trio status to PASS or REVIEW with explicit warnings. Deviation indicates a methodological problem until proven otherwise.</w:t>
      </w:r>
    </w:p>
    <w:p>
      <w:pPr>
        <w:pStyle w:val="Heading2"/>
        <w:spacing w:after="120" w:before="240"/>
      </w:pPr>
      <w:r>
        <w:t xml:space="preserve">8.1 Expected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Data type</w:t>
            </w:r>
          </w:p>
        </w:tc>
        <w:tc>
          <w:tcPr>
            <w:tcW w:type="dxa" w:w="2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SNV DNMs</w:t>
            </w:r>
          </w:p>
        </w:tc>
        <w:tc>
          <w:tcPr>
            <w:tcW w:type="dxa" w:w="1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Indel DNMs</w:t>
            </w:r>
          </w:p>
        </w:tc>
        <w:tc>
          <w:tcPr>
            <w:tcW w:type="dxa" w:w="23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Hard alarm</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WGS 30×</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45–95 (callable-genome dependent)</w:t>
            </w:r>
          </w:p>
        </w:tc>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3–12</w:t>
            </w:r>
          </w:p>
        </w:tc>
        <w:tc>
          <w:tcPr>
            <w:tcW w:type="dxa" w:w="2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&lt; 30 or &gt; 150</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WES (coding)</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0.5–2.5</w:t>
            </w:r>
          </w:p>
        </w:tc>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0–1</w:t>
            </w:r>
          </w:p>
        </w:tc>
        <w:tc>
          <w:tcPr>
            <w:tcW w:type="dxa" w:w="2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&gt; 5</w:t>
            </w:r>
          </w:p>
        </w:tc>
      </w:tr>
      <w:tr>
        <w:tc>
          <w:tcPr>
            <w:tcW w:type="dxa" w:w="24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Targeted panel (~1 Mb)</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0–1</w:t>
            </w:r>
          </w:p>
        </w:tc>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0–1</w:t>
            </w:r>
          </w:p>
        </w:tc>
        <w:tc>
          <w:tcPr>
            <w:tcW w:type="dxa" w:w="2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&gt; 2</w:t>
            </w:r>
          </w:p>
        </w:tc>
      </w:tr>
    </w:tbl>
    <w:p>
      <w:pPr>
        <w:spacing w:after="60"/>
      </w:pPr>
    </w:p>
    <w:p>
      <w:pPr>
        <w:spacing w:after="120"/>
      </w:pPr>
      <w:r>
        <w:t xml:space="preserve">Age adjustment (WGS): expected ≈ c + 1.51 × paternal age + 0.37 × maternal age (Jónsson 2017). The intercept c depends on the callable fraction; calibrate it on ≥ 20 in-house trios before interpreting the observed/expected ratio, which is reported per trio. A large excess with a distinctive spectrum should prompt review for germline hypermutation (e.g. paternal chemotherapy exposure; Kaplanis 2022).</w:t>
      </w:r>
    </w:p>
    <w:p>
      <w:pPr>
        <w:pStyle w:val="Heading2"/>
        <w:spacing w:after="120" w:before="240"/>
      </w:pPr>
      <w:r>
        <w:t xml:space="preserve">8.2 Parent of origin</w:t>
      </w:r>
    </w:p>
    <w:p>
      <w:pPr>
        <w:spacing w:after="120"/>
      </w:pPr>
      <w:r>
        <w:t xml:space="preserve">Phase with </w:t>
      </w:r>
      <w:r>
        <w:rPr>
          <w:b/>
          <w:bCs/>
        </w:rPr>
        <w:t xml:space="preserve">unfazed</w:t>
      </w:r>
      <w:r>
        <w:t xml:space="preserve"> (read-backed and extended read-backed phasing using informative heterozygous sites). Expect 75–80 % paternal among phased SNV DNMs. Report the fraction with its Wilson 95 % CI and the number phased; alarm only when ≥ 10 are phased and the fraction lies outside </w:t>
      </w:r>
      <w:r>
        <w:rPr>
          <w:b/>
          <w:bCs/>
        </w:rPr>
        <w:t xml:space="preserve">65–90 %</w:t>
      </w:r>
      <w:r>
        <w:t xml:space="preserve">.</w:t>
      </w:r>
    </w:p>
    <w:p>
      <w:pPr>
        <w:pStyle w:val="Heading2"/>
        <w:spacing w:after="120" w:before="240"/>
      </w:pPr>
      <w:r>
        <w:t xml:space="preserve">8.3 Mutation spectrum and signatures</w:t>
      </w:r>
    </w:p>
    <w:p>
      <w:pPr>
        <w:pStyle w:val="ListParagraph"/>
        <w:numPr>
          <w:ilvl w:val="0"/>
          <w:numId w:val="2"/>
        </w:numPr>
        <w:spacing w:after="60"/>
      </w:pPr>
      <w:r>
        <w:t xml:space="preserve">CpG transitions: 10–25 % of SNV DNMs (≈ 15–20 % expected).</w:t>
      </w:r>
    </w:p>
    <w:p>
      <w:pPr>
        <w:pStyle w:val="ListParagraph"/>
        <w:numPr>
          <w:ilvl w:val="0"/>
          <w:numId w:val="2"/>
        </w:numPr>
        <w:spacing w:after="60"/>
      </w:pPr>
      <w:r>
        <w:t xml:space="preserve">Ti/Tv: 1.7–2.5 (WGS); 2.2–3.5 (WES).</w:t>
      </w:r>
    </w:p>
    <w:p>
      <w:pPr>
        <w:pStyle w:val="ListParagraph"/>
        <w:numPr>
          <w:ilvl w:val="0"/>
          <w:numId w:val="2"/>
        </w:numPr>
        <w:spacing w:after="60"/>
      </w:pPr>
      <w:r>
        <w:t xml:space="preserve">SBS-96 spectrum refit to SBS1 + SBS5 + SBS40 by non-negative least squares; report exposures and reconstruction cosine. Unexpected signatures (e.g. SBS17, platinum SBS31/35) indicate artefact or exposure.</w:t>
      </w:r>
    </w:p>
    <w:p>
      <w:pPr>
        <w:pStyle w:val="Heading2"/>
        <w:spacing w:after="120" w:before="240"/>
      </w:pPr>
      <w:r>
        <w:t xml:space="preserve">8.4 Indel properties</w:t>
      </w:r>
    </w:p>
    <w:p>
      <w:pPr>
        <w:spacing w:after="120"/>
      </w:pPr>
      <w:r>
        <w:t xml:space="preserve">1–4 bp events should dominate; insertion:deletion ≈ 1:1 in unique sequence. A deletion excess concentrated in repeats indicates homopolymer/STR leakage (tighten Layer 3).</w:t>
      </w:r>
    </w:p>
    <w:p>
      <w:pPr>
        <w:pStyle w:val="Heading1"/>
        <w:spacing w:after="160" w:before="360"/>
      </w:pPr>
      <w:r>
        <w:t xml:space="preserve">9. Stage 7 — Mosaic-Aware Tracks</w:t>
      </w:r>
    </w:p>
    <w:p>
      <w:pPr>
        <w:pStyle w:val="Heading2"/>
        <w:spacing w:after="120" w:before="240"/>
      </w:pPr>
      <w:r>
        <w:t xml:space="preserve">9.1 Coverage and callers</w:t>
      </w:r>
    </w:p>
    <w:p>
      <w:pPr>
        <w:spacing w:after="120"/>
      </w:pPr>
      <w:r>
        <w:t xml:space="preserve">Reliable detection at VAF 0.05 needs ≥ 200×; standard 30× WGS detects VAF ≳ 0.15–0.20 with modest sensitivity. For mosaic-focused studies deepen the proband by PCR-free targeted or duplex/UMI resequencing. Two complementary routes run in parallel:</w:t>
      </w:r>
    </w:p>
    <w:p>
      <w:pPr>
        <w:pStyle w:val="ListParagraph"/>
        <w:numPr>
          <w:ilvl w:val="0"/>
          <w:numId w:val="2"/>
        </w:numPr>
        <w:spacing w:after="60"/>
      </w:pPr>
      <w:r>
        <w:rPr>
          <w:b/>
          <w:bCs/>
        </w:rPr>
        <w:t xml:space="preserve">Within `trio-dnm call`</w:t>
      </w:r>
      <w:r>
        <w:t xml:space="preserve">: low-VAF candidates present in the joint VCF, filtered with the mosaic thresholds below.</w:t>
      </w:r>
    </w:p>
    <w:p>
      <w:pPr>
        <w:pStyle w:val="ListParagraph"/>
        <w:numPr>
          <w:ilvl w:val="0"/>
          <w:numId w:val="2"/>
        </w:numPr>
        <w:spacing w:after="60"/>
      </w:pPr>
      <w:r>
        <w:rPr>
          <w:b/>
          <w:bCs/>
        </w:rPr>
        <w:t xml:space="preserve">Mutect2 tumour-only → MosaicForecast</w:t>
      </w:r>
      <w:r>
        <w:t xml:space="preserve"> on the proband (sites with VAF 0.03–0.40, </w:t>
      </w:r>
      <w:r>
        <w:rPr>
          <w:rStyle w:val="InlineCode"/>
        </w:rPr>
        <w:t xml:space="preserve">Refine</w:t>
      </w:r>
      <w:r>
        <w:t xml:space="preserve"> model), then parental absence asserted from parental BAM pileups. DeepMosaic may be added for sensitivity at VAF 0.05–0.20.</w:t>
      </w:r>
    </w:p>
    <w:p>
      <w:pPr>
        <w:pStyle w:val="Heading2"/>
        <w:spacing w:after="120" w:before="240"/>
      </w:pPr>
      <w:r>
        <w:t xml:space="preserve">9.2 Mosaic filters</w:t>
      </w:r>
    </w:p>
    <w:p>
      <w:pPr>
        <w:pStyle w:val="ListParagraph"/>
        <w:numPr>
          <w:ilvl w:val="0"/>
          <w:numId w:val="2"/>
        </w:numPr>
        <w:spacing w:after="60"/>
      </w:pPr>
      <w:r>
        <w:t xml:space="preserve">Proband ALT reads ≥ 3 and VAF ≥ 0.05 (0.02 for deep panels).</w:t>
      </w:r>
    </w:p>
    <w:p>
      <w:pPr>
        <w:pStyle w:val="ListParagraph"/>
        <w:numPr>
          <w:ilvl w:val="0"/>
          <w:numId w:val="2"/>
        </w:numPr>
        <w:spacing w:after="60"/>
      </w:pPr>
      <w:r>
        <w:t xml:space="preserve">Both parents: DP ≥ 30 and zero ALT reads.</w:t>
      </w:r>
    </w:p>
    <w:p>
      <w:pPr>
        <w:pStyle w:val="ListParagraph"/>
        <w:numPr>
          <w:ilvl w:val="0"/>
          <w:numId w:val="2"/>
        </w:numPr>
        <w:spacing w:after="60"/>
      </w:pPr>
      <w:r>
        <w:t xml:space="preserve">ALT on both strands (Fisher p &gt; 10⁻³); ALT reads not concentrated in the terminal 10 % of read length.</w:t>
      </w:r>
    </w:p>
    <w:p>
      <w:pPr>
        <w:pStyle w:val="Heading2"/>
        <w:spacing w:after="120" w:before="240"/>
      </w:pPr>
      <w:r>
        <w:t xml:space="preserve">9.3 VAF classification</w:t>
      </w:r>
    </w:p>
    <w:p>
      <w:pPr>
        <w:spacing w:after="120"/>
      </w:pPr>
      <w:r>
        <w:t xml:space="preserve">Use a one-sided binomial test of ALT reads against 0.5 and report the Wilson 95 % CI, instead of fixed VAF bins. Significantly sub-heterozygous VAF indicates post-zygotic origin; the lower the VAF, the later (or more lineage-restricted) the event. A non-significant result at 0.30–0.45 is compatible with a heterozygote and must not be called mosaic without deeper data.</w:t>
      </w:r>
    </w:p>
    <w:p>
      <w:pPr>
        <w:pStyle w:val="Heading2"/>
        <w:spacing w:after="120" w:before="240"/>
      </w:pPr>
      <w:r>
        <w:t xml:space="preserve">9.4 Parental mosaicism (new)</w:t>
      </w:r>
    </w:p>
    <w:p>
      <w:pPr>
        <w:spacing w:after="120"/>
      </w:pPr>
      <w:r>
        <w:t xml:space="preserve">A proband heterozygote whose parent shows ALT reads significantly above sequencing error (binomial p &lt; 10⁻⁴, ≥ 2 ALT reads, VAF ≤ 0.25) is </w:t>
      </w:r>
      <w:r>
        <w:rPr>
          <w:b/>
          <w:bCs/>
        </w:rPr>
        <w:t xml:space="preserve">not</w:t>
      </w:r>
      <w:r>
        <w:t xml:space="preserve"> discarded; it is reported in the </w:t>
      </w:r>
      <w:r>
        <w:rPr>
          <w:rStyle w:val="InlineCode"/>
        </w:rPr>
        <w:t xml:space="preserve">parental_mosaic</w:t>
      </w:r>
      <w:r>
        <w:t xml:space="preserve"> track. These variants carry substantial recurrence risk and should be confirmed by ddPCR or deep amplicon sequencing in parental blood, buccal and — for fathers — sperm.</w:t>
      </w:r>
    </w:p>
    <w:p>
      <w:pPr>
        <w:pStyle w:val="Heading2"/>
        <w:spacing w:after="120" w:before="240"/>
      </w:pPr>
      <w:r>
        <w:t xml:space="preserve">9.5 Clonal haematopoiesis as a confounder</w:t>
      </w:r>
    </w:p>
    <w:p>
      <w:pPr>
        <w:spacing w:after="120"/>
      </w:pPr>
      <w:r>
        <w:t xml:space="preserve">Blood-derived DNA from adult probands and from parents can carry CH clones (DNMT3A, TET2, ASXL1, PPM1D, TP53, JAK2, SF3B1, SRSF2 …) at 2–35 % VAF. A low-VAF "DNM" in a CH gene in an adult proband, or parental ALT reads at such a site, should be treated as CH until shown otherwise in a non-haematopoietic tissue. The CH screen (§11.8) is run on all trio members for this reason.</w:t>
      </w:r>
    </w:p>
    <w:p>
      <w:pPr>
        <w:pStyle w:val="Heading1"/>
        <w:spacing w:after="160" w:before="360"/>
      </w:pPr>
      <w:r>
        <w:t xml:space="preserve">10. Stage 8 — Functional Annotation, Prediction and Prioritisation</w:t>
      </w:r>
    </w:p>
    <w:p>
      <w:pPr>
        <w:pStyle w:val="Heading2"/>
        <w:spacing w:after="120" w:before="240"/>
      </w:pPr>
      <w:r>
        <w:t xml:space="preserve">10.1 VEP annotation (corrected command)</w:t>
      </w:r>
    </w:p>
    <w:p>
      <w:pPr>
        <w:pStyle w:val="CodeBlock"/>
        <w:spacing w:after="0" w:before="80"/>
      </w:pPr>
      <w:r>
        <w:t xml:space="preserve">vep --input_file dnm.vcf --output_file dnm.vep.vcf --vcf --offline --cache \</w:t>
      </w:r>
    </w:p>
    <w:p>
      <w:pPr>
        <w:pStyle w:val="CodeBlock"/>
        <w:spacing w:after="0" w:before="0"/>
      </w:pPr>
      <w:r>
        <w:t xml:space="preserve">    --dir_cache ${VEP_CACHE} --dir_plugins ${VEP_PLUGINS} --assembly GRCh38 --fasta ${REF} \</w:t>
      </w:r>
    </w:p>
    <w:p>
      <w:pPr>
        <w:pStyle w:val="CodeBlock"/>
        <w:spacing w:after="0" w:before="0"/>
      </w:pPr>
      <w:r>
        <w:t xml:space="preserve">    --everything --mane --flag_pick_allele_gene \</w:t>
      </w:r>
    </w:p>
    <w:p>
      <w:pPr>
        <w:pStyle w:val="CodeBlock"/>
        <w:spacing w:after="0" w:before="0"/>
      </w:pPr>
      <w:r>
        <w:t xml:space="preserve">    --pick_order mane_select,mane_plus_clinical,canonical,appris,tsl,biotype,ccds,rank,length \</w:t>
      </w:r>
    </w:p>
    <w:p>
      <w:pPr>
        <w:pStyle w:val="CodeBlock"/>
        <w:spacing w:after="0" w:before="0"/>
      </w:pPr>
      <w:r>
        <w:t xml:space="preserve">    --plugin LoF,loftee_path:${LOFTEE},human_ancestor_fa:${ANC},conservation_file:${LOFTEE_SQL} \</w:t>
      </w:r>
    </w:p>
    <w:p>
      <w:pPr>
        <w:pStyle w:val="CodeBlock"/>
        <w:spacing w:after="0" w:before="0"/>
      </w:pPr>
      <w:r>
        <w:t xml:space="preserve">    --plugin CADD,snv=${CADD_SNV},indels=${CADD_INDEL} \</w:t>
      </w:r>
    </w:p>
    <w:p>
      <w:pPr>
        <w:pStyle w:val="CodeBlock"/>
        <w:spacing w:after="0" w:before="0"/>
      </w:pPr>
      <w:r>
        <w:t xml:space="preserve">    --plugin REVEL,file=${REVEL} \</w:t>
      </w:r>
    </w:p>
    <w:p>
      <w:pPr>
        <w:pStyle w:val="CodeBlock"/>
        <w:spacing w:after="0" w:before="0"/>
      </w:pPr>
      <w:r>
        <w:t xml:space="preserve">    --plugin AlphaMissense,file=${AM} \</w:t>
      </w:r>
    </w:p>
    <w:p>
      <w:pPr>
        <w:pStyle w:val="CodeBlock"/>
        <w:spacing w:after="0" w:before="0"/>
      </w:pPr>
      <w:r>
        <w:t xml:space="preserve">    --plugin SpliceAI,snv=${SAI_SNV},indel=${SAI_INDEL},cutoff=0.0 \</w:t>
      </w:r>
    </w:p>
    <w:p>
      <w:pPr>
        <w:pStyle w:val="CodeBlock"/>
        <w:spacing w:after="0" w:before="0"/>
      </w:pPr>
      <w:r>
        <w:t xml:space="preserve">    --plugin dbNSFP,${DBNSFP},BayesDel_noAF_score,PrimateAI_score,ESM1b_score,EVE_score,MetaRNN_score,phyloP100way_vertebrate,GERP++_RS \</w:t>
      </w:r>
    </w:p>
    <w:p>
      <w:pPr>
        <w:pStyle w:val="CodeBlock"/>
        <w:spacing w:after="0" w:before="0"/>
      </w:pPr>
      <w:r>
        <w:t xml:space="preserve">    --plugin UTRAnnotator,file=${UTR} --plugin NMD \</w:t>
      </w:r>
    </w:p>
    <w:p>
      <w:pPr>
        <w:pStyle w:val="CodeBlock"/>
        <w:spacing w:after="0" w:before="0"/>
      </w:pPr>
      <w:r>
        <w:t xml:space="preserve">    --custom file=${GNOMAD},short_name=gnomADv4,format=vcf,type=exact,coords=0,fields=AF_joint%AF_joint_grpmax%nhomalt_joint \</w:t>
      </w:r>
    </w:p>
    <w:p>
      <w:pPr>
        <w:pStyle w:val="CodeBlock"/>
        <w:spacing w:after="0" w:before="0"/>
      </w:pPr>
      <w:r>
        <w:t xml:space="preserve">    --custom file=${CLINVAR},short_name=ClinVar,format=vcf,type=exact,coords=0,fields=CLNSIG%CLNREVSTAT%CLNDN \</w:t>
      </w:r>
    </w:p>
    <w:p>
      <w:pPr>
        <w:pStyle w:val="CodeBlock"/>
        <w:spacing w:after="140" w:before="0"/>
      </w:pPr>
      <w:r>
        <w:t xml:space="preserve">    --custom file=${CCRE_BED},short_name=ENCODE_cCRE,format=bed,type=overlap</w:t>
      </w:r>
    </w:p>
    <w:p>
      <w:pPr>
        <w:spacing w:after="120"/>
      </w:pPr>
      <w:r>
        <w:rPr>
          <w:rStyle w:val="InlineCode"/>
        </w:rPr>
        <w:t xml:space="preserve">trio-dnm annotate</w:t>
      </w:r>
      <w:r>
        <w:t xml:space="preserve"> reports the MANE Select consequence (falling back to the VEP-flagged pick, then canonical) and keeps all other transcripts in the VCF for review.</w:t>
      </w:r>
    </w:p>
    <w:p>
      <w:pPr>
        <w:pStyle w:val="Heading2"/>
        <w:spacing w:after="120" w:before="240"/>
      </w:pPr>
      <w:r>
        <w:t xml:space="preserve">10.2 Functional prediction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Question</w:t>
            </w:r>
          </w:p>
        </w:tc>
        <w:tc>
          <w:tcPr>
            <w:tcW w:type="dxa" w:w="40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Evidence / tool</w:t>
            </w:r>
          </w:p>
        </w:tc>
        <w:tc>
          <w:tcPr>
            <w:tcW w:type="dxa" w:w="26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Output column(s)</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Does it truncate the protein and trigger NMD?</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VEP consequence; LOFTEE HC/LC and flags; NMD plugin (last exon / 50-nt rule)</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consequence, loftee, loftee_flags, nmd_escape</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Is a missense change damaging?</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AlphaMissense, REVEL, CADD v1.7, BayesDel, PrimateAI-3D, ESM1b, EVE, MetaRNN; concordance count</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AlphaMissense, REVEL, …, predictors_damaging</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Does it alter splicing?</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SpliceAI Δ (max of AG/AL/DG/DL), Pangolin fallback</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spliceai</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Does it disrupt a UTR element?</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UTRAnnotator (uAUG gain, uORF stop loss, Kozak)</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utr_annotator</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Is the site conserved?</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phyloP, GERP++</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phyloP, GERP</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Is it in a regulatory element?</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ENCODE SCREEN cCREs (promoter/enhancer/CTCF)</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cCRE</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Where in the protein?</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Pfam/InterPro domains; AlphaFold structure (manual) for 3-D context</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domains, hgvsp</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Is the gene intolerant?</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gnomAD v4.1 pLI/LOEUF/missense Z; GeneBayes s_het; ClinGen HI</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pLI, LOEUF, mis_z, shet, hi_score</w:t>
            </w:r>
          </w:p>
        </w:tc>
      </w:tr>
      <w:tr>
        <w:tc>
          <w:tcPr>
            <w:tcW w:type="dxa" w:w="27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Is it a known disease gene/variant?</w:t>
            </w:r>
          </w:p>
        </w:tc>
        <w:tc>
          <w:tcPr>
            <w:tcW w:type="dxa" w:w="4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OMIM/GenCC/G2P (inheritance, mechanism); ClinVar; hotspots</w:t>
            </w:r>
          </w:p>
        </w:tc>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disease, inheritance, mechanism, clinvar, hotspot</w:t>
            </w:r>
          </w:p>
        </w:tc>
      </w:tr>
    </w:tbl>
    <w:p>
      <w:pPr>
        <w:spacing w:after="60"/>
      </w:pPr>
    </w:p>
    <w:p>
      <w:pPr>
        <w:pStyle w:val="Heading2"/>
        <w:spacing w:after="120" w:before="240"/>
      </w:pPr>
      <w:r>
        <w:t xml:space="preserve">10.3 Calibrated in-silico evidence (PP3 / BP4)</w:t>
      </w:r>
    </w:p>
    <w:p>
      <w:pPr>
        <w:spacing w:after="120"/>
      </w:pPr>
      <w:r>
        <w:t xml:space="preserve">Per ClinGen SVI, </w:t>
      </w:r>
      <w:r>
        <w:rPr>
          <w:b/>
          <w:bCs/>
        </w:rPr>
        <w:t xml:space="preserve">one</w:t>
      </w:r>
      <w:r>
        <w:t xml:space="preserve"> pre-selected missense tool is used for PP3/BP4 to avoid double counting (default REVEL; configurable). Other predictors are reported for concordance and ranking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60"/>
        <w:gridCol w:w="1160"/>
        <w:gridCol w:w="1160"/>
        <w:gridCol w:w="1200"/>
        <w:gridCol w:w="1180"/>
        <w:gridCol w:w="1200"/>
      </w:tblGrid>
      <w:tr>
        <w:trPr>
          <w:tblHeader/>
        </w:trPr>
        <w:tc>
          <w:tcPr>
            <w:tcW w:type="dxa" w:w="23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Tool</w:t>
            </w:r>
          </w:p>
        </w:tc>
        <w:tc>
          <w:tcPr>
            <w:tcW w:type="dxa" w:w="11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PP3 Supporting</w:t>
            </w:r>
          </w:p>
        </w:tc>
        <w:tc>
          <w:tcPr>
            <w:tcW w:type="dxa" w:w="11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PP3 Moderate</w:t>
            </w:r>
          </w:p>
        </w:tc>
        <w:tc>
          <w:tcPr>
            <w:tcW w:type="dxa" w:w="11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PP3 Strong</w:t>
            </w:r>
          </w:p>
        </w:tc>
        <w:tc>
          <w:tcPr>
            <w:tcW w:type="dxa" w:w="1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BP4 Supporting</w:t>
            </w:r>
          </w:p>
        </w:tc>
        <w:tc>
          <w:tcPr>
            <w:tcW w:type="dxa" w:w="118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BP4 Moderate</w:t>
            </w:r>
          </w:p>
        </w:tc>
        <w:tc>
          <w:tcPr>
            <w:tcW w:type="dxa" w:w="1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BP4 Strong</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REVEL (Pejaver 2022)</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0.644</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0.773</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0.932</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0.290</w:t>
            </w:r>
          </w:p>
        </w:tc>
        <w:tc>
          <w:tcPr>
            <w:tcW w:type="dxa" w:w="118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0.183</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0.052</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CADD PHRED (Pejaver 2022)</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25.3</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28.1</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22.7</w:t>
            </w:r>
          </w:p>
        </w:tc>
        <w:tc>
          <w:tcPr>
            <w:tcW w:type="dxa" w:w="118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17.3</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BayesDel noAF (Pejaver 2022)</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0.13</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0.27</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0.41</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−0.18</w:t>
            </w:r>
          </w:p>
        </w:tc>
        <w:tc>
          <w:tcPr>
            <w:tcW w:type="dxa" w:w="118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−0.36</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AlphaMissense (Bergquist 2025)*</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0.792</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0.906</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0.990</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0.169</w:t>
            </w:r>
          </w:p>
        </w:tc>
        <w:tc>
          <w:tcPr>
            <w:tcW w:type="dxa" w:w="118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0.099</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r>
      <w:tr>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SpliceAI (Walker 2023)</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0.20</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c>
          <w:tcPr>
            <w:tcW w:type="dxa" w:w="1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0.10</w:t>
            </w:r>
          </w:p>
        </w:tc>
        <w:tc>
          <w:tcPr>
            <w:tcW w:type="dxa" w:w="118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r>
    </w:tbl>
    <w:p>
      <w:pPr>
        <w:spacing w:after="60"/>
      </w:pPr>
    </w:p>
    <w:p>
      <w:pPr>
        <w:pStyle w:val="Note"/>
        <w:pBdr>
          <w:left w:val="single" w:color="E0A030" w:sz="18" w:space="6"/>
        </w:pBdr>
        <w:shd w:fill="FFF4E5" w:color="auto" w:val="clear"/>
        <w:spacing w:after="160" w:before="80"/>
        <w:ind w:left="144" w:right="144"/>
      </w:pPr>
      <w:r>
        <w:t xml:space="preserve">Verify the AlphaMissense calibration values against the published table before clinical use; all thresholds are configurable in </w:t>
      </w:r>
      <w:r>
        <w:rPr>
          <w:rStyle w:val="InlineCode"/>
        </w:rPr>
        <w:t xml:space="preserve">conf/defaults.json</w:t>
      </w:r>
      <w:r>
        <w:t xml:space="preserve">. The AlphaMissense class cut-off (≥ 0.564 "likely pathogenic") is used for ranking only, not for ACMG strength.</w:t>
      </w:r>
    </w:p>
    <w:p>
      <w:pPr>
        <w:pStyle w:val="Heading2"/>
        <w:spacing w:after="120" w:before="240"/>
      </w:pPr>
      <w:r>
        <w:t xml:space="preserve">10.4 Splicing</w:t>
      </w:r>
    </w:p>
    <w:p>
      <w:pPr>
        <w:spacing w:after="120"/>
      </w:pPr>
      <w:r>
        <w:t xml:space="preserve">SpliceAI (masked scores, ±500 bp) is evaluated for every variant class. Δ ≥ 0.20 supports PP3 (not combined with a missense PP3); Δ ≤ 0.10 supports BP4 and, for synonymous variants at non-conserved sites (phyloP &lt; 0.1), BP7. Δ ≥ 0.50 is treated as high confidence and prioritised for RT-PCR or minigene confirmation.</w:t>
      </w:r>
    </w:p>
    <w:p>
      <w:pPr>
        <w:pStyle w:val="Heading2"/>
        <w:spacing w:after="120" w:before="240"/>
      </w:pPr>
      <w:r>
        <w:t xml:space="preserve">10.5 Non-coding DNMs</w:t>
      </w:r>
    </w:p>
    <w:p>
      <w:pPr>
        <w:spacing w:after="120"/>
      </w:pPr>
      <w:r>
        <w:t xml:space="preserve">Non-coding DNMs (≈ 98 % of WGS DNMs) are reported as Tier 5 and ranked by cCRE overlap, conservation (phyloP), CADD and proximity to phenotype-relevant genes. Interpretation is research-grade unless supported by functional data (MPRA, reporter assays, CRISPRi).</w:t>
      </w:r>
    </w:p>
    <w:p>
      <w:pPr>
        <w:pStyle w:val="Heading2"/>
        <w:spacing w:after="120" w:before="240"/>
      </w:pPr>
      <w:r>
        <w:t xml:space="preserve">10.6 Gene constraint</w:t>
      </w:r>
    </w:p>
    <w:p>
      <w:pPr>
        <w:pStyle w:val="ListParagraph"/>
        <w:numPr>
          <w:ilvl w:val="0"/>
          <w:numId w:val="2"/>
        </w:numPr>
        <w:spacing w:after="60"/>
      </w:pPr>
      <w:r>
        <w:t xml:space="preserve">LoF-intolerant: pLI ≥ 0.9, gnomAD v4 LOEUF &lt; 0.6, s_het ≥ 0.1, or ClinGen HI score 3.</w:t>
      </w:r>
    </w:p>
    <w:p>
      <w:pPr>
        <w:pStyle w:val="ListParagraph"/>
        <w:numPr>
          <w:ilvl w:val="0"/>
          <w:numId w:val="2"/>
        </w:numPr>
        <w:spacing w:after="60"/>
      </w:pPr>
      <w:r>
        <w:t xml:space="preserve">Missense-constrained: missense Z ≥ 3.09. Regional missense constraint and constrained coding regions (CCRs) are recommended manual follow-ups for high-ranked missense DNMs.</w:t>
      </w:r>
    </w:p>
    <w:p>
      <w:pPr>
        <w:pStyle w:val="Heading2"/>
        <w:spacing w:after="120" w:before="240"/>
      </w:pPr>
      <w:r>
        <w:t xml:space="preserve">10.7 Provisional ACMG/AMP classification</w:t>
      </w:r>
    </w:p>
    <w:p>
      <w:pPr>
        <w:spacing w:after="120"/>
      </w:pPr>
      <w:r>
        <w:t xml:space="preserve">Only criteria derivable from annotation are automated; each is scored with the Bayesian point system (Tavtigian 2020: Supporting 1, Moderate 2, Strong 4, Very strong 8; benign criteria negative). Class: ≥ 10 Pathogenic; 6–9 Likely pathogenic; 0–5 VUS; −1 to −6 Likely benign; ≤ −7 Benign; BA1 stand-alone Benign.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Criterion</w:t>
            </w:r>
          </w:p>
        </w:tc>
        <w:tc>
          <w:tcPr>
            <w:tcW w:type="dxa" w:w="75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Automated rule</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PVS1</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Null variant (stop, frameshift, canonical splice, start loss) in a gene with LoF disease mechanism (HI 3, constraint as §10.6, or curated mechanism). Very strong; Strong if predicted NMD escape; Moderate for start loss; downgraded one level for LOFTEE LC. Full Abou Tayoun decision tree is manual.</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PS2 / PM6</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Germline DNM: PS2 when parentage is confirmed (Stage 1) and the variant is orthogonally validated; otherwise PM6. Phenotype-specificity weighting (ClinGen SVI de novo points) is manual.</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PM2_Supporting</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Absent or AF ≤ 1 × 10⁻⁵ in gnomAD v4.1.</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PP2</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Missense in a missense-constrained gene (Z ≥ 3.09).</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PP3 / BP4</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Calibrated single tool (§10.3) or SpliceAI; never both for the same variant.</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BS1 / BA1</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AF &gt; 1 × 10⁻³ / &gt; 0.05.</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BP7</w:t>
            </w:r>
          </w:p>
        </w:tc>
        <w:tc>
          <w:tcPr>
            <w:tcW w:type="dxa" w:w="75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Synonymous, SpliceAI ≤ 0.10, phyloP &lt; 0.1.</w:t>
            </w:r>
          </w:p>
        </w:tc>
      </w:tr>
    </w:tbl>
    <w:p>
      <w:pPr>
        <w:spacing w:after="60"/>
      </w:pPr>
    </w:p>
    <w:p>
      <w:pPr>
        <w:pStyle w:val="Note"/>
        <w:pBdr>
          <w:left w:val="single" w:color="E0A030" w:sz="18" w:space="6"/>
        </w:pBdr>
        <w:shd w:fill="FFF4E5" w:color="auto" w:val="clear"/>
        <w:spacing w:after="160" w:before="80"/>
        <w:ind w:left="144" w:right="144"/>
      </w:pPr>
      <w:r>
        <w:t xml:space="preserve">Automated classes are provisional and are labelled as such in every output. Segregation, functional evidence (PS3/BS3), phenotype specificity and case-level evidence require a qualified reviewer.</w:t>
      </w:r>
    </w:p>
    <w:p>
      <w:pPr>
        <w:pStyle w:val="Heading2"/>
        <w:spacing w:after="120" w:before="240"/>
      </w:pPr>
      <w:r>
        <w:t xml:space="preserve">10.8 Prioritisation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Tier</w:t>
            </w:r>
          </w:p>
        </w:tc>
        <w:tc>
          <w:tcPr>
            <w:tcW w:type="dxa" w:w="80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Criteria</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Tier 1</w:t>
            </w:r>
          </w:p>
        </w:tc>
        <w:tc>
          <w:tcPr>
            <w:tcW w:type="dxa" w:w="8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Provisional P/LP; or ClinVar P/LP; or curated hotspot; or null variant in a LoF-intolerant or known dominant disease gene</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Tier 2</w:t>
            </w:r>
          </w:p>
        </w:tc>
        <w:tc>
          <w:tcPr>
            <w:tcW w:type="dxa" w:w="8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Missense/in-frame with PP3 ≥ Moderate (or AlphaMissense ≥ 0.564) in a missense-constrained, LoF-intolerant or known dominant disease gene</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Tier 3</w:t>
            </w:r>
          </w:p>
        </w:tc>
        <w:tc>
          <w:tcPr>
            <w:tcW w:type="dxa" w:w="8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Predicted splice-altering (SpliceAI ≥ 0.20) outside canonical sites</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Tier 4</w:t>
            </w:r>
          </w:p>
        </w:tc>
        <w:tc>
          <w:tcPr>
            <w:tcW w:type="dxa" w:w="8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Other coding and splice-region variants</w:t>
            </w:r>
          </w:p>
        </w:tc>
      </w:tr>
      <w:tr>
        <w:tc>
          <w:tcPr>
            <w:tcW w:type="dxa" w:w="13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Tier 5</w:t>
            </w:r>
          </w:p>
        </w:tc>
        <w:tc>
          <w:tcPr>
            <w:tcW w:type="dxa" w:w="80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Non-coding; reported with cCRE / conservation context</w:t>
            </w:r>
          </w:p>
        </w:tc>
      </w:tr>
    </w:tbl>
    <w:p>
      <w:pPr>
        <w:spacing w:after="60"/>
      </w:pPr>
    </w:p>
    <w:p>
      <w:pPr>
        <w:pStyle w:val="Heading2"/>
        <w:spacing w:after="120" w:before="240"/>
      </w:pPr>
      <w:r>
        <w:t xml:space="preserve">10.9 Phenotype integration and ranking</w:t>
      </w:r>
    </w:p>
    <w:p>
      <w:pPr>
        <w:spacing w:after="120"/>
      </w:pPr>
      <w:r>
        <w:t xml:space="preserve">Run Exomiser or LIRICAL with the proband HPO terms and supply per-gene phenotype scores (0–1). </w:t>
      </w:r>
      <w:r>
        <w:rPr>
          <w:rStyle w:val="InlineCode"/>
        </w:rPr>
        <w:t xml:space="preserve">trio-dnm</w:t>
      </w:r>
      <w:r>
        <w:t xml:space="preserve"> ranks variants by a transparent heuristic score = ACMG points + DNM-tier bonus (HIGH 2, MEDIUM 1) + constraint bonus (1) + 4 × phenotype score + tier bonus (Tier 1: 4 … Tier 4: 1). The score orders review; it is not a probability. Typical output: 1–5 shortlisted candidates per clinical trio.</w:t>
      </w:r>
    </w:p>
    <w:p>
      <w:pPr>
        <w:pStyle w:val="Heading2"/>
        <w:spacing w:after="120" w:before="240"/>
      </w:pPr>
      <w:r>
        <w:t xml:space="preserve">10.10 Cohort-level analyses</w:t>
      </w:r>
    </w:p>
    <w:p>
      <w:pPr>
        <w:pStyle w:val="ListParagraph"/>
        <w:numPr>
          <w:ilvl w:val="0"/>
          <w:numId w:val="2"/>
        </w:numPr>
        <w:spacing w:after="60"/>
      </w:pPr>
      <w:r>
        <w:t xml:space="preserve">Gene-level DNM enrichment against mutation-rate models: DeNovoWEST (Kaplanis 2020) or denovolyzeR (Samocha 2014 framework); report genome-wide significance thresholds for the number of genes tested.</w:t>
      </w:r>
    </w:p>
    <w:p>
      <w:pPr>
        <w:pStyle w:val="ListParagraph"/>
        <w:numPr>
          <w:ilvl w:val="0"/>
          <w:numId w:val="2"/>
        </w:numPr>
        <w:spacing w:after="60"/>
      </w:pPr>
      <w:r>
        <w:t xml:space="preserve">Gene-set / pathway enrichment of genes with damaging DNMs versus synonymous DNMs as an internal control.</w:t>
      </w:r>
    </w:p>
    <w:p>
      <w:pPr>
        <w:pStyle w:val="ListParagraph"/>
        <w:numPr>
          <w:ilvl w:val="0"/>
          <w:numId w:val="2"/>
        </w:numPr>
        <w:spacing w:after="60"/>
      </w:pPr>
      <w:r>
        <w:t xml:space="preserve">Cohort SBS-96 spectra and signature refit; 3-D clustering of missense DNMs on AlphaFold structures for recurrently hit genes.</w:t>
      </w:r>
    </w:p>
    <w:p>
      <w:pPr>
        <w:pStyle w:val="Heading1"/>
        <w:spacing w:after="160" w:before="360"/>
      </w:pPr>
      <w:r>
        <w:t xml:space="preserve">11. Stage 9 — Somatic Mutation Analysis (new)</w:t>
      </w:r>
    </w:p>
    <w:p>
      <w:pPr>
        <w:spacing w:after="120"/>
      </w:pPr>
      <w:r>
        <w:t xml:space="preserve">Somatic analysis answers three distinct questions. All three use the trio as a "super-normal": an ALT allele present in either parent is inherited, not somatic, even where the matched normal is shallow.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Use case</w:t>
            </w:r>
          </w:p>
        </w:tc>
        <w:tc>
          <w:tcPr>
            <w:tcW w:type="dxa" w:w="31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Samples</w:t>
            </w:r>
          </w:p>
        </w:tc>
        <w:tc>
          <w:tcPr>
            <w:tcW w:type="dxa" w:w="4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Question</w:t>
            </w:r>
          </w:p>
        </w:tc>
      </w:tr>
      <w:tr>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 Tumour–normal</w:t>
            </w:r>
          </w:p>
        </w:tc>
        <w:tc>
          <w:tcPr>
            <w:tcW w:type="dxa" w:w="3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Proband tumour + proband blood (+ parents)</w:t>
            </w:r>
          </w:p>
        </w:tc>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Somatic drivers, mutational processes, and whether a germline DNM or inherited variant is the first hit</w:t>
            </w:r>
          </w:p>
        </w:tc>
      </w:tr>
      <w:tr>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 Affected tissue vs blood</w:t>
            </w:r>
          </w:p>
        </w:tc>
        <w:tc>
          <w:tcPr>
            <w:tcW w:type="dxa" w:w="3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Lesional tissue (brain, skin, vascular, overgrowth) + blood</w:t>
            </w:r>
          </w:p>
        </w:tc>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Tissue-restricted post-zygotic variants (e.g. PIK3CA, MTOR, GNAQ, KRAS) that blood-based trio analysis cannot see</w:t>
            </w:r>
          </w:p>
        </w:tc>
      </w:tr>
      <w:tr>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 Clonal haematopoiesis</w:t>
            </w:r>
          </w:p>
        </w:tc>
        <w:tc>
          <w:tcPr>
            <w:tcW w:type="dxa" w:w="31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Blood of every trio member</w:t>
            </w:r>
          </w:p>
        </w:tc>
        <w:tc>
          <w:tcPr>
            <w:tcW w:type="dxa" w:w="4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 clones that masquerade as mosaic DNMs or parental leakage (§9.5)</w:t>
            </w:r>
          </w:p>
        </w:tc>
      </w:tr>
    </w:tbl>
    <w:p>
      <w:pPr>
        <w:spacing w:after="60"/>
      </w:pPr>
    </w:p>
    <w:p>
      <w:pPr>
        <w:pStyle w:val="Heading2"/>
        <w:spacing w:after="120" w:before="240"/>
      </w:pPr>
      <w:r>
        <w:t xml:space="preserve">11.1 Calling (use cases A and B)</w:t>
      </w:r>
    </w:p>
    <w:p>
      <w:pPr>
        <w:spacing w:after="120"/>
      </w:pPr>
      <w:r>
        <w:t xml:space="preserve">Run three independent callers on the tumour/tissue–blood pair and integrate by support (default: ≥ 2 callers):</w:t>
      </w:r>
    </w:p>
    <w:p>
      <w:pPr>
        <w:pStyle w:val="CodeBlock"/>
        <w:spacing w:after="0" w:before="80"/>
      </w:pPr>
      <w:r>
        <w:t xml:space="preserve">gatk Mutect2 -R ${REF} -I tumor.bam -I normal.bam -normal ${NORMAL} \</w:t>
      </w:r>
    </w:p>
    <w:p>
      <w:pPr>
        <w:pStyle w:val="CodeBlock"/>
        <w:spacing w:after="0" w:before="0"/>
      </w:pPr>
      <w:r>
        <w:t xml:space="preserve">    --germline-resource af-only-gnomad.hg38.vcf.gz --panel-of-normals pon.vcf.gz \</w:t>
      </w:r>
    </w:p>
    <w:p>
      <w:pPr>
        <w:pStyle w:val="CodeBlock"/>
        <w:spacing w:after="0" w:before="0"/>
      </w:pPr>
      <w:r>
        <w:t xml:space="preserve">    --f1r2-tar-gz f1r2.tar.gz -O unfiltered.vcf.gz</w:t>
      </w:r>
    </w:p>
    <w:p>
      <w:pPr>
        <w:pStyle w:val="CodeBlock"/>
        <w:spacing w:after="0" w:before="0"/>
      </w:pPr>
      <w:r>
        <w:t xml:space="preserve">gatk LearnReadOrientationModel -I f1r2.tar.gz -O rom.tar.gz</w:t>
      </w:r>
    </w:p>
    <w:p>
      <w:pPr>
        <w:pStyle w:val="CodeBlock"/>
        <w:spacing w:after="0" w:before="0"/>
      </w:pPr>
      <w:r>
        <w:t xml:space="preserve">gatk GetPileupSummaries -I tumor.bam  -V common.vcf.gz -L common.vcf.gz -O t.table</w:t>
      </w:r>
    </w:p>
    <w:p>
      <w:pPr>
        <w:pStyle w:val="CodeBlock"/>
        <w:spacing w:after="0" w:before="0"/>
      </w:pPr>
      <w:r>
        <w:t xml:space="preserve">gatk GetPileupSummaries -I normal.bam -V common.vcf.gz -L common.vcf.gz -O n.table</w:t>
      </w:r>
    </w:p>
    <w:p>
      <w:pPr>
        <w:pStyle w:val="CodeBlock"/>
        <w:spacing w:after="0" w:before="0"/>
      </w:pPr>
      <w:r>
        <w:t xml:space="preserve">gatk CalculateContamination -I t.table -matched n.table -O contam.table --tumor-segmentation seg.table</w:t>
      </w:r>
    </w:p>
    <w:p>
      <w:pPr>
        <w:pStyle w:val="CodeBlock"/>
        <w:spacing w:after="0" w:before="0"/>
      </w:pPr>
      <w:r>
        <w:t xml:space="preserve">gatk FilterMutectCalls -R ${REF} -V unfiltered.vcf.gz --contamination-table contam.table \</w:t>
      </w:r>
    </w:p>
    <w:p>
      <w:pPr>
        <w:pStyle w:val="CodeBlock"/>
        <w:spacing w:after="0" w:before="0"/>
      </w:pPr>
      <w:r>
        <w:t xml:space="preserve">    --tumor-segmentation seg.table --ob-priors rom.tar.gz -O filtered.vcf.gz</w:t>
      </w:r>
    </w:p>
    <w:p>
      <w:pPr>
        <w:pStyle w:val="CodeBlock"/>
        <w:spacing w:after="140" w:before="0"/>
      </w:pPr>
      <w:r>
        <w:t xml:space="preserve"># Strelka2 with Manta candidate indels; DeepSomatic (WGS/WES model) as the third caller</w:t>
      </w:r>
    </w:p>
    <w:p>
      <w:pPr>
        <w:pStyle w:val="Heading2"/>
        <w:spacing w:after="120" w:before="240"/>
      </w:pPr>
      <w:r>
        <w:t xml:space="preserve">11.2 Somatic filters (`trio-dnm somatic`)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Metric</w:t>
            </w:r>
          </w:p>
        </w:tc>
        <w:tc>
          <w:tcPr>
            <w:tcW w:type="dxa" w:w="33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Threshold</w:t>
            </w:r>
          </w:p>
        </w:tc>
        <w:tc>
          <w:tcPr>
            <w:tcW w:type="dxa" w:w="3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Rationale</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Tumour/tissue depth, ALT reads, VAF</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DP ≥ 20, ALT ≥ 4, VAF ≥ 0.05</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Minimum evidence</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Matched normal</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DP ≥ 10, ALT ≤ 1, VAF ≤ 0.02</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Excludes germline and normal contamination</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Parents (trio super-normal)</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&lt; 2 ALT reads in each parent</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Removes inherited variants missed in a shallow normal</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Population AF</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gnomAD ≤ 1 × 10⁻³</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Removes germline polymorphisms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Caller support</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 2 of Mutect2 / Strelka2 / DeepSomatic</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Consensus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FFPE</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C&gt;T / G&gt;A at VAF ≤ 0.10 flagged (with </w:t>
            </w:r>
            <w:r>
              <w:rPr>
                <w:rStyle w:val="InlineCode"/>
                <w:sz w:val="18"/>
                <w:szCs w:val="18"/>
              </w:rPr>
              <w:t xml:space="preserve">--ffpe</w:t>
            </w:r>
            <w:r>
              <w:rPr>
                <w:sz w:val="18"/>
                <w:szCs w:val="18"/>
              </w:rPr>
              <w:t xml:space="preserve">)</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Deamination artefact; orientation-bias model also applied by Mutect2</w:t>
            </w:r>
          </w:p>
        </w:tc>
      </w:tr>
    </w:tbl>
    <w:p>
      <w:pPr>
        <w:spacing w:after="60"/>
      </w:pPr>
    </w:p>
    <w:p>
      <w:pPr>
        <w:pStyle w:val="Heading2"/>
        <w:spacing w:after="120" w:before="240"/>
      </w:pPr>
      <w:r>
        <w:t xml:space="preserve">11.3 Copy number, purity and clonality</w:t>
      </w:r>
    </w:p>
    <w:p>
      <w:pPr>
        <w:pStyle w:val="ListParagraph"/>
        <w:numPr>
          <w:ilvl w:val="0"/>
          <w:numId w:val="2"/>
        </w:numPr>
        <w:spacing w:after="60"/>
      </w:pPr>
      <w:r>
        <w:t xml:space="preserve">Allele-specific copy number with CNVkit (</w:t>
      </w:r>
      <w:r>
        <w:rPr>
          <w:rStyle w:val="InlineCode"/>
        </w:rPr>
        <w:t xml:space="preserve">call -m clonal</w:t>
      </w:r>
      <w:r>
        <w:t xml:space="preserve"> with SNP B-allele frequencies) or PURPLE/FACETS; purity/ploidy from the same tool or pathology.</w:t>
      </w:r>
    </w:p>
    <w:p>
      <w:pPr>
        <w:pStyle w:val="ListParagraph"/>
        <w:numPr>
          <w:ilvl w:val="0"/>
          <w:numId w:val="2"/>
        </w:numPr>
        <w:spacing w:after="60"/>
      </w:pPr>
      <w:r>
        <w:t xml:space="preserve">Cancer-cell fraction: CCF = VAF × (p·CN_t + 2(1 − p)) / (p · m), with purity p, local total copy number CN_t and multiplicity m (default 1). A variant is </w:t>
      </w:r>
      <w:r>
        <w:rPr>
          <w:b/>
          <w:bCs/>
        </w:rPr>
        <w:t xml:space="preserve">clonal</w:t>
      </w:r>
      <w:r>
        <w:t xml:space="preserve"> when the upper 95 % bound of CCF ≥ 0.8.</w:t>
      </w:r>
    </w:p>
    <w:p>
      <w:pPr>
        <w:pStyle w:val="ListParagraph"/>
        <w:numPr>
          <w:ilvl w:val="0"/>
          <w:numId w:val="2"/>
        </w:numPr>
        <w:spacing w:after="60"/>
      </w:pPr>
      <w:r>
        <w:t xml:space="preserve">Copy-neutral or deletion LOH (minor CN = 0) is recorded per gene for two-hit analysis.</w:t>
      </w:r>
    </w:p>
    <w:p>
      <w:pPr>
        <w:pStyle w:val="Heading2"/>
        <w:spacing w:after="120" w:before="240"/>
      </w:pPr>
      <w:r>
        <w:t xml:space="preserve">11.4 Mutational burden, signatures and MSI</w:t>
      </w:r>
    </w:p>
    <w:p>
      <w:pPr>
        <w:pStyle w:val="ListParagraph"/>
        <w:numPr>
          <w:ilvl w:val="0"/>
          <w:numId w:val="2"/>
        </w:numPr>
        <w:spacing w:after="60"/>
      </w:pPr>
      <w:r>
        <w:t xml:space="preserve">TMB = PASS non-synonymous somatic SNVs/indels per callable coding Mb (default 30 Mb for exomes; set to your callable territory). TMB-high ≥ 10/Mb.</w:t>
      </w:r>
    </w:p>
    <w:p>
      <w:pPr>
        <w:pStyle w:val="ListParagraph"/>
        <w:numPr>
          <w:ilvl w:val="0"/>
          <w:numId w:val="2"/>
        </w:numPr>
        <w:spacing w:after="60"/>
      </w:pPr>
      <w:r>
        <w:t xml:space="preserve">SBS-96 spectrum and NNLS refit to COSMIC v3.4; with &lt; 50 mutations, restrict to a biologically plausible subset and report reconstruction cosine.</w:t>
      </w:r>
    </w:p>
    <w:p>
      <w:pPr>
        <w:pStyle w:val="ListParagraph"/>
        <w:numPr>
          <w:ilvl w:val="0"/>
          <w:numId w:val="2"/>
        </w:numPr>
        <w:spacing w:after="60"/>
      </w:pPr>
      <w:r>
        <w:t xml:space="preserve">MSI with MSIsensor-pro on the pair; mismatch-repair or POLE signatures (SBS6/15/26/44, SBS10a/b) cross-checked against germline MMR/POLE findings.</w:t>
      </w:r>
    </w:p>
    <w:p>
      <w:pPr>
        <w:pStyle w:val="Heading2"/>
        <w:spacing w:after="120" w:before="240"/>
      </w:pPr>
      <w:r>
        <w:t xml:space="preserve">11.5 Driver and two-hit analysis</w:t>
      </w:r>
    </w:p>
    <w:p>
      <w:pPr>
        <w:pStyle w:val="ListParagraph"/>
        <w:numPr>
          <w:ilvl w:val="0"/>
          <w:numId w:val="2"/>
        </w:numPr>
        <w:spacing w:after="60"/>
      </w:pPr>
      <w:r>
        <w:t xml:space="preserve">Drivers: curated hotspots (cancerhotspots, COSMIC) and damaging variants in COSMIC Cancer Gene Census genes; OncoKB/CIViC levels where licensed.</w:t>
      </w:r>
    </w:p>
    <w:p>
      <w:pPr>
        <w:pStyle w:val="ListParagraph"/>
        <w:numPr>
          <w:ilvl w:val="0"/>
          <w:numId w:val="2"/>
        </w:numPr>
        <w:spacing w:after="60"/>
      </w:pPr>
      <w:r>
        <w:rPr>
          <w:b/>
          <w:bCs/>
        </w:rPr>
        <w:t xml:space="preserve">Two-hit detection</w:t>
      </w:r>
      <w:r>
        <w:t xml:space="preserve">: any gene with a Tier 1/2 or P/LP germline variant (de novo or inherited, from §10) that also carries a somatic hit or LOH in the tumour is reported as a candidate Knudson second hit — the key link between the trio germline result and the tumour.</w:t>
      </w:r>
    </w:p>
    <w:p>
      <w:pPr>
        <w:pStyle w:val="Heading2"/>
        <w:spacing w:after="120" w:before="240"/>
      </w:pPr>
      <w:r>
        <w:t xml:space="preserve">11.6 Affected tissue vs blood (use case B)</w:t>
      </w:r>
    </w:p>
    <w:p>
      <w:pPr>
        <w:spacing w:after="120"/>
      </w:pPr>
      <w:r>
        <w:t xml:space="preserve">The same paired workflow is run with </w:t>
      </w:r>
      <w:r>
        <w:rPr>
          <w:rStyle w:val="InlineCode"/>
        </w:rPr>
        <w:t xml:space="preserve">--mode tissue</w:t>
      </w:r>
      <w:r>
        <w:t xml:space="preserve">; PASS variants are labelled </w:t>
      </w:r>
      <w:r>
        <w:rPr>
          <w:rStyle w:val="InlineCode"/>
        </w:rPr>
        <w:t xml:space="preserve">SOMATIC_MOSAIC</w:t>
      </w:r>
      <w:r>
        <w:t xml:space="preserve">. Expect low VAF (often 1–10 %): deepen to ≥ 500× with targeted/UMI sequencing of candidate genes, and confirm by ddPCR in a second piece of lesional tissue.</w:t>
      </w:r>
    </w:p>
    <w:p>
      <w:pPr>
        <w:pStyle w:val="Heading2"/>
        <w:spacing w:after="120" w:before="240"/>
      </w:pPr>
      <w:r>
        <w:t xml:space="preserve">11.7 Clonal haematopoiesis screen (use case C)</w:t>
      </w:r>
    </w:p>
    <w:p>
      <w:pPr>
        <w:spacing w:after="120"/>
      </w:pPr>
      <w:r>
        <w:t xml:space="preserve">Mutect2 in tumour-only mode on each blood sample, restricted to a CH gene panel, with PoN and germline resource; </w:t>
      </w:r>
      <w:r>
        <w:rPr>
          <w:rStyle w:val="InlineCode"/>
        </w:rPr>
        <w:t xml:space="preserve">trio-dnm ch-screen</w:t>
      </w:r>
      <w:r>
        <w:t xml:space="preserve"> reports HIGH/MODERATE-impact variants in CH genes at VAF 2–35 % (≥ 3 ALT reads) with Wilson CIs. Hits are cross-referenced with the DNM and mosaic tracks.</w:t>
      </w:r>
    </w:p>
    <w:p>
      <w:pPr>
        <w:pStyle w:val="Heading2"/>
        <w:spacing w:after="120" w:before="240"/>
      </w:pPr>
      <w:r>
        <w:t xml:space="preserve">11.8 Somatic validation</w:t>
      </w:r>
    </w:p>
    <w:p>
      <w:pPr>
        <w:spacing w:after="120"/>
      </w:pPr>
      <w:r>
        <w:t xml:space="preserve">Validate reportable somatic variants by an orthogonal method (amplicon-UMI sequencing or ddPCR), in a second tumour region where available, and in the matched normal to confirm absence.</w:t>
      </w:r>
    </w:p>
    <w:p>
      <w:pPr>
        <w:pStyle w:val="Heading1"/>
        <w:spacing w:after="160" w:before="360"/>
      </w:pPr>
      <w:r>
        <w:t xml:space="preserve">12. Stage 10 — Orthogonal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Variant class</w:t>
            </w:r>
          </w:p>
        </w:tc>
        <w:tc>
          <w:tcPr>
            <w:tcW w:type="dxa" w:w="33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Primary modality</w:t>
            </w:r>
          </w:p>
        </w:tc>
        <w:tc>
          <w:tcPr>
            <w:tcW w:type="dxa" w:w="3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Notes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Germline SNV (VAF ≈ 0.5)</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Sanger of trio amplicons</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Sensitivity floor ~15–20 % VAF</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Indel ≤ 20 bp</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Sanger (proband + parents)</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Confirm length and breakpoints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Post-zygotic SNV (VAF 0.02–0.30)</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ddPCR or amplicon-UMI sequencing</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Sanger insufficient</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Parental mosaic</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ddPCR / deep amplicon in blood, buccal and sperm</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Recurrence-risk counselling</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Splice-altering</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RT-PCR + Sanger of cDNA, or minigene</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Choose a tissue that expresses the gene</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Recurrent / clustered / low-mappability</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PacBio HiFi or ONT long reads</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Rules out reference / paralog artefacts; phases complex events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Somatic</w:t>
            </w:r>
          </w:p>
        </w:tc>
        <w:tc>
          <w:tcPr>
            <w:tcW w:type="dxa" w:w="33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Amplicon-UMI or ddPCR in tumour and normal</w:t>
            </w:r>
          </w:p>
        </w:tc>
        <w:tc>
          <w:tcPr>
            <w:tcW w:type="dxa" w:w="3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Independent tumour region where possible</w:t>
            </w:r>
          </w:p>
        </w:tc>
      </w:tr>
    </w:tbl>
    <w:p>
      <w:pPr>
        <w:spacing w:after="60"/>
      </w:pPr>
    </w:p>
    <w:p>
      <w:pPr>
        <w:spacing w:after="120"/>
      </w:pPr>
      <w:r>
        <w:t xml:space="preserve">Suspected post-zygotic events are tested in at least two tissues of distinct embryonic origin (e.g. blood and buccal/saliva, or affected vs unaffected tissue). For autosomal-dominant disease genes, deep paternal sperm sequencing (≥ 1000×) quantifies gonadal mosaicism and recurrence risk.</w:t>
      </w:r>
    </w:p>
    <w:p>
      <w:pPr>
        <w:pStyle w:val="Heading1"/>
        <w:spacing w:after="160" w:before="360"/>
      </w:pPr>
      <w:r>
        <w:t xml:space="preserve">13. Reporting and Documentation</w:t>
      </w:r>
    </w:p>
    <w:p>
      <w:pPr>
        <w:pStyle w:val="Heading2"/>
        <w:spacing w:after="120" w:before="240"/>
      </w:pPr>
      <w:r>
        <w:t xml:space="preserve">13.1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Output</w:t>
            </w:r>
          </w:p>
        </w:tc>
        <w:tc>
          <w:tcPr>
            <w:tcW w:type="dxa" w:w="47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File (reference implementation)</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QC stop-gate verdict</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&lt;fam&gt;.qc_gate.json</w:t>
            </w:r>
            <w:r>
              <w:rPr>
                <w:sz w:val="18"/>
                <w:szCs w:val="18"/>
              </w:rPr>
              <w:t xml:space="preserve">, somalier HTML, MultiQC</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All Mendelian-violation candidates with every failure reason</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&lt;fam&gt;.candidates.tsv</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Filter waterfall, tiers, leakage, raw Mendelian error rate</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&lt;fam&gt;.call_summary.json</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Passing DNMs (all tracks, tiered, INFO-annotated)</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&lt;fam&gt;.dnm.vcf</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Fully annotated, ranked variant table</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&lt;fam&gt;.annotated.tsv</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Clinical shortlist (Tier 1–3)</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&lt;fam&gt;.shortlist.tsv</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Sanity checks, signatures, class/tier counts</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&lt;fam&gt;.qc.json</w:t>
            </w:r>
            <w:r>
              <w:rPr>
                <w:sz w:val="18"/>
                <w:szCs w:val="18"/>
              </w:rPr>
              <w:t xml:space="preserve">, </w:t>
            </w:r>
            <w:r>
              <w:rPr>
                <w:rStyle w:val="InlineCode"/>
                <w:sz w:val="18"/>
                <w:szCs w:val="18"/>
              </w:rPr>
              <w:t xml:space="preserve">&lt;fam&gt;.sbs96.tsv</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Interactive report (waterfall, spectrum, ranked table)</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&lt;fam&gt;.report.html</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Mosaic candidates with parental pileups</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&lt;fam&gt;.mosaic_candidates.tsv</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Somatic calls, CCF, drivers, two-hits, TMB, signatures</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&lt;tumor&gt;.somatic.tsv</w:t>
            </w:r>
            <w:r>
              <w:rPr>
                <w:sz w:val="18"/>
                <w:szCs w:val="18"/>
              </w:rPr>
              <w:t xml:space="preserve">, </w:t>
            </w:r>
            <w:r>
              <w:rPr>
                <w:rStyle w:val="InlineCode"/>
                <w:sz w:val="18"/>
                <w:szCs w:val="18"/>
              </w:rPr>
              <w:t xml:space="preserve">&lt;tumor&gt;.somatic_summary.json</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 screen</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&lt;sample&gt;.ch_screen.tsv</w:t>
            </w:r>
          </w:p>
        </w:tc>
      </w:tr>
      <w:tr>
        <w:tc>
          <w:tcPr>
            <w:tcW w:type="dxa" w:w="4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Provenance</w:t>
            </w:r>
          </w:p>
        </w:tc>
        <w:tc>
          <w:tcPr>
            <w:tcW w:type="dxa" w:w="47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Nextflow trace/timeline/report, container digests, reference checksums, config JSON</w:t>
            </w:r>
          </w:p>
        </w:tc>
      </w:tr>
    </w:tbl>
    <w:p>
      <w:pPr>
        <w:spacing w:after="60"/>
      </w:pPr>
    </w:p>
    <w:p>
      <w:pPr>
        <w:pStyle w:val="Heading2"/>
        <w:spacing w:after="120" w:before="240"/>
      </w:pPr>
      <w:r>
        <w:t xml:space="preserve">13.2 Quality-assurance log (per trio)</w:t>
      </w:r>
    </w:p>
    <w:p>
      <w:pPr>
        <w:pStyle w:val="ListParagraph"/>
        <w:numPr>
          <w:ilvl w:val="0"/>
          <w:numId w:val="2"/>
        </w:numPr>
        <w:spacing w:after="60"/>
      </w:pPr>
      <w:r>
        <w:t xml:space="preserve">Stage-1 outcomes (FREEMIX, relatedness/IBS0, sex, depth) and any overrides with justification.</w:t>
      </w:r>
    </w:p>
    <w:p>
      <w:pPr>
        <w:pStyle w:val="ListParagraph"/>
        <w:numPr>
          <w:ilvl w:val="0"/>
          <w:numId w:val="2"/>
        </w:numPr>
        <w:spacing w:after="60"/>
      </w:pPr>
      <w:r>
        <w:t xml:space="preserve">Waterfall counts per layer; sanity-check status and every warning.</w:t>
      </w:r>
    </w:p>
    <w:p>
      <w:pPr>
        <w:pStyle w:val="ListParagraph"/>
        <w:numPr>
          <w:ilvl w:val="0"/>
          <w:numId w:val="2"/>
        </w:numPr>
        <w:spacing w:after="60"/>
      </w:pPr>
      <w:r>
        <w:t xml:space="preserve">Validation modality and outcome for each reported variant; reviewer initials and date for each Tier 1–2 candidate and each ACMG class change.</w:t>
      </w:r>
    </w:p>
    <w:p>
      <w:pPr>
        <w:pStyle w:val="Heading2"/>
        <w:spacing w:after="120" w:before="240"/>
      </w:pPr>
      <w:r>
        <w:t xml:space="preserve">13.3 Data deposition</w:t>
      </w:r>
    </w:p>
    <w:p>
      <w:pPr>
        <w:spacing w:after="120"/>
      </w:pPr>
      <w:r>
        <w:t xml:space="preserve">Raw data to controlled-access archives (dbGaP, EGA) under appropriate consent. Clinically relevant variants to ClinVar; research DNMs to community resources (denovo-db, GeneMatcher/Matchmaker Exchange) after de-identification.</w:t>
      </w:r>
    </w:p>
    <w:p>
      <w:pPr>
        <w:pStyle w:val="Heading1"/>
        <w:spacing w:after="160" w:before="360"/>
      </w:pPr>
      <w:r>
        <w:t xml:space="preserve">14.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3900"/>
      </w:tblGrid>
      <w:tr>
        <w:trPr>
          <w:tblHeader/>
        </w:trPr>
        <w:tc>
          <w:tcPr>
            <w:tcW w:type="dxa" w:w="26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Symptom</w:t>
            </w:r>
          </w:p>
        </w:tc>
        <w:tc>
          <w:tcPr>
            <w:tcW w:type="dxa" w:w="28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Likely cause</w:t>
            </w:r>
          </w:p>
        </w:tc>
        <w:tc>
          <w:tcPr>
            <w:tcW w:type="dxa" w:w="39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Action</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WGS DNM count &gt; 150</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Permissive filters; contamination; LCL DNA</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Check FREEMIX and parental leakage; raise parental DP to 20 and ALT to 0; confirm Layer 3 masks applied</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WGS DNM count &lt; 30</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Over-filtering; low parental depth; GVCF reference blocks missing</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Inspect the waterfall; confirm HaplotypeCaller did not use EMIT_VARIANTS_ONLY; relax proband VAF floor to 0.25</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Paternal fraction &lt; 65 % (≥ 10 phased)</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Maternal-side artefact, contamination or swap</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Re-run somalier; IGV-review 20 random DNMs</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One parent shows ALT reads at many DNMs</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Contamination of the </w:t>
            </w:r>
            <w:r>
              <w:rPr>
                <w:i/>
                <w:iCs/>
                <w:sz w:val="18"/>
                <w:szCs w:val="18"/>
              </w:rPr>
              <w:t xml:space="preserve">other</w:t>
            </w:r>
            <w:r>
              <w:rPr>
                <w:sz w:val="18"/>
                <w:szCs w:val="18"/>
              </w:rPr>
              <w:t xml:space="preserve"> sample or under-sequenced parent</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Compare per-parent leakage fractions and FREEMIX</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Many low-VAF DNMs in DNMT3A/TET2/ASXL1</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Clonal haematopoiesis</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Run the CH screen; confirm in buccal/saliva DNA</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Recurrent variants across trios</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Mappability, paralog or reference artefact</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Add to the in-house recurrence file and mask</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Excess indel DNMs in repeats</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Homopolymer/STR leakage</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Verify homopolymer and tandem-repeat masks; tighten indel filters</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chrX DNMs missing in male probands</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Hemizygous calls treated as diploid</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Check pedigree sex; </w:t>
            </w:r>
            <w:r>
              <w:rPr>
                <w:rStyle w:val="InlineCode"/>
                <w:sz w:val="18"/>
                <w:szCs w:val="18"/>
              </w:rPr>
              <w:t xml:space="preserve">trio-dnm</w:t>
            </w:r>
            <w:r>
              <w:rPr>
                <w:sz w:val="18"/>
                <w:szCs w:val="18"/>
              </w:rPr>
              <w:t xml:space="preserve"> applies ploidy by PAR coordinates of the chosen build</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DeNovoGear parse errors</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Output format differs between builds</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Check </w:t>
            </w:r>
            <w:r>
              <w:rPr>
                <w:rStyle w:val="InlineCode"/>
                <w:sz w:val="18"/>
                <w:szCs w:val="18"/>
              </w:rPr>
              <w:t xml:space="preserve">bin/dng2tsv.py</w:t>
            </w:r>
            <w:r>
              <w:rPr>
                <w:sz w:val="18"/>
                <w:szCs w:val="18"/>
              </w:rPr>
              <w:t xml:space="preserve"> aliases; fall back to 3-caller consensus</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Mosaic candidates fail Sanger</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VAF below Sanger floor</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Confirm by ddPCR or amplicon-UMI sequencing</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Many FFPE-flagged somatic calls</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Formalin deamination</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Rely on orientation-bias model; require ≥ 2 callers; validate</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Out-of-memory in joint genotyping</w:t>
            </w:r>
          </w:p>
        </w:tc>
        <w:tc>
          <w:tcPr>
            <w:tcW w:type="dxa" w:w="28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Too few shards</w:t>
            </w:r>
          </w:p>
        </w:tc>
        <w:tc>
          <w:tcPr>
            <w:tcW w:type="dxa" w:w="39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Scatter over more intervals; raise memory label</w:t>
            </w:r>
          </w:p>
        </w:tc>
      </w:tr>
    </w:tbl>
    <w:p>
      <w:pPr>
        <w:pStyle w:val="Heading1"/>
        <w:spacing w:after="160" w:before="360"/>
      </w:pPr>
      <w:r>
        <w:t xml:space="preserve">15. Reference Implementation Map</w:t>
      </w:r>
    </w:p>
    <w:p>
      <w:pPr>
        <w:spacing w:after="120"/>
      </w:pPr>
      <w:r>
        <w:t xml:space="preserve">The repository </w:t>
      </w:r>
      <w:r>
        <w:rPr>
          <w:rStyle w:val="InlineCode"/>
        </w:rPr>
        <w:t xml:space="preserve">trio_dnm_pipeline/</w:t>
      </w:r>
      <w:r>
        <w:t xml:space="preserve"> implements this protocol. The Python engine is dependency-free and covered by an automated test suite on a synthetic trio (true DNM, parental leakage, parental mosaic, proband mosaic, common variant, masked region, homopolymer, low MQ, inherited, male chrX hemizygous DNM), annotation/ACMG scenarios, somatic, CH, QC-gate and parser tests. The Nextflow workflow includes stub blocks for dry-running (</w:t>
      </w:r>
      <w:r>
        <w:rPr>
          <w:rStyle w:val="InlineCode"/>
        </w:rPr>
        <w:t xml:space="preserve">nextflow run main.nf -stub</w:t>
      </w:r>
      <w:r>
        <w:t xml:space="preserve">); it must be validated on GIAB trio HG002/HG003/HG004 before production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Stage</w:t>
            </w:r>
          </w:p>
        </w:tc>
        <w:tc>
          <w:tcPr>
            <w:tcW w:type="dxa" w:w="496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Nextflow process(es)</w:t>
            </w:r>
          </w:p>
        </w:tc>
        <w:tc>
          <w:tcPr>
            <w:tcW w:type="dxa" w:w="2200"/>
            <w:tcBorders>
              <w:top w:val="single" w:color="B0B0B0" w:sz="4"/>
              <w:left w:val="single" w:color="B0B0B0" w:sz="4"/>
              <w:bottom w:val="single" w:color="B0B0B0" w:sz="4"/>
              <w:right w:val="single" w:color="B0B0B0" w:sz="4"/>
            </w:tcBorders>
            <w:shd w:fill="D5E8F0" w:color="auto" w:val="clear"/>
            <w:tcMar>
              <w:top w:type="dxa" w:w="60"/>
              <w:left w:type="dxa" w:w="100"/>
              <w:bottom w:type="dxa" w:w="60"/>
              <w:right w:type="dxa" w:w="100"/>
            </w:tcMar>
          </w:tcPr>
          <w:p>
            <w:r>
              <w:rPr>
                <w:b/>
                <w:bCs/>
                <w:sz w:val="18"/>
                <w:szCs w:val="18"/>
              </w:rPr>
              <w:t xml:space="preserve">trio-dnm command</w:t>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1 QC</w:t>
            </w:r>
          </w:p>
        </w:tc>
        <w:tc>
          <w:tcPr>
            <w:tcW w:type="dxa" w:w="4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MOSDEPTH, VERIFYBAMID2, SOMALIER_EXTRACT/RELATE, QC_GATE</w:t>
            </w:r>
          </w:p>
        </w:tc>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qc-gate</w:t>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3 Joint calling</w:t>
            </w:r>
          </w:p>
        </w:tc>
        <w:tc>
          <w:tcPr>
            <w:tcW w:type="dxa" w:w="4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HAPLOTYPECALLER, GENOTYPE_TRIO (hard filter, CGP, PossibleDeNovo), NORMALISE, VCFANNO, DEEPTRIO, GLNEXUS</w:t>
            </w:r>
          </w:p>
        </w:tc>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w:t>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4–5 DNM detection + cascade</w:t>
            </w:r>
          </w:p>
        </w:tc>
        <w:tc>
          <w:tcPr>
            <w:tcW w:type="dxa" w:w="4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CANDIDATE_SITES, MPILEUP_CANDIDATES, DENOVOGEAR, TRIODENOVO, TRIO_DNM_CALL</w:t>
            </w:r>
          </w:p>
        </w:tc>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call</w:t>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7 Mosaic</w:t>
            </w:r>
          </w:p>
        </w:tc>
        <w:tc>
          <w:tcPr>
            <w:tcW w:type="dxa" w:w="4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MUTECT2_PROBAND, MOSAICFORECAST, PARENTAL_ABSENCE</w:t>
            </w:r>
          </w:p>
        </w:tc>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call</w:t>
            </w:r>
            <w:r>
              <w:rPr>
                <w:sz w:val="18"/>
                <w:szCs w:val="18"/>
              </w:rPr>
              <w:t xml:space="preserve"> (mosaic tracks)</w:t>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6, 8 Annotation + sanity</w:t>
            </w:r>
          </w:p>
        </w:tc>
        <w:tc>
          <w:tcPr>
            <w:tcW w:type="dxa" w:w="4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VEP, UNFAZED, TRIO_DNM_ANNOTATE</w:t>
            </w:r>
          </w:p>
        </w:tc>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annotate</w:t>
            </w:r>
            <w:r>
              <w:rPr>
                <w:sz w:val="18"/>
                <w:szCs w:val="18"/>
              </w:rPr>
              <w:t xml:space="preserve">, </w:t>
            </w:r>
            <w:r>
              <w:rPr>
                <w:rStyle w:val="InlineCode"/>
                <w:sz w:val="18"/>
                <w:szCs w:val="18"/>
              </w:rPr>
              <w:t xml:space="preserve">signatures</w:t>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 Somatic</w:t>
            </w:r>
          </w:p>
        </w:tc>
        <w:tc>
          <w:tcPr>
            <w:tcW w:type="dxa" w:w="4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MUTECT2_PAIRED, STRELKA2, DEEPSOMATIC, CNVKIT, VEP_SOMATIC, TRIO_DNM_SOMATIC</w:t>
            </w:r>
          </w:p>
        </w:tc>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somatic</w:t>
            </w:r>
          </w:p>
        </w:tc>
      </w:tr>
      <w:tr>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9 CH screen</w:t>
            </w:r>
          </w:p>
        </w:tc>
        <w:tc>
          <w:tcPr>
            <w:tcW w:type="dxa" w:w="496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sz w:val="18"/>
                <w:szCs w:val="18"/>
              </w:rPr>
              <w:t xml:space="preserve">MUTECT2_CH, VEP_CH, TRIO_DNM_CH</w:t>
            </w:r>
          </w:p>
        </w:tc>
        <w:tc>
          <w:tcPr>
            <w:tcW w:type="dxa" w:w="2200"/>
            <w:tcBorders>
              <w:top w:val="single" w:color="B0B0B0" w:sz="4"/>
              <w:left w:val="single" w:color="B0B0B0" w:sz="4"/>
              <w:bottom w:val="single" w:color="B0B0B0" w:sz="4"/>
              <w:right w:val="single" w:color="B0B0B0" w:sz="4"/>
            </w:tcBorders>
            <w:tcMar>
              <w:top w:type="dxa" w:w="60"/>
              <w:left w:type="dxa" w:w="100"/>
              <w:bottom w:type="dxa" w:w="60"/>
              <w:right w:type="dxa" w:w="100"/>
            </w:tcMar>
          </w:tcPr>
          <w:p>
            <w:r>
              <w:rPr>
                <w:rStyle w:val="InlineCode"/>
                <w:sz w:val="18"/>
                <w:szCs w:val="18"/>
              </w:rPr>
              <w:t xml:space="preserve">ch-screen</w:t>
            </w:r>
          </w:p>
        </w:tc>
      </w:tr>
    </w:tbl>
    <w:p>
      <w:pPr>
        <w:spacing w:after="60"/>
      </w:pPr>
    </w:p>
    <w:p>
      <w:pPr>
        <w:pStyle w:val="CodeBlock"/>
        <w:spacing w:after="0" w:before="80"/>
      </w:pPr>
      <w:r>
        <w:t xml:space="preserve"># post-calling only</w:t>
      </w:r>
    </w:p>
    <w:p>
      <w:pPr>
        <w:pStyle w:val="CodeBlock"/>
        <w:spacing w:after="0" w:before="0"/>
      </w:pPr>
      <w:r>
        <w:t xml:space="preserve">trio-dnm call     --vcf trio.norm.vcf.gz --ped trio.ped --fasta GRCh38.fa --exclude-bed masks.bed \</w:t>
      </w:r>
    </w:p>
    <w:p>
      <w:pPr>
        <w:pStyle w:val="CodeBlock"/>
        <w:spacing w:after="0" w:before="0"/>
      </w:pPr>
      <w:r>
        <w:t xml:space="preserve">                  --caller deeptrio=dt.dnm.vcf.gz --caller triodenovo=tdn.vcf --out FAM001</w:t>
      </w:r>
    </w:p>
    <w:p>
      <w:pPr>
        <w:pStyle w:val="CodeBlock"/>
        <w:spacing w:after="0" w:before="0"/>
      </w:pPr>
      <w:r>
        <w:t xml:space="preserve">trio-dnm annotate --vcf FAM001.vep.vcf --call-summary FAM001.call_summary.json --gene-table genes.tsv \</w:t>
      </w:r>
    </w:p>
    <w:p>
      <w:pPr>
        <w:pStyle w:val="CodeBlock"/>
        <w:spacing w:after="0" w:before="0"/>
      </w:pPr>
      <w:r>
        <w:t xml:space="preserve">                  --fasta GRCh38.fa --signatures COSMIC_v3.4_SBS_GRCh38.txt \</w:t>
      </w:r>
    </w:p>
    <w:p>
      <w:pPr>
        <w:pStyle w:val="CodeBlock"/>
        <w:spacing w:after="0" w:before="0"/>
      </w:pPr>
      <w:r>
        <w:t xml:space="preserve">                  --paternal-age 34 --maternal-age 31 --parent-of-origin FAM001.poo.bed --out FAM001</w:t>
      </w:r>
    </w:p>
    <w:p>
      <w:pPr>
        <w:pStyle w:val="CodeBlock"/>
        <w:spacing w:after="0" w:before="0"/>
      </w:pPr>
      <w:r>
        <w:t xml:space="preserve">trio-dnm somatic  --vcf T.mutect2.vep.vcf --tumor T --normal P --trio-vcf trio.vcf.gz --father F --mother M \</w:t>
      </w:r>
    </w:p>
    <w:p>
      <w:pPr>
        <w:pStyle w:val="CodeBlock"/>
        <w:spacing w:after="0" w:before="0"/>
      </w:pPr>
      <w:r>
        <w:t xml:space="preserve">                  --caller strelka2=snvs.vcf.gz,indels.vcf.gz --caller deepsomatic=ds.vcf.gz \</w:t>
      </w:r>
    </w:p>
    <w:p>
      <w:pPr>
        <w:pStyle w:val="CodeBlock"/>
        <w:spacing w:after="0" w:before="0"/>
      </w:pPr>
      <w:r>
        <w:t xml:space="preserve">                  --segments T.segments.tsv --purity 0.6 --germline-annotated FAM001.annotated.tsv --out T</w:t>
      </w:r>
    </w:p>
    <w:p>
      <w:pPr>
        <w:pStyle w:val="CodeBlock"/>
        <w:spacing w:after="0" w:before="0"/>
      </w:pPr>
      <w:r>
        <w:t xml:space="preserve"># full workflow</w:t>
      </w:r>
    </w:p>
    <w:p>
      <w:pPr>
        <w:pStyle w:val="CodeBlock"/>
        <w:spacing w:after="140" w:before="0"/>
      </w:pPr>
      <w:r>
        <w:t xml:space="preserve">nextflow run main.nf -profile docker -params-file params.yaml</w:t>
      </w:r>
    </w:p>
    <w:p>
      <w:pPr>
        <w:pStyle w:val="Heading1"/>
        <w:spacing w:after="160" w:before="360"/>
      </w:pPr>
      <w:r>
        <w:t xml:space="preserve">16. Key References</w:t>
      </w:r>
    </w:p>
    <w:p>
      <w:pPr>
        <w:pStyle w:val="ListParagraph"/>
        <w:numPr>
          <w:ilvl w:val="0"/>
          <w:numId w:val="3"/>
        </w:numPr>
        <w:spacing w:after="40"/>
      </w:pPr>
      <w:r>
        <w:rPr>
          <w:sz w:val="18"/>
          <w:szCs w:val="18"/>
        </w:rPr>
        <w:t xml:space="preserve">Acuna-Hidalgo R, Veltman JA, Hoischen A. New insights into the generation and role of de novo mutations in health and disease. Genome Biol 2016.</w:t>
      </w:r>
    </w:p>
    <w:p>
      <w:pPr>
        <w:pStyle w:val="ListParagraph"/>
        <w:numPr>
          <w:ilvl w:val="0"/>
          <w:numId w:val="3"/>
        </w:numPr>
        <w:spacing w:after="40"/>
      </w:pPr>
      <w:r>
        <w:rPr>
          <w:sz w:val="18"/>
          <w:szCs w:val="18"/>
        </w:rPr>
        <w:t xml:space="preserve">Jónsson H et al. Parental influence on human germline de novo mutations in 1,548 trios from Iceland. Nature 2017.</w:t>
      </w:r>
    </w:p>
    <w:p>
      <w:pPr>
        <w:pStyle w:val="ListParagraph"/>
        <w:numPr>
          <w:ilvl w:val="0"/>
          <w:numId w:val="3"/>
        </w:numPr>
        <w:spacing w:after="40"/>
      </w:pPr>
      <w:r>
        <w:rPr>
          <w:sz w:val="18"/>
          <w:szCs w:val="18"/>
        </w:rPr>
        <w:t xml:space="preserve">Halldórsson BV et al. Characterizing mutagenic effects of recombination through a sequence-level genetic map. Science 2019.</w:t>
      </w:r>
    </w:p>
    <w:p>
      <w:pPr>
        <w:pStyle w:val="ListParagraph"/>
        <w:numPr>
          <w:ilvl w:val="0"/>
          <w:numId w:val="3"/>
        </w:numPr>
        <w:spacing w:after="40"/>
      </w:pPr>
      <w:r>
        <w:rPr>
          <w:sz w:val="18"/>
          <w:szCs w:val="18"/>
        </w:rPr>
        <w:t xml:space="preserve">Goldmann JM et al. Parent-of-origin-specific signatures of de novo mutations. Nat Genet 2016.</w:t>
      </w:r>
    </w:p>
    <w:p>
      <w:pPr>
        <w:pStyle w:val="ListParagraph"/>
        <w:numPr>
          <w:ilvl w:val="0"/>
          <w:numId w:val="3"/>
        </w:numPr>
        <w:spacing w:after="40"/>
      </w:pPr>
      <w:r>
        <w:rPr>
          <w:sz w:val="18"/>
          <w:szCs w:val="18"/>
        </w:rPr>
        <w:t xml:space="preserve">Sasani TA et al. Large, three-generation human families reveal post-zygotic mosaicism and variability in germline mutation accumulation. eLife 2019.</w:t>
      </w:r>
    </w:p>
    <w:p>
      <w:pPr>
        <w:pStyle w:val="ListParagraph"/>
        <w:numPr>
          <w:ilvl w:val="0"/>
          <w:numId w:val="3"/>
        </w:numPr>
        <w:spacing w:after="40"/>
      </w:pPr>
      <w:r>
        <w:rPr>
          <w:sz w:val="18"/>
          <w:szCs w:val="18"/>
        </w:rPr>
        <w:t xml:space="preserve">Kaplanis J et al. Evidence for 28 genetic disorders discovered by combining healthcare and research data. Nature 2020. (DeNovoWEST)</w:t>
      </w:r>
    </w:p>
    <w:p>
      <w:pPr>
        <w:pStyle w:val="ListParagraph"/>
        <w:numPr>
          <w:ilvl w:val="0"/>
          <w:numId w:val="3"/>
        </w:numPr>
        <w:spacing w:after="40"/>
      </w:pPr>
      <w:r>
        <w:rPr>
          <w:sz w:val="18"/>
          <w:szCs w:val="18"/>
        </w:rPr>
        <w:t xml:space="preserve">Kaplanis J et al. Genetic and chemotherapeutic influences on germline hypermutation. Nature 2022.</w:t>
      </w:r>
    </w:p>
    <w:p>
      <w:pPr>
        <w:pStyle w:val="ListParagraph"/>
        <w:numPr>
          <w:ilvl w:val="0"/>
          <w:numId w:val="3"/>
        </w:numPr>
        <w:spacing w:after="40"/>
      </w:pPr>
      <w:r>
        <w:rPr>
          <w:sz w:val="18"/>
          <w:szCs w:val="18"/>
        </w:rPr>
        <w:t xml:space="preserve">Samocha KE et al. A framework for the interpretation of de novo mutation in human disease. Nat Genet 2014.</w:t>
      </w:r>
    </w:p>
    <w:p>
      <w:pPr>
        <w:pStyle w:val="ListParagraph"/>
        <w:numPr>
          <w:ilvl w:val="0"/>
          <w:numId w:val="3"/>
        </w:numPr>
        <w:spacing w:after="40"/>
      </w:pPr>
      <w:r>
        <w:rPr>
          <w:sz w:val="18"/>
          <w:szCs w:val="18"/>
        </w:rPr>
        <w:t xml:space="preserve">Ramu A et al. DeNovoGear: de novo indel and point mutation discovery and phasing. Nat Methods 2013.</w:t>
      </w:r>
    </w:p>
    <w:p>
      <w:pPr>
        <w:pStyle w:val="ListParagraph"/>
        <w:numPr>
          <w:ilvl w:val="0"/>
          <w:numId w:val="3"/>
        </w:numPr>
        <w:spacing w:after="40"/>
      </w:pPr>
      <w:r>
        <w:rPr>
          <w:sz w:val="18"/>
          <w:szCs w:val="18"/>
        </w:rPr>
        <w:t xml:space="preserve">Wei Q et al. A Bayesian framework for de novo mutation calling in parents-offspring trios. Bioinformatics 2015. (TrioDeNovo)</w:t>
      </w:r>
    </w:p>
    <w:p>
      <w:pPr>
        <w:pStyle w:val="ListParagraph"/>
        <w:numPr>
          <w:ilvl w:val="0"/>
          <w:numId w:val="3"/>
        </w:numPr>
        <w:spacing w:after="40"/>
      </w:pPr>
      <w:r>
        <w:rPr>
          <w:sz w:val="18"/>
          <w:szCs w:val="18"/>
        </w:rPr>
        <w:t xml:space="preserve">Poplin R et al. A universal SNP and small-indel variant caller using deep neural networks. Nat Biotechnol 2018. (DeepVariant / DeepTrio)</w:t>
      </w:r>
    </w:p>
    <w:p>
      <w:pPr>
        <w:pStyle w:val="ListParagraph"/>
        <w:numPr>
          <w:ilvl w:val="0"/>
          <w:numId w:val="3"/>
        </w:numPr>
        <w:spacing w:after="40"/>
      </w:pPr>
      <w:r>
        <w:rPr>
          <w:sz w:val="18"/>
          <w:szCs w:val="18"/>
        </w:rPr>
        <w:t xml:space="preserve">Belyeu JR et al. Unfazed: parent-of-origin detection for large and small de novo variants. Bioinformatics 2021.</w:t>
      </w:r>
    </w:p>
    <w:p>
      <w:pPr>
        <w:pStyle w:val="ListParagraph"/>
        <w:numPr>
          <w:ilvl w:val="0"/>
          <w:numId w:val="3"/>
        </w:numPr>
        <w:spacing w:after="40"/>
      </w:pPr>
      <w:r>
        <w:rPr>
          <w:sz w:val="18"/>
          <w:szCs w:val="18"/>
        </w:rPr>
        <w:t xml:space="preserve">Dou Y et al. Accurate detection of mosaic variants in sequencing data without matched controls. Nat Biotechnol 2020. (MosaicForecast)</w:t>
      </w:r>
    </w:p>
    <w:p>
      <w:pPr>
        <w:pStyle w:val="ListParagraph"/>
        <w:numPr>
          <w:ilvl w:val="0"/>
          <w:numId w:val="3"/>
        </w:numPr>
        <w:spacing w:after="40"/>
      </w:pPr>
      <w:r>
        <w:rPr>
          <w:sz w:val="18"/>
          <w:szCs w:val="18"/>
        </w:rPr>
        <w:t xml:space="preserve">Yang X et al. Control-independent mosaic single nucleotide variant detection with DeepMosaic. Nat Biotechnol 2023.</w:t>
      </w:r>
    </w:p>
    <w:p>
      <w:pPr>
        <w:pStyle w:val="ListParagraph"/>
        <w:numPr>
          <w:ilvl w:val="0"/>
          <w:numId w:val="3"/>
        </w:numPr>
        <w:spacing w:after="40"/>
      </w:pPr>
      <w:r>
        <w:rPr>
          <w:sz w:val="18"/>
          <w:szCs w:val="18"/>
        </w:rPr>
        <w:t xml:space="preserve">Yang X et al. Developmental and temporal characteristics of clonal sperm mosaicism. Cell 2021.</w:t>
      </w:r>
    </w:p>
    <w:p>
      <w:pPr>
        <w:pStyle w:val="ListParagraph"/>
        <w:numPr>
          <w:ilvl w:val="0"/>
          <w:numId w:val="3"/>
        </w:numPr>
        <w:spacing w:after="40"/>
      </w:pPr>
      <w:r>
        <w:rPr>
          <w:sz w:val="18"/>
          <w:szCs w:val="18"/>
        </w:rPr>
        <w:t xml:space="preserve">Amemiya HM, Kundaje A, Boyle AP. The ENCODE Blacklist: identification of problematic regions of the genome. Sci Rep 2019.</w:t>
      </w:r>
    </w:p>
    <w:p>
      <w:pPr>
        <w:pStyle w:val="ListParagraph"/>
        <w:numPr>
          <w:ilvl w:val="0"/>
          <w:numId w:val="3"/>
        </w:numPr>
        <w:spacing w:after="40"/>
      </w:pPr>
      <w:r>
        <w:rPr>
          <w:sz w:val="18"/>
          <w:szCs w:val="18"/>
        </w:rPr>
        <w:t xml:space="preserve">Dwarshuis N et al. The GIAB genomic stratifications resource for human reference genomes. Nat Commun 2024.</w:t>
      </w:r>
    </w:p>
    <w:p>
      <w:pPr>
        <w:pStyle w:val="ListParagraph"/>
        <w:numPr>
          <w:ilvl w:val="0"/>
          <w:numId w:val="3"/>
        </w:numPr>
        <w:spacing w:after="40"/>
      </w:pPr>
      <w:r>
        <w:rPr>
          <w:sz w:val="18"/>
          <w:szCs w:val="18"/>
        </w:rPr>
        <w:t xml:space="preserve">McLaren W et al. The Ensembl Variant Effect Predictor. Genome Biol 2016.</w:t>
      </w:r>
    </w:p>
    <w:p>
      <w:pPr>
        <w:pStyle w:val="ListParagraph"/>
        <w:numPr>
          <w:ilvl w:val="0"/>
          <w:numId w:val="3"/>
        </w:numPr>
        <w:spacing w:after="40"/>
      </w:pPr>
      <w:r>
        <w:rPr>
          <w:sz w:val="18"/>
          <w:szCs w:val="18"/>
        </w:rPr>
        <w:t xml:space="preserve">Karczewski KJ et al. The mutational constraint spectrum quantified from variation in 141,456 humans. Nature 2020. (LOFTEE, LOEUF)</w:t>
      </w:r>
    </w:p>
    <w:p>
      <w:pPr>
        <w:pStyle w:val="ListParagraph"/>
        <w:numPr>
          <w:ilvl w:val="0"/>
          <w:numId w:val="3"/>
        </w:numPr>
        <w:spacing w:after="40"/>
      </w:pPr>
      <w:r>
        <w:rPr>
          <w:sz w:val="18"/>
          <w:szCs w:val="18"/>
        </w:rPr>
        <w:t xml:space="preserve">Zeng T et al. Bayesian estimation of gene constraint from an evolutionary model with gene features. Nat Genet 2024. (s_het)</w:t>
      </w:r>
    </w:p>
    <w:p>
      <w:pPr>
        <w:pStyle w:val="ListParagraph"/>
        <w:numPr>
          <w:ilvl w:val="0"/>
          <w:numId w:val="3"/>
        </w:numPr>
        <w:spacing w:after="40"/>
      </w:pPr>
      <w:r>
        <w:rPr>
          <w:sz w:val="18"/>
          <w:szCs w:val="18"/>
        </w:rPr>
        <w:t xml:space="preserve">Cheng J et al. Accurate proteome-wide missense variant effect prediction with AlphaMissense. Science 2023.</w:t>
      </w:r>
    </w:p>
    <w:p>
      <w:pPr>
        <w:pStyle w:val="ListParagraph"/>
        <w:numPr>
          <w:ilvl w:val="0"/>
          <w:numId w:val="3"/>
        </w:numPr>
        <w:spacing w:after="40"/>
      </w:pPr>
      <w:r>
        <w:rPr>
          <w:sz w:val="18"/>
          <w:szCs w:val="18"/>
        </w:rPr>
        <w:t xml:space="preserve">Ioannidis NM et al. REVEL: an ensemble method for predicting the pathogenicity of rare missense variants. Am J Hum Genet 2016.</w:t>
      </w:r>
    </w:p>
    <w:p>
      <w:pPr>
        <w:pStyle w:val="ListParagraph"/>
        <w:numPr>
          <w:ilvl w:val="0"/>
          <w:numId w:val="3"/>
        </w:numPr>
        <w:spacing w:after="40"/>
      </w:pPr>
      <w:r>
        <w:rPr>
          <w:sz w:val="18"/>
          <w:szCs w:val="18"/>
        </w:rPr>
        <w:t xml:space="preserve">Schubach M et al. CADD v1.7: using protein language models, regulatory CNNs and other nucleotide-level scores to improve genome-wide variant predictions. Nucleic Acids Res 2024.</w:t>
      </w:r>
    </w:p>
    <w:p>
      <w:pPr>
        <w:pStyle w:val="ListParagraph"/>
        <w:numPr>
          <w:ilvl w:val="0"/>
          <w:numId w:val="3"/>
        </w:numPr>
        <w:spacing w:after="40"/>
      </w:pPr>
      <w:r>
        <w:rPr>
          <w:sz w:val="18"/>
          <w:szCs w:val="18"/>
        </w:rPr>
        <w:t xml:space="preserve">Gao H et al. The landscape of tolerated genetic variation in humans and primates. Science 2023. (PrimateAI-3D)</w:t>
      </w:r>
    </w:p>
    <w:p>
      <w:pPr>
        <w:pStyle w:val="ListParagraph"/>
        <w:numPr>
          <w:ilvl w:val="0"/>
          <w:numId w:val="3"/>
        </w:numPr>
        <w:spacing w:after="40"/>
      </w:pPr>
      <w:r>
        <w:rPr>
          <w:sz w:val="18"/>
          <w:szCs w:val="18"/>
        </w:rPr>
        <w:t xml:space="preserve">Jaganathan K et al. Predicting splicing from primary sequence with deep learning. Cell 2019. (SpliceAI)</w:t>
      </w:r>
    </w:p>
    <w:p>
      <w:pPr>
        <w:pStyle w:val="ListParagraph"/>
        <w:numPr>
          <w:ilvl w:val="0"/>
          <w:numId w:val="3"/>
        </w:numPr>
        <w:spacing w:after="40"/>
      </w:pPr>
      <w:r>
        <w:rPr>
          <w:sz w:val="18"/>
          <w:szCs w:val="18"/>
        </w:rPr>
        <w:t xml:space="preserve">Richards S et al. Standards and guidelines for the interpretation of sequence variants. Genet Med 2015. (ACMG/AMP)</w:t>
      </w:r>
    </w:p>
    <w:p>
      <w:pPr>
        <w:pStyle w:val="ListParagraph"/>
        <w:numPr>
          <w:ilvl w:val="0"/>
          <w:numId w:val="3"/>
        </w:numPr>
        <w:spacing w:after="40"/>
      </w:pPr>
      <w:r>
        <w:rPr>
          <w:sz w:val="18"/>
          <w:szCs w:val="18"/>
        </w:rPr>
        <w:t xml:space="preserve">Abou Tayoun AN et al. Recommendations for interpreting the loss of function PVS1 ACMG/AMP variant criterion. Hum Mutat 2018.</w:t>
      </w:r>
    </w:p>
    <w:p>
      <w:pPr>
        <w:pStyle w:val="ListParagraph"/>
        <w:numPr>
          <w:ilvl w:val="0"/>
          <w:numId w:val="3"/>
        </w:numPr>
        <w:spacing w:after="40"/>
      </w:pPr>
      <w:r>
        <w:rPr>
          <w:sz w:val="18"/>
          <w:szCs w:val="18"/>
        </w:rPr>
        <w:t xml:space="preserve">Tavtigian SV et al. Fitting a naturally scaled point system to the ACMG/AMP variant classification guidelines. Hum Mutat 2020.</w:t>
      </w:r>
    </w:p>
    <w:p>
      <w:pPr>
        <w:pStyle w:val="ListParagraph"/>
        <w:numPr>
          <w:ilvl w:val="0"/>
          <w:numId w:val="3"/>
        </w:numPr>
        <w:spacing w:after="40"/>
      </w:pPr>
      <w:r>
        <w:rPr>
          <w:sz w:val="18"/>
          <w:szCs w:val="18"/>
        </w:rPr>
        <w:t xml:space="preserve">Pejaver V et al. Calibration of computational tools for missense variant pathogenicity classification and ClinGen recommendations for PP3 and BP4 criteria. Am J Hum Genet 2022.</w:t>
      </w:r>
    </w:p>
    <w:p>
      <w:pPr>
        <w:pStyle w:val="ListParagraph"/>
        <w:numPr>
          <w:ilvl w:val="0"/>
          <w:numId w:val="3"/>
        </w:numPr>
        <w:spacing w:after="40"/>
      </w:pPr>
      <w:r>
        <w:rPr>
          <w:sz w:val="18"/>
          <w:szCs w:val="18"/>
        </w:rPr>
        <w:t xml:space="preserve">Bergquist T et al. Calibration of additional computational tools expands ClinGen recommendation options for variant classification with PP3/BP4 criteria. Genet Med 2025.</w:t>
      </w:r>
    </w:p>
    <w:p>
      <w:pPr>
        <w:pStyle w:val="ListParagraph"/>
        <w:numPr>
          <w:ilvl w:val="0"/>
          <w:numId w:val="3"/>
        </w:numPr>
        <w:spacing w:after="40"/>
      </w:pPr>
      <w:r>
        <w:rPr>
          <w:sz w:val="18"/>
          <w:szCs w:val="18"/>
        </w:rPr>
        <w:t xml:space="preserve">Walker LC et al. Using the ACMG/AMP framework to capture evidence related to predicted and observed impact on splicing: recommendations from the ClinGen SVI Splicing Subgroup. Am J Hum Genet 2023.</w:t>
      </w:r>
    </w:p>
    <w:p>
      <w:pPr>
        <w:pStyle w:val="ListParagraph"/>
        <w:numPr>
          <w:ilvl w:val="0"/>
          <w:numId w:val="3"/>
        </w:numPr>
        <w:spacing w:after="40"/>
      </w:pPr>
      <w:r>
        <w:rPr>
          <w:sz w:val="18"/>
          <w:szCs w:val="18"/>
        </w:rPr>
        <w:t xml:space="preserve">Benjamin D et al. Calling somatic SNVs and indels with Mutect2. bioRxiv 2019.</w:t>
      </w:r>
    </w:p>
    <w:p>
      <w:pPr>
        <w:pStyle w:val="ListParagraph"/>
        <w:numPr>
          <w:ilvl w:val="0"/>
          <w:numId w:val="3"/>
        </w:numPr>
        <w:spacing w:after="40"/>
      </w:pPr>
      <w:r>
        <w:rPr>
          <w:sz w:val="18"/>
          <w:szCs w:val="18"/>
        </w:rPr>
        <w:t xml:space="preserve">Kim S et al. Strelka2: fast and accurate calling of germline and somatic variants. Nat Methods 2018.</w:t>
      </w:r>
    </w:p>
    <w:p>
      <w:pPr>
        <w:pStyle w:val="ListParagraph"/>
        <w:numPr>
          <w:ilvl w:val="0"/>
          <w:numId w:val="3"/>
        </w:numPr>
        <w:spacing w:after="40"/>
      </w:pPr>
      <w:r>
        <w:rPr>
          <w:sz w:val="18"/>
          <w:szCs w:val="18"/>
        </w:rPr>
        <w:t xml:space="preserve">Talevich E et al. CNVkit: genome-wide copy number detection and visualization from targeted DNA sequencing. PLoS Comput Biol 2016.</w:t>
      </w:r>
    </w:p>
    <w:p>
      <w:pPr>
        <w:pStyle w:val="ListParagraph"/>
        <w:numPr>
          <w:ilvl w:val="0"/>
          <w:numId w:val="3"/>
        </w:numPr>
        <w:spacing w:after="40"/>
      </w:pPr>
      <w:r>
        <w:rPr>
          <w:sz w:val="18"/>
          <w:szCs w:val="18"/>
        </w:rPr>
        <w:t xml:space="preserve">Alexandrov LB et al. The repertoire of mutational signatures in human cancer. Nature 2020.</w:t>
      </w:r>
    </w:p>
    <w:p>
      <w:pPr>
        <w:pStyle w:val="ListParagraph"/>
        <w:numPr>
          <w:ilvl w:val="0"/>
          <w:numId w:val="3"/>
        </w:numPr>
        <w:spacing w:after="40"/>
      </w:pPr>
      <w:r>
        <w:rPr>
          <w:sz w:val="18"/>
          <w:szCs w:val="18"/>
        </w:rPr>
        <w:t xml:space="preserve">Jaiswal S et al. Age-related clonal hematopoiesis associated with adverse outcomes. N Engl J Med 2014.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Trio DNM Pipeline Protocol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 w:type="paragraph" w:styleId="CodeBlock">
    <w:name w:val="Code Block"/>
    <w:basedOn w:val="Normal"/>
    <w:qFormat/>
    <w:pPr>
      <w:keepLines/>
      <w:shd w:fill="F2F2F2" w:color="auto" w:val="clear"/>
      <w:ind w:left="144" w:right="144"/>
    </w:pPr>
    <w:rPr>
      <w:rFonts w:ascii="Consolas" w:cs="Consolas" w:eastAsia="Consolas" w:hAnsi="Consolas"/>
      <w:sz w:val="16"/>
      <w:szCs w:val="16"/>
    </w:rPr>
  </w:style>
  <w:style w:type="paragraph" w:styleId="Note">
    <w:name w:val="Note"/>
    <w:basedOn w:val="Normal"/>
    <w:qFormat/>
    <w:rPr>
      <w:sz w:val="20"/>
      <w:szCs w:val="20"/>
    </w:rPr>
  </w:style>
  <w:style w:type="paragraph" w:styleId="Heading3">
    <w:name w:val="Heading 3"/>
    <w:basedOn w:val="Normal"/>
    <w:next w:val="Normal"/>
    <w:qFormat/>
    <w:pPr>
      <w:spacing w:after="80" w:before="180"/>
      <w:outlineLvl w:val="2"/>
    </w:pPr>
    <w:rPr>
      <w:rFonts w:ascii="Calibri" w:cs="Calibri" w:eastAsia="Calibri" w:hAnsi="Calibri"/>
      <w:b/>
      <w:bCs/>
      <w:color w:val="404040"/>
      <w:sz w:val="21"/>
      <w:szCs w:val="21"/>
    </w:rPr>
  </w:style>
  <w:style w:type="character" w:styleId="InlineCode">
    <w:name w:val="Inline Code"/>
    <w:basedOn w:val="DefaultParagraphFont"/>
    <w:uiPriority w:val="99"/>
    <w:unhideWhenUsed/>
    <w:rPr>
      <w:rFonts w:ascii="Consolas" w:cs="Consolas" w:eastAsia="Consolas" w:hAnsi="Consolas"/>
      <w:color w:val="1F4E7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Trio DNM Pipeline Protocol v2.0</dc:title>
  <dc:creator>Trio DNM Pipeline</dc:creator>
  <cp:lastModifiedBy>Un-named</cp:lastModifiedBy>
  <cp:revision>1</cp:revision>
  <dcterms:created xsi:type="dcterms:W3CDTF">2026-09-30T22:49:22.412Z</dcterms:created>
  <dcterms:modified xsi:type="dcterms:W3CDTF">2026-09-30T22:49:22.412Z</dcterms:modified>
</cp:coreProperties>
</file>

<file path=docProps/custom.xml><?xml version="1.0" encoding="utf-8"?>
<Properties xmlns="http://schemas.openxmlformats.org/officeDocument/2006/custom-properties" xmlns:vt="http://schemas.openxmlformats.org/officeDocument/2006/docPropsVTypes"/>
</file>