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C2C2A"/>
          <w:sz w:val="44"/>
          <w:szCs w:val="44"/>
        </w:rPr>
        <w:t xml:space="preserve">Jarvis voice agent</w:t>
      </w:r>
    </w:p>
    <w:p>
      <w:pPr>
        <w:spacing w:after="40"/>
      </w:pPr>
      <w:r>
        <w:rPr>
          <w:i/>
          <w:iCs/>
          <w:color w:val="5F5E5A"/>
          <w:sz w:val="26"/>
          <w:szCs w:val="26"/>
        </w:rPr>
        <w:t xml:space="preserve">System architecture reference</w:t>
      </w:r>
    </w:p>
    <w:p>
      <w:pPr>
        <w:spacing w:after="200"/>
      </w:pPr>
      <w:r>
        <w:rPr>
          <w:color w:val="5F5E5A"/>
          <w:sz w:val="20"/>
          <w:szCs w:val="20"/>
        </w:rPr>
        <w:t xml:space="preserve">Built with LiveKit Agents, Gemini live multimodal model, and custom function tools</w:t>
      </w:r>
    </w:p>
    <w:p>
      <w:pPr>
        <w:pBdr>
          <w:bottom w:val="single" w:color="B4B2A9" w:sz="6" w:space="4"/>
        </w:pBdr>
        <w:spacing w:after="240"/>
      </w:pPr>
    </w:p>
    <w:p>
      <w:pPr>
        <w:pStyle w:val="Heading1"/>
        <w:spacing w:after="160" w:before="360"/>
      </w:pPr>
      <w:r>
        <w:t xml:space="preserve">1. Overview</w:t>
      </w:r>
    </w:p>
    <w:p>
      <w:pPr>
        <w:spacing w:after="160"/>
        <w:jc w:val="both"/>
      </w:pPr>
      <w:r>
        <w:rPr>
          <w:sz w:val="22"/>
          <w:szCs w:val="22"/>
        </w:rPr>
        <w:t xml:space="preserve">Jarvis is a real-time, voice-first AI agent built on the LiveKit Agents framework. A single Python process (the “agent worker”) joins a LiveKit room over WebRTC, streams the user's microphone and, optionally, camera or shared-screen video into Google's Gemini live multimodal model, and streams synthesized speech back out. The model handles speech-to-text, reasoning, and text-to-speech as one realtime pass rather than three separate pipeline stages, which keeps latency low. The agent's behavior is defined by a natural-language system prompt and extended through function tools — small Python functions the model can call to search the web, control a browser, or perform any other action you register.</w:t>
      </w:r>
    </w:p>
    <w:p>
      <w:pPr>
        <w:spacing w:after="160"/>
        <w:jc w:val="both"/>
      </w:pPr>
      <w:r>
        <w:rPr>
          <w:sz w:val="22"/>
          <w:szCs w:val="22"/>
        </w:rPr>
        <w:t xml:space="preserve">The same agent backend can be reached from three different front ends: the hosted LiveKit Agent Playground (for testing), a custom Next.js web app, and a Flutter mobile app for Android and iOS. All three connect to the same LiveKit Cloud project and the same running agent.</w:t>
      </w:r>
    </w:p>
    <w:p>
      <w:pPr>
        <w:pStyle w:val="Heading1"/>
        <w:spacing w:after="160" w:before="360"/>
      </w:pPr>
      <w:r>
        <w:t xml:space="preserve">2.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c>
          <w:tcPr>
            <w:tcW w:type="dxa" w:w="1700"/>
            <w:shd w:fill="E6F1FB" w:val="clear"/>
            <w:tcMar>
              <w:top w:type="dxa" w:w="80"/>
              <w:left w:type="dxa" w:w="100"/>
              <w:bottom w:type="dxa" w:w="80"/>
              <w:right w:type="dxa" w:w="100"/>
            </w:tcMar>
          </w:tcPr>
          <w:p>
            <w:r>
              <w:rPr>
                <w:b/>
                <w:bCs/>
                <w:color w:val="185FA5"/>
                <w:sz w:val="20"/>
                <w:szCs w:val="20"/>
              </w:rPr>
              <w:t xml:space="preserve">Layer</w:t>
            </w:r>
          </w:p>
        </w:tc>
        <w:tc>
          <w:tcPr>
            <w:tcW w:type="dxa" w:w="3600"/>
            <w:shd w:fill="E6F1FB" w:val="clear"/>
            <w:tcMar>
              <w:top w:type="dxa" w:w="80"/>
              <w:left w:type="dxa" w:w="100"/>
              <w:bottom w:type="dxa" w:w="80"/>
              <w:right w:type="dxa" w:w="100"/>
            </w:tcMar>
          </w:tcPr>
          <w:p>
            <w:r>
              <w:rPr>
                <w:b/>
                <w:bCs/>
                <w:color w:val="185FA5"/>
                <w:sz w:val="20"/>
                <w:szCs w:val="20"/>
              </w:rPr>
              <w:t xml:space="preserve">Responsibility</w:t>
            </w:r>
          </w:p>
        </w:tc>
        <w:tc>
          <w:tcPr>
            <w:tcW w:type="dxa" w:w="3700"/>
            <w:shd w:fill="E6F1FB" w:val="clear"/>
            <w:tcMar>
              <w:top w:type="dxa" w:w="80"/>
              <w:left w:type="dxa" w:w="100"/>
              <w:bottom w:type="dxa" w:w="80"/>
              <w:right w:type="dxa" w:w="100"/>
            </w:tcMar>
          </w:tcPr>
          <w:p>
            <w:r>
              <w:rPr>
                <w:b/>
                <w:bCs/>
                <w:color w:val="185FA5"/>
                <w:sz w:val="20"/>
                <w:szCs w:val="20"/>
              </w:rPr>
              <w:t xml:space="preserve">Implementation</w:t>
            </w:r>
          </w:p>
        </w:tc>
      </w:tr>
      <w:tr>
        <w:tc>
          <w:tcPr>
            <w:tcW w:type="dxa" w:w="1700"/>
            <w:tcMar>
              <w:top w:type="dxa" w:w="80"/>
              <w:left w:type="dxa" w:w="100"/>
              <w:bottom w:type="dxa" w:w="80"/>
              <w:right w:type="dxa" w:w="100"/>
            </w:tcMar>
          </w:tcPr>
          <w:p>
            <w:r>
              <w:rPr>
                <w:b w:val="false"/>
                <w:bCs w:val="false"/>
                <w:color w:val="2C2C2A"/>
                <w:sz w:val="20"/>
                <w:szCs w:val="20"/>
              </w:rPr>
              <w:t xml:space="preserve">Client layer</w:t>
            </w:r>
          </w:p>
        </w:tc>
        <w:tc>
          <w:tcPr>
            <w:tcW w:type="dxa" w:w="3600"/>
            <w:tcMar>
              <w:top w:type="dxa" w:w="80"/>
              <w:left w:type="dxa" w:w="100"/>
              <w:bottom w:type="dxa" w:w="80"/>
              <w:right w:type="dxa" w:w="100"/>
            </w:tcMar>
          </w:tcPr>
          <w:p>
            <w:r>
              <w:rPr>
                <w:b w:val="false"/>
                <w:bCs w:val="false"/>
                <w:color w:val="2C2C2A"/>
                <w:sz w:val="20"/>
                <w:szCs w:val="20"/>
              </w:rPr>
              <w:t xml:space="preserve">Captures mic / camera / screen, renders the voice UI, plays back audio</w:t>
            </w:r>
          </w:p>
        </w:tc>
        <w:tc>
          <w:tcPr>
            <w:tcW w:type="dxa" w:w="3700"/>
            <w:tcMar>
              <w:top w:type="dxa" w:w="80"/>
              <w:left w:type="dxa" w:w="100"/>
              <w:bottom w:type="dxa" w:w="80"/>
              <w:right w:type="dxa" w:w="100"/>
            </w:tcMar>
          </w:tcPr>
          <w:p>
            <w:r>
              <w:rPr>
                <w:b w:val="false"/>
                <w:bCs w:val="false"/>
                <w:color w:val="2C2C2A"/>
                <w:sz w:val="20"/>
                <w:szCs w:val="20"/>
              </w:rPr>
              <w:t xml:space="preserve">Next.js web app, Flutter mobile app, or LiveKit Agent Playground</w:t>
            </w:r>
          </w:p>
        </w:tc>
      </w:tr>
      <w:tr>
        <w:tc>
          <w:tcPr>
            <w:tcW w:type="dxa" w:w="1700"/>
            <w:tcMar>
              <w:top w:type="dxa" w:w="80"/>
              <w:left w:type="dxa" w:w="100"/>
              <w:bottom w:type="dxa" w:w="80"/>
              <w:right w:type="dxa" w:w="100"/>
            </w:tcMar>
          </w:tcPr>
          <w:p>
            <w:r>
              <w:rPr>
                <w:b w:val="false"/>
                <w:bCs w:val="false"/>
                <w:color w:val="2C2C2A"/>
                <w:sz w:val="20"/>
                <w:szCs w:val="20"/>
              </w:rPr>
              <w:t xml:space="preserve">Transport layer</w:t>
            </w:r>
          </w:p>
        </w:tc>
        <w:tc>
          <w:tcPr>
            <w:tcW w:type="dxa" w:w="3600"/>
            <w:tcMar>
              <w:top w:type="dxa" w:w="80"/>
              <w:left w:type="dxa" w:w="100"/>
              <w:bottom w:type="dxa" w:w="80"/>
              <w:right w:type="dxa" w:w="100"/>
            </w:tcMar>
          </w:tcPr>
          <w:p>
            <w:r>
              <w:rPr>
                <w:b w:val="false"/>
                <w:bCs w:val="false"/>
                <w:color w:val="2C2C2A"/>
                <w:sz w:val="20"/>
                <w:szCs w:val="20"/>
              </w:rPr>
              <w:t xml:space="preserve">Real-time audio/video/data routing between client and agent</w:t>
            </w:r>
          </w:p>
        </w:tc>
        <w:tc>
          <w:tcPr>
            <w:tcW w:type="dxa" w:w="3700"/>
            <w:tcMar>
              <w:top w:type="dxa" w:w="80"/>
              <w:left w:type="dxa" w:w="100"/>
              <w:bottom w:type="dxa" w:w="80"/>
              <w:right w:type="dxa" w:w="100"/>
            </w:tcMar>
          </w:tcPr>
          <w:p>
            <w:r>
              <w:rPr>
                <w:b w:val="false"/>
                <w:bCs w:val="false"/>
                <w:color w:val="2C2C2A"/>
                <w:sz w:val="20"/>
                <w:szCs w:val="20"/>
              </w:rPr>
              <w:t xml:space="preserve">LiveKit Cloud (managed WebRTC rooms)</w:t>
            </w:r>
          </w:p>
        </w:tc>
      </w:tr>
      <w:tr>
        <w:tc>
          <w:tcPr>
            <w:tcW w:type="dxa" w:w="1700"/>
            <w:tcMar>
              <w:top w:type="dxa" w:w="80"/>
              <w:left w:type="dxa" w:w="100"/>
              <w:bottom w:type="dxa" w:w="80"/>
              <w:right w:type="dxa" w:w="100"/>
            </w:tcMar>
          </w:tcPr>
          <w:p>
            <w:r>
              <w:rPr>
                <w:b w:val="false"/>
                <w:bCs w:val="false"/>
                <w:color w:val="2C2C2A"/>
                <w:sz w:val="20"/>
                <w:szCs w:val="20"/>
              </w:rPr>
              <w:t xml:space="preserve">Agent runtime</w:t>
            </w:r>
          </w:p>
        </w:tc>
        <w:tc>
          <w:tcPr>
            <w:tcW w:type="dxa" w:w="3600"/>
            <w:tcMar>
              <w:top w:type="dxa" w:w="80"/>
              <w:left w:type="dxa" w:w="100"/>
              <w:bottom w:type="dxa" w:w="80"/>
              <w:right w:type="dxa" w:w="100"/>
            </w:tcMar>
          </w:tcPr>
          <w:p>
            <w:r>
              <w:rPr>
                <w:b w:val="false"/>
                <w:bCs w:val="false"/>
                <w:color w:val="2C2C2A"/>
                <w:sz w:val="20"/>
                <w:szCs w:val="20"/>
              </w:rPr>
              <w:t xml:space="preserve">Hosts the agent process, manages the session lifecycle</w:t>
            </w:r>
          </w:p>
        </w:tc>
        <w:tc>
          <w:tcPr>
            <w:tcW w:type="dxa" w:w="3700"/>
            <w:tcMar>
              <w:top w:type="dxa" w:w="80"/>
              <w:left w:type="dxa" w:w="100"/>
              <w:bottom w:type="dxa" w:w="80"/>
              <w:right w:type="dxa" w:w="100"/>
            </w:tcMar>
          </w:tcPr>
          <w:p>
            <w:r>
              <w:rPr>
                <w:b w:val="false"/>
                <w:bCs w:val="false"/>
                <w:color w:val="2C2C2A"/>
                <w:sz w:val="20"/>
                <w:szCs w:val="20"/>
              </w:rPr>
              <w:t xml:space="preserve">Python process running the LiveKit Agents SDK (agent.py)</w:t>
            </w:r>
          </w:p>
        </w:tc>
      </w:tr>
      <w:tr>
        <w:tc>
          <w:tcPr>
            <w:tcW w:type="dxa" w:w="1700"/>
            <w:tcMar>
              <w:top w:type="dxa" w:w="80"/>
              <w:left w:type="dxa" w:w="100"/>
              <w:bottom w:type="dxa" w:w="80"/>
              <w:right w:type="dxa" w:w="100"/>
            </w:tcMar>
          </w:tcPr>
          <w:p>
            <w:r>
              <w:rPr>
                <w:b w:val="false"/>
                <w:bCs w:val="false"/>
                <w:color w:val="2C2C2A"/>
                <w:sz w:val="20"/>
                <w:szCs w:val="20"/>
              </w:rPr>
              <w:t xml:space="preserve">Persona layer</w:t>
            </w:r>
          </w:p>
        </w:tc>
        <w:tc>
          <w:tcPr>
            <w:tcW w:type="dxa" w:w="3600"/>
            <w:tcMar>
              <w:top w:type="dxa" w:w="80"/>
              <w:left w:type="dxa" w:w="100"/>
              <w:bottom w:type="dxa" w:w="80"/>
              <w:right w:type="dxa" w:w="100"/>
            </w:tcMar>
          </w:tcPr>
          <w:p>
            <w:r>
              <w:rPr>
                <w:b w:val="false"/>
                <w:bCs w:val="false"/>
                <w:color w:val="2C2C2A"/>
                <w:sz w:val="20"/>
                <w:szCs w:val="20"/>
              </w:rPr>
              <w:t xml:space="preserve">Defines identity, tone, and behavioral rules</w:t>
            </w:r>
          </w:p>
        </w:tc>
        <w:tc>
          <w:tcPr>
            <w:tcW w:type="dxa" w:w="3700"/>
            <w:tcMar>
              <w:top w:type="dxa" w:w="80"/>
              <w:left w:type="dxa" w:w="100"/>
              <w:bottom w:type="dxa" w:w="80"/>
              <w:right w:type="dxa" w:w="100"/>
            </w:tcMar>
          </w:tcPr>
          <w:p>
            <w:r>
              <w:rPr>
                <w:b w:val="false"/>
                <w:bCs w:val="false"/>
                <w:color w:val="2C2C2A"/>
                <w:sz w:val="20"/>
                <w:szCs w:val="20"/>
              </w:rPr>
              <w:t xml:space="preserve">System prompt (the instructions string in agent.py)</w:t>
            </w:r>
          </w:p>
        </w:tc>
      </w:tr>
      <w:tr>
        <w:tc>
          <w:tcPr>
            <w:tcW w:type="dxa" w:w="1700"/>
            <w:tcMar>
              <w:top w:type="dxa" w:w="80"/>
              <w:left w:type="dxa" w:w="100"/>
              <w:bottom w:type="dxa" w:w="80"/>
              <w:right w:type="dxa" w:w="100"/>
            </w:tcMar>
          </w:tcPr>
          <w:p>
            <w:r>
              <w:rPr>
                <w:b w:val="false"/>
                <w:bCs w:val="false"/>
                <w:color w:val="2C2C2A"/>
                <w:sz w:val="20"/>
                <w:szCs w:val="20"/>
              </w:rPr>
              <w:t xml:space="preserve">Model layer</w:t>
            </w:r>
          </w:p>
        </w:tc>
        <w:tc>
          <w:tcPr>
            <w:tcW w:type="dxa" w:w="3600"/>
            <w:tcMar>
              <w:top w:type="dxa" w:w="80"/>
              <w:left w:type="dxa" w:w="100"/>
              <w:bottom w:type="dxa" w:w="80"/>
              <w:right w:type="dxa" w:w="100"/>
            </w:tcMar>
          </w:tcPr>
          <w:p>
            <w:r>
              <w:rPr>
                <w:b w:val="false"/>
                <w:bCs w:val="false"/>
                <w:color w:val="2C2C2A"/>
                <w:sz w:val="20"/>
                <w:szCs w:val="20"/>
              </w:rPr>
              <w:t xml:space="preserve">Speech-to-text, reasoning, text-to-speech, and vision in one realtime model</w:t>
            </w:r>
          </w:p>
        </w:tc>
        <w:tc>
          <w:tcPr>
            <w:tcW w:type="dxa" w:w="3700"/>
            <w:tcMar>
              <w:top w:type="dxa" w:w="80"/>
              <w:left w:type="dxa" w:w="100"/>
              <w:bottom w:type="dxa" w:w="80"/>
              <w:right w:type="dxa" w:w="100"/>
            </w:tcMar>
          </w:tcPr>
          <w:p>
            <w:r>
              <w:rPr>
                <w:b w:val="false"/>
                <w:bCs w:val="false"/>
                <w:color w:val="2C2C2A"/>
                <w:sz w:val="20"/>
                <w:szCs w:val="20"/>
              </w:rPr>
              <w:t xml:space="preserve">Gemini live multimodal model (livekit-plugins-google)</w:t>
            </w:r>
          </w:p>
        </w:tc>
      </w:tr>
      <w:tr>
        <w:tc>
          <w:tcPr>
            <w:tcW w:type="dxa" w:w="1700"/>
            <w:tcMar>
              <w:top w:type="dxa" w:w="80"/>
              <w:left w:type="dxa" w:w="100"/>
              <w:bottom w:type="dxa" w:w="80"/>
              <w:right w:type="dxa" w:w="100"/>
            </w:tcMar>
          </w:tcPr>
          <w:p>
            <w:r>
              <w:rPr>
                <w:b w:val="false"/>
                <w:bCs w:val="false"/>
                <w:color w:val="2C2C2A"/>
                <w:sz w:val="20"/>
                <w:szCs w:val="20"/>
              </w:rPr>
              <w:t xml:space="preserve">Tool layer</w:t>
            </w:r>
          </w:p>
        </w:tc>
        <w:tc>
          <w:tcPr>
            <w:tcW w:type="dxa" w:w="3600"/>
            <w:tcMar>
              <w:top w:type="dxa" w:w="80"/>
              <w:left w:type="dxa" w:w="100"/>
              <w:bottom w:type="dxa" w:w="80"/>
              <w:right w:type="dxa" w:w="100"/>
            </w:tcMar>
          </w:tcPr>
          <w:p>
            <w:r>
              <w:rPr>
                <w:b w:val="false"/>
                <w:bCs w:val="false"/>
                <w:color w:val="2C2C2A"/>
                <w:sz w:val="20"/>
                <w:szCs w:val="20"/>
              </w:rPr>
              <w:t xml:space="preserve">Lets the model take actions beyond conversation</w:t>
            </w:r>
          </w:p>
        </w:tc>
        <w:tc>
          <w:tcPr>
            <w:tcW w:type="dxa" w:w="3700"/>
            <w:tcMar>
              <w:top w:type="dxa" w:w="80"/>
              <w:left w:type="dxa" w:w="100"/>
              <w:bottom w:type="dxa" w:w="80"/>
              <w:right w:type="dxa" w:w="100"/>
            </w:tcMar>
          </w:tcPr>
          <w:p>
            <w:r>
              <w:rPr>
                <w:b w:val="false"/>
                <w:bCs w:val="false"/>
                <w:color w:val="2C2C2A"/>
                <w:sz w:val="20"/>
                <w:szCs w:val="20"/>
              </w:rPr>
              <w:t xml:space="preserve">Python function tools (e.g. web search, browser control)</w:t>
            </w:r>
          </w:p>
        </w:tc>
      </w:tr>
      <w:tr>
        <w:tc>
          <w:tcPr>
            <w:tcW w:type="dxa" w:w="1700"/>
            <w:tcMar>
              <w:top w:type="dxa" w:w="80"/>
              <w:left w:type="dxa" w:w="100"/>
              <w:bottom w:type="dxa" w:w="80"/>
              <w:right w:type="dxa" w:w="100"/>
            </w:tcMar>
          </w:tcPr>
          <w:p>
            <w:r>
              <w:rPr>
                <w:b w:val="false"/>
                <w:bCs w:val="false"/>
                <w:color w:val="2C2C2A"/>
                <w:sz w:val="20"/>
                <w:szCs w:val="20"/>
              </w:rPr>
              <w:t xml:space="preserve">External services</w:t>
            </w:r>
          </w:p>
        </w:tc>
        <w:tc>
          <w:tcPr>
            <w:tcW w:type="dxa" w:w="3600"/>
            <w:tcMar>
              <w:top w:type="dxa" w:w="80"/>
              <w:left w:type="dxa" w:w="100"/>
              <w:bottom w:type="dxa" w:w="80"/>
              <w:right w:type="dxa" w:w="100"/>
            </w:tcMar>
          </w:tcPr>
          <w:p>
            <w:r>
              <w:rPr>
                <w:b w:val="false"/>
                <w:bCs w:val="false"/>
                <w:color w:val="2C2C2A"/>
                <w:sz w:val="20"/>
                <w:szCs w:val="20"/>
              </w:rPr>
              <w:t xml:space="preserve">Third-party systems the tools call out to</w:t>
            </w:r>
          </w:p>
        </w:tc>
        <w:tc>
          <w:tcPr>
            <w:tcW w:type="dxa" w:w="3700"/>
            <w:tcMar>
              <w:top w:type="dxa" w:w="80"/>
              <w:left w:type="dxa" w:w="100"/>
              <w:bottom w:type="dxa" w:w="80"/>
              <w:right w:type="dxa" w:w="100"/>
            </w:tcMar>
          </w:tcPr>
          <w:p>
            <w:r>
              <w:rPr>
                <w:b w:val="false"/>
                <w:bCs w:val="false"/>
                <w:color w:val="2C2C2A"/>
                <w:sz w:val="20"/>
                <w:szCs w:val="20"/>
              </w:rPr>
              <w:t xml:space="preserve">DuckDuckGo search, Playwright-controlled Chrome, any API a tool wraps</w:t>
            </w:r>
          </w:p>
        </w:tc>
      </w:tr>
    </w:tbl>
    <w:p>
      <w:pPr>
        <w:pStyle w:val="Heading1"/>
        <w:spacing w:after="160" w:before="360"/>
      </w:pPr>
      <w:r>
        <w:t xml:space="preserve">3. Component details</w:t>
      </w:r>
    </w:p>
    <w:p>
      <w:pPr>
        <w:pStyle w:val="Heading2"/>
        <w:spacing w:after="120" w:before="240"/>
      </w:pPr>
      <w:r>
        <w:t xml:space="preserve">3.1 Client layer</w:t>
      </w:r>
    </w:p>
    <w:p>
      <w:pPr>
        <w:spacing w:after="160"/>
        <w:jc w:val="both"/>
      </w:pPr>
      <w:r>
        <w:rPr>
          <w:sz w:val="22"/>
          <w:szCs w:val="22"/>
        </w:rPr>
        <w:t xml:space="preserve">Three interchangeable front ends can drive the same agent:</w:t>
      </w:r>
    </w:p>
    <w:p>
      <w:pPr>
        <w:pStyle w:val="ListParagraph"/>
        <w:numPr>
          <w:ilvl w:val="0"/>
          <w:numId w:val="2"/>
        </w:numPr>
        <w:spacing w:after="80"/>
      </w:pPr>
      <w:r>
        <w:rPr>
          <w:sz w:val="22"/>
          <w:szCs w:val="22"/>
        </w:rPr>
        <w:t xml:space="preserve">Agent Playground — a hosted LiveKit web UI, useful for testing without building a frontend.</w:t>
      </w:r>
    </w:p>
    <w:p>
      <w:pPr>
        <w:pStyle w:val="ListParagraph"/>
        <w:numPr>
          <w:ilvl w:val="0"/>
          <w:numId w:val="2"/>
        </w:numPr>
        <w:spacing w:after="80"/>
      </w:pPr>
      <w:r>
        <w:rPr>
          <w:sz w:val="22"/>
          <w:szCs w:val="22"/>
        </w:rPr>
        <w:t xml:space="preserve">Web frontend — LiveKit's Next.js “Agents UI” starter, run locally, customizable (voice-visualizer style, color, screen-share support).</w:t>
      </w:r>
    </w:p>
    <w:p>
      <w:pPr>
        <w:pStyle w:val="ListParagraph"/>
        <w:numPr>
          <w:ilvl w:val="0"/>
          <w:numId w:val="2"/>
        </w:numPr>
        <w:spacing w:after="80"/>
      </w:pPr>
      <w:r>
        <w:rPr>
          <w:sz w:val="22"/>
          <w:szCs w:val="22"/>
        </w:rPr>
        <w:t xml:space="preserve">Mobile app — a Flutter starter template that builds to both Android and iOS from one codebase, authenticated against the project via a LiveKit Sandbox / Token Server ID.</w:t>
      </w:r>
    </w:p>
    <w:p>
      <w:pPr>
        <w:pStyle w:val="Heading2"/>
        <w:spacing w:after="120" w:before="240"/>
      </w:pPr>
      <w:r>
        <w:t xml:space="preserve">3.2 Transport layer — LiveKit Cloud</w:t>
      </w:r>
    </w:p>
    <w:p>
      <w:pPr>
        <w:spacing w:after="160"/>
        <w:jc w:val="both"/>
      </w:pPr>
      <w:r>
        <w:rPr>
          <w:sz w:val="22"/>
          <w:szCs w:val="22"/>
        </w:rPr>
        <w:t xml:space="preserve">LiveKit Cloud provides the managed WebRTC “room” that every client and the agent worker join. It handles connection negotiation, media routing, and the data channel used for tool-call and transcript events. The free tier includes roughly 1,000 connection-minutes per month, which is enough for personal development and testing.</w:t>
      </w:r>
    </w:p>
    <w:p>
      <w:pPr>
        <w:pStyle w:val="Heading2"/>
        <w:spacing w:after="120" w:before="240"/>
      </w:pPr>
      <w:r>
        <w:t xml:space="preserve">3.3 Agent runtime — agent.py</w:t>
      </w:r>
    </w:p>
    <w:p>
      <w:pPr>
        <w:spacing w:after="160"/>
        <w:jc w:val="both"/>
      </w:pPr>
      <w:r>
        <w:rPr>
          <w:sz w:val="22"/>
          <w:szCs w:val="22"/>
        </w:rPr>
        <w:t xml:space="preserve">The agent runtime is a single Python process built on the LiveKit Agents SDK. On startup it registers as a worker; when a user joins a room, LiveKit dispatches a job to it and it creates an AgentSession bound to that room. The session owns the realtime model connection, the registered tools, and the room's audio/video tracks for the lifetime of the conversation.</w:t>
      </w:r>
    </w:p>
    <w:p>
      <w:pPr>
        <w:pStyle w:val="Heading2"/>
        <w:spacing w:after="120" w:before="240"/>
      </w:pPr>
      <w:r>
        <w:t xml:space="preserve">3.4 Persona layer — system prompt</w:t>
      </w:r>
    </w:p>
    <w:p>
      <w:pPr>
        <w:spacing w:after="160"/>
        <w:jc w:val="both"/>
      </w:pPr>
      <w:r>
        <w:rPr>
          <w:sz w:val="22"/>
          <w:szCs w:val="22"/>
        </w:rPr>
        <w:t xml:space="preserve">The system prompt is a natural-language block passed into the agent's instructions. It sets the agent's name and personality, tells it how to address the user, gives a few example exchanges, and — critically — documents when each registered tool should be used. Any behavioral change (tone, new rules, new tool-usage instructions) is made here, in plain language, without touching the model integration code.</w:t>
      </w:r>
    </w:p>
    <w:p>
      <w:pPr>
        <w:pStyle w:val="Heading2"/>
        <w:spacing w:after="120" w:before="240"/>
      </w:pPr>
      <w:r>
        <w:t xml:space="preserve">3.5 Model layer — Gemini live</w:t>
      </w:r>
    </w:p>
    <w:p>
      <w:pPr>
        <w:spacing w:after="160"/>
        <w:jc w:val="both"/>
      </w:pPr>
      <w:r>
        <w:rPr>
          <w:sz w:val="22"/>
          <w:szCs w:val="22"/>
        </w:rPr>
        <w:t xml:space="preserve">Gemini's live multimodal model replaces the traditional separate STT, LLM, and TTS stages with one realtime endpoint that accepts streaming audio and video and returns streaming audio. This is what lets Jarvis describe what it sees through the camera, respond in whatever language the user speaks, and keep response latency low. Enabling video input is a one-line room-options change (video_input = true).</w:t>
      </w:r>
    </w:p>
    <w:p>
      <w:pPr>
        <w:pStyle w:val="Heading2"/>
        <w:spacing w:after="120" w:before="240"/>
      </w:pPr>
      <w:r>
        <w:t xml:space="preserve">3.6 Tool layer — function tools</w:t>
      </w:r>
    </w:p>
    <w:p>
      <w:pPr>
        <w:spacing w:after="160"/>
        <w:jc w:val="both"/>
      </w:pPr>
      <w:r>
        <w:rPr>
          <w:sz w:val="22"/>
          <w:szCs w:val="22"/>
        </w:rPr>
        <w:t xml:space="preserve">Tools are ordinary async Python functions decorated so the model can discover and call them. Two are covered in this build:</w:t>
      </w:r>
    </w:p>
    <w:p>
      <w:pPr>
        <w:pStyle w:val="ListParagraph"/>
        <w:numPr>
          <w:ilvl w:val="0"/>
          <w:numId w:val="2"/>
        </w:numPr>
        <w:spacing w:after="80"/>
      </w:pPr>
      <w:r>
        <w:rPr>
          <w:sz w:val="22"/>
          <w:szCs w:val="22"/>
        </w:rPr>
        <w:t xml:space="preserve">search_web — wraps a DuckDuckGo search (via LangChain) so the agent can answer questions about current information such as weather or news.</w:t>
      </w:r>
    </w:p>
    <w:p>
      <w:pPr>
        <w:pStyle w:val="ListParagraph"/>
        <w:numPr>
          <w:ilvl w:val="0"/>
          <w:numId w:val="2"/>
        </w:numPr>
        <w:spacing w:after="80"/>
      </w:pPr>
      <w:r>
        <w:rPr>
          <w:sz w:val="22"/>
          <w:szCs w:val="22"/>
        </w:rPr>
        <w:t xml:space="preserve">Browser control — a set of tools (open_browser, navigate, click_element, go_back, open_tab, switch_tab, close_browser) built on Playwright, giving the agent full control of a Chrome browser on the host machine.</w:t>
      </w:r>
    </w:p>
    <w:p>
      <w:pPr>
        <w:spacing w:after="160"/>
        <w:jc w:val="both"/>
      </w:pPr>
      <w:r>
        <w:rPr>
          <w:sz w:val="22"/>
          <w:szCs w:val="22"/>
        </w:rPr>
        <w:t xml:space="preserve">Each tool has a short description string the model uses to decide when to call it, named parameters the model fills in, and a plain Python function body that does the work and returns a result the model can speak back to the user.</w:t>
      </w:r>
    </w:p>
    <w:p>
      <w:pPr>
        <w:pStyle w:val="Heading2"/>
        <w:spacing w:after="120" w:before="240"/>
      </w:pPr>
      <w:r>
        <w:t xml:space="preserve">3.7 Development tooling — coding agent + MCP</w:t>
      </w:r>
    </w:p>
    <w:p>
      <w:pPr>
        <w:spacing w:after="160"/>
        <w:jc w:val="both"/>
      </w:pPr>
      <w:r>
        <w:rPr>
          <w:sz w:val="22"/>
          <w:szCs w:val="22"/>
        </w:rPr>
        <w:t xml:space="preserve">This layer is not part of the running agent; it is how the agent is built and extended. A coding agent (OpenCode, Claude Code, or similar) is connected to a LiveKit-docs MCP server, giving it grounded, up-to-date knowledge of the LiveKit Agents API. New features — such as the Playwright browser tools — are specified in plan mode, reviewed, then implemented in build mode, which edits agent.py, adds new tool files, and updates the system prompt automatically.</w:t>
      </w:r>
    </w:p>
    <w:p>
      <w:pPr>
        <w:pStyle w:val="Heading1"/>
        <w:spacing w:after="160" w:before="360"/>
      </w:pPr>
      <w:r>
        <w:t xml:space="preserve">4. Data flow</w:t>
      </w:r>
    </w:p>
    <w:p>
      <w:pPr>
        <w:pStyle w:val="ListParagraph"/>
        <w:numPr>
          <w:ilvl w:val="0"/>
          <w:numId w:val="3"/>
        </w:numPr>
        <w:spacing w:after="80"/>
      </w:pPr>
      <w:r>
        <w:rPr>
          <w:sz w:val="22"/>
          <w:szCs w:val="22"/>
        </w:rPr>
        <w:t xml:space="preserve">The client captures the user's microphone (and, if enabled, camera or shared screen) and streams it into a LiveKit Cloud room over WebRTC.</w:t>
      </w:r>
    </w:p>
    <w:p>
      <w:pPr>
        <w:pStyle w:val="ListParagraph"/>
        <w:numPr>
          <w:ilvl w:val="0"/>
          <w:numId w:val="3"/>
        </w:numPr>
        <w:spacing w:after="80"/>
      </w:pPr>
      <w:r>
        <w:rPr>
          <w:sz w:val="22"/>
          <w:szCs w:val="22"/>
        </w:rPr>
        <w:t xml:space="preserve">LiveKit Cloud routes the media and data channel to the agent worker process that has joined the same room.</w:t>
      </w:r>
    </w:p>
    <w:p>
      <w:pPr>
        <w:pStyle w:val="ListParagraph"/>
        <w:numPr>
          <w:ilvl w:val="0"/>
          <w:numId w:val="3"/>
        </w:numPr>
        <w:spacing w:after="80"/>
      </w:pPr>
      <w:r>
        <w:rPr>
          <w:sz w:val="22"/>
          <w:szCs w:val="22"/>
        </w:rPr>
        <w:t xml:space="preserve">The agent worker forwards the audio/video stream, together with the system prompt and the list of available tools, to the Gemini live model.</w:t>
      </w:r>
    </w:p>
    <w:p>
      <w:pPr>
        <w:pStyle w:val="ListParagraph"/>
        <w:numPr>
          <w:ilvl w:val="0"/>
          <w:numId w:val="3"/>
        </w:numPr>
        <w:spacing w:after="80"/>
      </w:pPr>
      <w:r>
        <w:rPr>
          <w:sz w:val="22"/>
          <w:szCs w:val="22"/>
        </w:rPr>
        <w:t xml:space="preserve">The model either responds directly with generated speech, or emits a tool call (for example search_web with a query).</w:t>
      </w:r>
    </w:p>
    <w:p>
      <w:pPr>
        <w:pStyle w:val="ListParagraph"/>
        <w:numPr>
          <w:ilvl w:val="0"/>
          <w:numId w:val="3"/>
        </w:numPr>
        <w:spacing w:after="80"/>
      </w:pPr>
      <w:r>
        <w:rPr>
          <w:sz w:val="22"/>
          <w:szCs w:val="22"/>
        </w:rPr>
        <w:t xml:space="preserve">If a tool is called, the agent runtime executes the corresponding Python function, which may call an external service (DuckDuckGo, a Playwright-controlled browser page, etc.), and returns the result to the model.</w:t>
      </w:r>
    </w:p>
    <w:p>
      <w:pPr>
        <w:pStyle w:val="ListParagraph"/>
        <w:numPr>
          <w:ilvl w:val="0"/>
          <w:numId w:val="3"/>
        </w:numPr>
        <w:spacing w:after="80"/>
      </w:pPr>
      <w:r>
        <w:rPr>
          <w:sz w:val="22"/>
          <w:szCs w:val="22"/>
        </w:rPr>
        <w:t xml:space="preserve">The model incorporates the tool result and generates a spoken response, streamed back through LiveKit Cloud to the client as synthesized audio.</w:t>
      </w:r>
    </w:p>
    <w:p>
      <w:pPr>
        <w:pStyle w:val="ListParagraph"/>
        <w:numPr>
          <w:ilvl w:val="0"/>
          <w:numId w:val="3"/>
        </w:numPr>
        <w:spacing w:after="80"/>
      </w:pPr>
      <w:r>
        <w:rPr>
          <w:sz w:val="22"/>
          <w:szCs w:val="22"/>
        </w:rPr>
        <w:t xml:space="preserve">The client plays the audio and updates the on-screen voice visualizer in sync with the response.</w:t>
      </w:r>
    </w:p>
    <w:p>
      <w:pPr>
        <w:pStyle w:val="Heading1"/>
        <w:spacing w:after="160" w:before="360"/>
      </w:pPr>
      <w:r>
        <w:t xml:space="preserve">5.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6F1FB" w:val="clear"/>
            <w:tcMar>
              <w:top w:type="dxa" w:w="80"/>
              <w:left w:type="dxa" w:w="100"/>
              <w:bottom w:type="dxa" w:w="80"/>
              <w:right w:type="dxa" w:w="100"/>
            </w:tcMar>
          </w:tcPr>
          <w:p>
            <w:r>
              <w:rPr>
                <w:b/>
                <w:bCs/>
                <w:color w:val="185FA5"/>
                <w:sz w:val="20"/>
                <w:szCs w:val="20"/>
              </w:rPr>
              <w:t xml:space="preserve">Concern</w:t>
            </w:r>
          </w:p>
        </w:tc>
        <w:tc>
          <w:tcPr>
            <w:tcW w:type="dxa" w:w="6000"/>
            <w:shd w:fill="E6F1FB" w:val="clear"/>
            <w:tcMar>
              <w:top w:type="dxa" w:w="80"/>
              <w:left w:type="dxa" w:w="100"/>
              <w:bottom w:type="dxa" w:w="80"/>
              <w:right w:type="dxa" w:w="100"/>
            </w:tcMar>
          </w:tcPr>
          <w:p>
            <w:r>
              <w:rPr>
                <w:b/>
                <w:bCs/>
                <w:color w:val="185FA5"/>
                <w:sz w:val="20"/>
                <w:szCs w:val="20"/>
              </w:rPr>
              <w:t xml:space="preserve">Technology</w:t>
            </w:r>
          </w:p>
        </w:tc>
      </w:tr>
      <w:tr>
        <w:tc>
          <w:tcPr>
            <w:tcW w:type="dxa" w:w="3200"/>
            <w:tcMar>
              <w:top w:type="dxa" w:w="80"/>
              <w:left w:type="dxa" w:w="100"/>
              <w:bottom w:type="dxa" w:w="80"/>
              <w:right w:type="dxa" w:w="100"/>
            </w:tcMar>
          </w:tcPr>
          <w:p>
            <w:r>
              <w:rPr>
                <w:b w:val="false"/>
                <w:bCs w:val="false"/>
                <w:color w:val="2C2C2A"/>
                <w:sz w:val="20"/>
                <w:szCs w:val="20"/>
              </w:rPr>
              <w:t xml:space="preserve">Agent framework</w:t>
            </w:r>
          </w:p>
        </w:tc>
        <w:tc>
          <w:tcPr>
            <w:tcW w:type="dxa" w:w="6000"/>
            <w:tcMar>
              <w:top w:type="dxa" w:w="80"/>
              <w:left w:type="dxa" w:w="100"/>
              <w:bottom w:type="dxa" w:w="80"/>
              <w:right w:type="dxa" w:w="100"/>
            </w:tcMar>
          </w:tcPr>
          <w:p>
            <w:r>
              <w:rPr>
                <w:b w:val="false"/>
                <w:bCs w:val="false"/>
                <w:color w:val="2C2C2A"/>
                <w:sz w:val="20"/>
                <w:szCs w:val="20"/>
              </w:rPr>
              <w:t xml:space="preserve">LiveKit Agents SDK (Python)</w:t>
            </w:r>
          </w:p>
        </w:tc>
      </w:tr>
      <w:tr>
        <w:tc>
          <w:tcPr>
            <w:tcW w:type="dxa" w:w="3200"/>
            <w:tcMar>
              <w:top w:type="dxa" w:w="80"/>
              <w:left w:type="dxa" w:w="100"/>
              <w:bottom w:type="dxa" w:w="80"/>
              <w:right w:type="dxa" w:w="100"/>
            </w:tcMar>
          </w:tcPr>
          <w:p>
            <w:r>
              <w:rPr>
                <w:b w:val="false"/>
                <w:bCs w:val="false"/>
                <w:color w:val="2C2C2A"/>
                <w:sz w:val="20"/>
                <w:szCs w:val="20"/>
              </w:rPr>
              <w:t xml:space="preserve">Realtime model</w:t>
            </w:r>
          </w:p>
        </w:tc>
        <w:tc>
          <w:tcPr>
            <w:tcW w:type="dxa" w:w="6000"/>
            <w:tcMar>
              <w:top w:type="dxa" w:w="80"/>
              <w:left w:type="dxa" w:w="100"/>
              <w:bottom w:type="dxa" w:w="80"/>
              <w:right w:type="dxa" w:w="100"/>
            </w:tcMar>
          </w:tcPr>
          <w:p>
            <w:r>
              <w:rPr>
                <w:b w:val="false"/>
                <w:bCs w:val="false"/>
                <w:color w:val="2C2C2A"/>
                <w:sz w:val="20"/>
                <w:szCs w:val="20"/>
              </w:rPr>
              <w:t xml:space="preserve">Gemini live multimodal model (livekit-plugins-google)</w:t>
            </w:r>
          </w:p>
        </w:tc>
      </w:tr>
      <w:tr>
        <w:tc>
          <w:tcPr>
            <w:tcW w:type="dxa" w:w="3200"/>
            <w:tcMar>
              <w:top w:type="dxa" w:w="80"/>
              <w:left w:type="dxa" w:w="100"/>
              <w:bottom w:type="dxa" w:w="80"/>
              <w:right w:type="dxa" w:w="100"/>
            </w:tcMar>
          </w:tcPr>
          <w:p>
            <w:r>
              <w:rPr>
                <w:b w:val="false"/>
                <w:bCs w:val="false"/>
                <w:color w:val="2C2C2A"/>
                <w:sz w:val="20"/>
                <w:szCs w:val="20"/>
              </w:rPr>
              <w:t xml:space="preserve">Transport</w:t>
            </w:r>
          </w:p>
        </w:tc>
        <w:tc>
          <w:tcPr>
            <w:tcW w:type="dxa" w:w="6000"/>
            <w:tcMar>
              <w:top w:type="dxa" w:w="80"/>
              <w:left w:type="dxa" w:w="100"/>
              <w:bottom w:type="dxa" w:w="80"/>
              <w:right w:type="dxa" w:w="100"/>
            </w:tcMar>
          </w:tcPr>
          <w:p>
            <w:r>
              <w:rPr>
                <w:b w:val="false"/>
                <w:bCs w:val="false"/>
                <w:color w:val="2C2C2A"/>
                <w:sz w:val="20"/>
                <w:szCs w:val="20"/>
              </w:rPr>
              <w:t xml:space="preserve">LiveKit Cloud (managed WebRTC)</w:t>
            </w:r>
          </w:p>
        </w:tc>
      </w:tr>
      <w:tr>
        <w:tc>
          <w:tcPr>
            <w:tcW w:type="dxa" w:w="3200"/>
            <w:tcMar>
              <w:top w:type="dxa" w:w="80"/>
              <w:left w:type="dxa" w:w="100"/>
              <w:bottom w:type="dxa" w:w="80"/>
              <w:right w:type="dxa" w:w="100"/>
            </w:tcMar>
          </w:tcPr>
          <w:p>
            <w:r>
              <w:rPr>
                <w:b w:val="false"/>
                <w:bCs w:val="false"/>
                <w:color w:val="2C2C2A"/>
                <w:sz w:val="20"/>
                <w:szCs w:val="20"/>
              </w:rPr>
              <w:t xml:space="preserve">Package / env management</w:t>
            </w:r>
          </w:p>
        </w:tc>
        <w:tc>
          <w:tcPr>
            <w:tcW w:type="dxa" w:w="6000"/>
            <w:tcMar>
              <w:top w:type="dxa" w:w="80"/>
              <w:left w:type="dxa" w:w="100"/>
              <w:bottom w:type="dxa" w:w="80"/>
              <w:right w:type="dxa" w:w="100"/>
            </w:tcMar>
          </w:tcPr>
          <w:p>
            <w:r>
              <w:rPr>
                <w:b w:val="false"/>
                <w:bCs w:val="false"/>
                <w:color w:val="2C2C2A"/>
                <w:sz w:val="20"/>
                <w:szCs w:val="20"/>
              </w:rPr>
              <w:t xml:space="preserve">uv</w:t>
            </w:r>
          </w:p>
        </w:tc>
      </w:tr>
      <w:tr>
        <w:tc>
          <w:tcPr>
            <w:tcW w:type="dxa" w:w="3200"/>
            <w:tcMar>
              <w:top w:type="dxa" w:w="80"/>
              <w:left w:type="dxa" w:w="100"/>
              <w:bottom w:type="dxa" w:w="80"/>
              <w:right w:type="dxa" w:w="100"/>
            </w:tcMar>
          </w:tcPr>
          <w:p>
            <w:r>
              <w:rPr>
                <w:b w:val="false"/>
                <w:bCs w:val="false"/>
                <w:color w:val="2C2C2A"/>
                <w:sz w:val="20"/>
                <w:szCs w:val="20"/>
              </w:rPr>
              <w:t xml:space="preserve">Web search tool</w:t>
            </w:r>
          </w:p>
        </w:tc>
        <w:tc>
          <w:tcPr>
            <w:tcW w:type="dxa" w:w="6000"/>
            <w:tcMar>
              <w:top w:type="dxa" w:w="80"/>
              <w:left w:type="dxa" w:w="100"/>
              <w:bottom w:type="dxa" w:w="80"/>
              <w:right w:type="dxa" w:w="100"/>
            </w:tcMar>
          </w:tcPr>
          <w:p>
            <w:r>
              <w:rPr>
                <w:b w:val="false"/>
                <w:bCs w:val="false"/>
                <w:color w:val="2C2C2A"/>
                <w:sz w:val="20"/>
                <w:szCs w:val="20"/>
              </w:rPr>
              <w:t xml:space="preserve">LangChain community + DuckDuckGo (ddgs)</w:t>
            </w:r>
          </w:p>
        </w:tc>
      </w:tr>
      <w:tr>
        <w:tc>
          <w:tcPr>
            <w:tcW w:type="dxa" w:w="3200"/>
            <w:tcMar>
              <w:top w:type="dxa" w:w="80"/>
              <w:left w:type="dxa" w:w="100"/>
              <w:bottom w:type="dxa" w:w="80"/>
              <w:right w:type="dxa" w:w="100"/>
            </w:tcMar>
          </w:tcPr>
          <w:p>
            <w:r>
              <w:rPr>
                <w:b w:val="false"/>
                <w:bCs w:val="false"/>
                <w:color w:val="2C2C2A"/>
                <w:sz w:val="20"/>
                <w:szCs w:val="20"/>
              </w:rPr>
              <w:t xml:space="preserve">Browser control tool</w:t>
            </w:r>
          </w:p>
        </w:tc>
        <w:tc>
          <w:tcPr>
            <w:tcW w:type="dxa" w:w="6000"/>
            <w:tcMar>
              <w:top w:type="dxa" w:w="80"/>
              <w:left w:type="dxa" w:w="100"/>
              <w:bottom w:type="dxa" w:w="80"/>
              <w:right w:type="dxa" w:w="100"/>
            </w:tcMar>
          </w:tcPr>
          <w:p>
            <w:r>
              <w:rPr>
                <w:b w:val="false"/>
                <w:bCs w:val="false"/>
                <w:color w:val="2C2C2A"/>
                <w:sz w:val="20"/>
                <w:szCs w:val="20"/>
              </w:rPr>
              <w:t xml:space="preserve">Playwright</w:t>
            </w:r>
          </w:p>
        </w:tc>
      </w:tr>
      <w:tr>
        <w:tc>
          <w:tcPr>
            <w:tcW w:type="dxa" w:w="3200"/>
            <w:tcMar>
              <w:top w:type="dxa" w:w="80"/>
              <w:left w:type="dxa" w:w="100"/>
              <w:bottom w:type="dxa" w:w="80"/>
              <w:right w:type="dxa" w:w="100"/>
            </w:tcMar>
          </w:tcPr>
          <w:p>
            <w:r>
              <w:rPr>
                <w:b w:val="false"/>
                <w:bCs w:val="false"/>
                <w:color w:val="2C2C2A"/>
                <w:sz w:val="20"/>
                <w:szCs w:val="20"/>
              </w:rPr>
              <w:t xml:space="preserve">Web frontend</w:t>
            </w:r>
          </w:p>
        </w:tc>
        <w:tc>
          <w:tcPr>
            <w:tcW w:type="dxa" w:w="6000"/>
            <w:tcMar>
              <w:top w:type="dxa" w:w="80"/>
              <w:left w:type="dxa" w:w="100"/>
              <w:bottom w:type="dxa" w:w="80"/>
              <w:right w:type="dxa" w:w="100"/>
            </w:tcMar>
          </w:tcPr>
          <w:p>
            <w:r>
              <w:rPr>
                <w:b w:val="false"/>
                <w:bCs w:val="false"/>
                <w:color w:val="2C2C2A"/>
                <w:sz w:val="20"/>
                <w:szCs w:val="20"/>
              </w:rPr>
              <w:t xml:space="preserve">Next.js (“Agents UI” starter)</w:t>
            </w:r>
          </w:p>
        </w:tc>
      </w:tr>
      <w:tr>
        <w:tc>
          <w:tcPr>
            <w:tcW w:type="dxa" w:w="3200"/>
            <w:tcMar>
              <w:top w:type="dxa" w:w="80"/>
              <w:left w:type="dxa" w:w="100"/>
              <w:bottom w:type="dxa" w:w="80"/>
              <w:right w:type="dxa" w:w="100"/>
            </w:tcMar>
          </w:tcPr>
          <w:p>
            <w:r>
              <w:rPr>
                <w:b w:val="false"/>
                <w:bCs w:val="false"/>
                <w:color w:val="2C2C2A"/>
                <w:sz w:val="20"/>
                <w:szCs w:val="20"/>
              </w:rPr>
              <w:t xml:space="preserve">Mobile app</w:t>
            </w:r>
          </w:p>
        </w:tc>
        <w:tc>
          <w:tcPr>
            <w:tcW w:type="dxa" w:w="6000"/>
            <w:tcMar>
              <w:top w:type="dxa" w:w="80"/>
              <w:left w:type="dxa" w:w="100"/>
              <w:bottom w:type="dxa" w:w="80"/>
              <w:right w:type="dxa" w:w="100"/>
            </w:tcMar>
          </w:tcPr>
          <w:p>
            <w:r>
              <w:rPr>
                <w:b w:val="false"/>
                <w:bCs w:val="false"/>
                <w:color w:val="2C2C2A"/>
                <w:sz w:val="20"/>
                <w:szCs w:val="20"/>
              </w:rPr>
              <w:t xml:space="preserve">Flutter (Android + iOS from one codebase)</w:t>
            </w:r>
          </w:p>
        </w:tc>
      </w:tr>
      <w:tr>
        <w:tc>
          <w:tcPr>
            <w:tcW w:type="dxa" w:w="3200"/>
            <w:tcMar>
              <w:top w:type="dxa" w:w="80"/>
              <w:left w:type="dxa" w:w="100"/>
              <w:bottom w:type="dxa" w:w="80"/>
              <w:right w:type="dxa" w:w="100"/>
            </w:tcMar>
          </w:tcPr>
          <w:p>
            <w:r>
              <w:rPr>
                <w:b w:val="false"/>
                <w:bCs w:val="false"/>
                <w:color w:val="2C2C2A"/>
                <w:sz w:val="20"/>
                <w:szCs w:val="20"/>
              </w:rPr>
              <w:t xml:space="preserve">Coding agent (dev-time only)</w:t>
            </w:r>
          </w:p>
        </w:tc>
        <w:tc>
          <w:tcPr>
            <w:tcW w:type="dxa" w:w="6000"/>
            <w:tcMar>
              <w:top w:type="dxa" w:w="80"/>
              <w:left w:type="dxa" w:w="100"/>
              <w:bottom w:type="dxa" w:w="80"/>
              <w:right w:type="dxa" w:w="100"/>
            </w:tcMar>
          </w:tcPr>
          <w:p>
            <w:r>
              <w:rPr>
                <w:b w:val="false"/>
                <w:bCs w:val="false"/>
                <w:color w:val="2C2C2A"/>
                <w:sz w:val="20"/>
                <w:szCs w:val="20"/>
              </w:rPr>
              <w:t xml:space="preserve">OpenCode / Claude Code + LiveKit docs MCP server</w:t>
            </w:r>
          </w:p>
        </w:tc>
      </w:tr>
    </w:tbl>
    <w:p>
      <w:pPr>
        <w:pStyle w:val="Heading1"/>
        <w:spacing w:after="160" w:before="360"/>
      </w:pPr>
      <w:r>
        <w:t xml:space="preserve">6. Configuration and secrets</w:t>
      </w:r>
    </w:p>
    <w:p>
      <w:pPr>
        <w:spacing w:after="160"/>
        <w:jc w:val="both"/>
      </w:pPr>
      <w:r>
        <w:rPr>
          <w:sz w:val="22"/>
          <w:szCs w:val="22"/>
        </w:rPr>
        <w:t xml:space="preserve">Runtime configuration lives in .env.local (agent) and .env (mobile app), and should never be committed to version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c>
          <w:tcPr>
            <w:tcW w:type="dxa" w:w="2600"/>
            <w:shd w:fill="E6F1FB" w:val="clear"/>
            <w:tcMar>
              <w:top w:type="dxa" w:w="80"/>
              <w:left w:type="dxa" w:w="100"/>
              <w:bottom w:type="dxa" w:w="80"/>
              <w:right w:type="dxa" w:w="100"/>
            </w:tcMar>
          </w:tcPr>
          <w:p>
            <w:r>
              <w:rPr>
                <w:b/>
                <w:bCs/>
                <w:color w:val="185FA5"/>
                <w:sz w:val="20"/>
                <w:szCs w:val="20"/>
              </w:rPr>
              <w:t xml:space="preserve">Variable</w:t>
            </w:r>
          </w:p>
        </w:tc>
        <w:tc>
          <w:tcPr>
            <w:tcW w:type="dxa" w:w="2200"/>
            <w:shd w:fill="E6F1FB" w:val="clear"/>
            <w:tcMar>
              <w:top w:type="dxa" w:w="80"/>
              <w:left w:type="dxa" w:w="100"/>
              <w:bottom w:type="dxa" w:w="80"/>
              <w:right w:type="dxa" w:w="100"/>
            </w:tcMar>
          </w:tcPr>
          <w:p>
            <w:r>
              <w:rPr>
                <w:b/>
                <w:bCs/>
                <w:color w:val="185FA5"/>
                <w:sz w:val="20"/>
                <w:szCs w:val="20"/>
              </w:rPr>
              <w:t xml:space="preserve">Used by</w:t>
            </w:r>
          </w:p>
        </w:tc>
        <w:tc>
          <w:tcPr>
            <w:tcW w:type="dxa" w:w="4400"/>
            <w:shd w:fill="E6F1FB" w:val="clear"/>
            <w:tcMar>
              <w:top w:type="dxa" w:w="80"/>
              <w:left w:type="dxa" w:w="100"/>
              <w:bottom w:type="dxa" w:w="80"/>
              <w:right w:type="dxa" w:w="100"/>
            </w:tcMar>
          </w:tcPr>
          <w:p>
            <w:r>
              <w:rPr>
                <w:b/>
                <w:bCs/>
                <w:color w:val="185FA5"/>
                <w:sz w:val="20"/>
                <w:szCs w:val="20"/>
              </w:rPr>
              <w:t xml:space="preserve">Purpose</w:t>
            </w:r>
          </w:p>
        </w:tc>
      </w:tr>
      <w:tr>
        <w:tc>
          <w:tcPr>
            <w:tcW w:type="dxa" w:w="2600"/>
            <w:tcMar>
              <w:top w:type="dxa" w:w="80"/>
              <w:left w:type="dxa" w:w="100"/>
              <w:bottom w:type="dxa" w:w="80"/>
              <w:right w:type="dxa" w:w="100"/>
            </w:tcMar>
          </w:tcPr>
          <w:p>
            <w:r>
              <w:rPr>
                <w:b w:val="false"/>
                <w:bCs w:val="false"/>
                <w:color w:val="2C2C2A"/>
                <w:sz w:val="20"/>
                <w:szCs w:val="20"/>
              </w:rPr>
              <w:t xml:space="preserve">GOOGLE_API_KEY</w:t>
            </w:r>
          </w:p>
        </w:tc>
        <w:tc>
          <w:tcPr>
            <w:tcW w:type="dxa" w:w="2200"/>
            <w:tcMar>
              <w:top w:type="dxa" w:w="80"/>
              <w:left w:type="dxa" w:w="100"/>
              <w:bottom w:type="dxa" w:w="80"/>
              <w:right w:type="dxa" w:w="100"/>
            </w:tcMar>
          </w:tcPr>
          <w:p>
            <w:r>
              <w:rPr>
                <w:b w:val="false"/>
                <w:bCs w:val="false"/>
                <w:color w:val="2C2C2A"/>
                <w:sz w:val="20"/>
                <w:szCs w:val="20"/>
              </w:rPr>
              <w:t xml:space="preserve">agent.py</w:t>
            </w:r>
          </w:p>
        </w:tc>
        <w:tc>
          <w:tcPr>
            <w:tcW w:type="dxa" w:w="4400"/>
            <w:tcMar>
              <w:top w:type="dxa" w:w="80"/>
              <w:left w:type="dxa" w:w="100"/>
              <w:bottom w:type="dxa" w:w="80"/>
              <w:right w:type="dxa" w:w="100"/>
            </w:tcMar>
          </w:tcPr>
          <w:p>
            <w:r>
              <w:rPr>
                <w:b w:val="false"/>
                <w:bCs w:val="false"/>
                <w:color w:val="2C2C2A"/>
                <w:sz w:val="20"/>
                <w:szCs w:val="20"/>
              </w:rPr>
              <w:t xml:space="preserve">Authenticates calls to the Gemini live model</w:t>
            </w:r>
          </w:p>
        </w:tc>
      </w:tr>
      <w:tr>
        <w:tc>
          <w:tcPr>
            <w:tcW w:type="dxa" w:w="2600"/>
            <w:tcMar>
              <w:top w:type="dxa" w:w="80"/>
              <w:left w:type="dxa" w:w="100"/>
              <w:bottom w:type="dxa" w:w="80"/>
              <w:right w:type="dxa" w:w="100"/>
            </w:tcMar>
          </w:tcPr>
          <w:p>
            <w:r>
              <w:rPr>
                <w:b w:val="false"/>
                <w:bCs w:val="false"/>
                <w:color w:val="2C2C2A"/>
                <w:sz w:val="20"/>
                <w:szCs w:val="20"/>
              </w:rPr>
              <w:t xml:space="preserve">LIVEKIT_URL</w:t>
            </w:r>
          </w:p>
        </w:tc>
        <w:tc>
          <w:tcPr>
            <w:tcW w:type="dxa" w:w="2200"/>
            <w:tcMar>
              <w:top w:type="dxa" w:w="80"/>
              <w:left w:type="dxa" w:w="100"/>
              <w:bottom w:type="dxa" w:w="80"/>
              <w:right w:type="dxa" w:w="100"/>
            </w:tcMar>
          </w:tcPr>
          <w:p>
            <w:r>
              <w:rPr>
                <w:b w:val="false"/>
                <w:bCs w:val="false"/>
                <w:color w:val="2C2C2A"/>
                <w:sz w:val="20"/>
                <w:szCs w:val="20"/>
              </w:rPr>
              <w:t xml:space="preserve">agent.py, frontends</w:t>
            </w:r>
          </w:p>
        </w:tc>
        <w:tc>
          <w:tcPr>
            <w:tcW w:type="dxa" w:w="4400"/>
            <w:tcMar>
              <w:top w:type="dxa" w:w="80"/>
              <w:left w:type="dxa" w:w="100"/>
              <w:bottom w:type="dxa" w:w="80"/>
              <w:right w:type="dxa" w:w="100"/>
            </w:tcMar>
          </w:tcPr>
          <w:p>
            <w:r>
              <w:rPr>
                <w:b w:val="false"/>
                <w:bCs w:val="false"/>
                <w:color w:val="2C2C2A"/>
                <w:sz w:val="20"/>
                <w:szCs w:val="20"/>
              </w:rPr>
              <w:t xml:space="preserve">WebSocket URL of the LiveKit Cloud project</w:t>
            </w:r>
          </w:p>
        </w:tc>
      </w:tr>
      <w:tr>
        <w:tc>
          <w:tcPr>
            <w:tcW w:type="dxa" w:w="2600"/>
            <w:tcMar>
              <w:top w:type="dxa" w:w="80"/>
              <w:left w:type="dxa" w:w="100"/>
              <w:bottom w:type="dxa" w:w="80"/>
              <w:right w:type="dxa" w:w="100"/>
            </w:tcMar>
          </w:tcPr>
          <w:p>
            <w:r>
              <w:rPr>
                <w:b w:val="false"/>
                <w:bCs w:val="false"/>
                <w:color w:val="2C2C2A"/>
                <w:sz w:val="20"/>
                <w:szCs w:val="20"/>
              </w:rPr>
              <w:t xml:space="preserve">LIVEKIT_API_KEY / LIVEKIT_API_SECRET</w:t>
            </w:r>
          </w:p>
        </w:tc>
        <w:tc>
          <w:tcPr>
            <w:tcW w:type="dxa" w:w="2200"/>
            <w:tcMar>
              <w:top w:type="dxa" w:w="80"/>
              <w:left w:type="dxa" w:w="100"/>
              <w:bottom w:type="dxa" w:w="80"/>
              <w:right w:type="dxa" w:w="100"/>
            </w:tcMar>
          </w:tcPr>
          <w:p>
            <w:r>
              <w:rPr>
                <w:b w:val="false"/>
                <w:bCs w:val="false"/>
                <w:color w:val="2C2C2A"/>
                <w:sz w:val="20"/>
                <w:szCs w:val="20"/>
              </w:rPr>
              <w:t xml:space="preserve">agent.py</w:t>
            </w:r>
          </w:p>
        </w:tc>
        <w:tc>
          <w:tcPr>
            <w:tcW w:type="dxa" w:w="4400"/>
            <w:tcMar>
              <w:top w:type="dxa" w:w="80"/>
              <w:left w:type="dxa" w:w="100"/>
              <w:bottom w:type="dxa" w:w="80"/>
              <w:right w:type="dxa" w:w="100"/>
            </w:tcMar>
          </w:tcPr>
          <w:p>
            <w:r>
              <w:rPr>
                <w:b w:val="false"/>
                <w:bCs w:val="false"/>
                <w:color w:val="2C2C2A"/>
                <w:sz w:val="20"/>
                <w:szCs w:val="20"/>
              </w:rPr>
              <w:t xml:space="preserve">Authenticates the agent worker to LiveKit Cloud</w:t>
            </w:r>
          </w:p>
        </w:tc>
      </w:tr>
      <w:tr>
        <w:tc>
          <w:tcPr>
            <w:tcW w:type="dxa" w:w="2600"/>
            <w:tcMar>
              <w:top w:type="dxa" w:w="80"/>
              <w:left w:type="dxa" w:w="100"/>
              <w:bottom w:type="dxa" w:w="80"/>
              <w:right w:type="dxa" w:w="100"/>
            </w:tcMar>
          </w:tcPr>
          <w:p>
            <w:r>
              <w:rPr>
                <w:b w:val="false"/>
                <w:bCs w:val="false"/>
                <w:color w:val="2C2C2A"/>
                <w:sz w:val="20"/>
                <w:szCs w:val="20"/>
              </w:rPr>
              <w:t xml:space="preserve">LIVEKIT_SANDBOX_ID</w:t>
            </w:r>
          </w:p>
        </w:tc>
        <w:tc>
          <w:tcPr>
            <w:tcW w:type="dxa" w:w="2200"/>
            <w:tcMar>
              <w:top w:type="dxa" w:w="80"/>
              <w:left w:type="dxa" w:w="100"/>
              <w:bottom w:type="dxa" w:w="80"/>
              <w:right w:type="dxa" w:w="100"/>
            </w:tcMar>
          </w:tcPr>
          <w:p>
            <w:r>
              <w:rPr>
                <w:b w:val="false"/>
                <w:bCs w:val="false"/>
                <w:color w:val="2C2C2A"/>
                <w:sz w:val="20"/>
                <w:szCs w:val="20"/>
              </w:rPr>
              <w:t xml:space="preserve">Flutter app</w:t>
            </w:r>
          </w:p>
        </w:tc>
        <w:tc>
          <w:tcPr>
            <w:tcW w:type="dxa" w:w="4400"/>
            <w:tcMar>
              <w:top w:type="dxa" w:w="80"/>
              <w:left w:type="dxa" w:w="100"/>
              <w:bottom w:type="dxa" w:w="80"/>
              <w:right w:type="dxa" w:w="100"/>
            </w:tcMar>
          </w:tcPr>
          <w:p>
            <w:r>
              <w:rPr>
                <w:b w:val="false"/>
                <w:bCs w:val="false"/>
                <w:color w:val="2C2C2A"/>
                <w:sz w:val="20"/>
                <w:szCs w:val="20"/>
              </w:rPr>
              <w:t xml:space="preserve">Token-server ID the mobile app uses to obtain room access</w:t>
            </w:r>
          </w:p>
        </w:tc>
      </w:tr>
    </w:tbl>
    <w:p>
      <w:pPr>
        <w:pStyle w:val="Heading1"/>
        <w:spacing w:after="160" w:before="360"/>
      </w:pPr>
      <w:r>
        <w:t xml:space="preserve">7. Extending the agent</w:t>
      </w:r>
    </w:p>
    <w:p>
      <w:pPr>
        <w:spacing w:after="160"/>
        <w:jc w:val="both"/>
      </w:pPr>
      <w:r>
        <w:rPr>
          <w:sz w:val="22"/>
          <w:szCs w:val="22"/>
        </w:rPr>
        <w:t xml:space="preserve">New capabilities follow the same three-step pattern regardless of what they do:</w:t>
      </w:r>
    </w:p>
    <w:p>
      <w:pPr>
        <w:pStyle w:val="ListParagraph"/>
        <w:numPr>
          <w:ilvl w:val="0"/>
          <w:numId w:val="4"/>
        </w:numPr>
        <w:spacing w:after="80"/>
      </w:pPr>
      <w:r>
        <w:rPr>
          <w:sz w:val="22"/>
          <w:szCs w:val="22"/>
        </w:rPr>
        <w:t xml:space="preserve">Write an async function, decorated as a tool, with a clear description and named parameters.</w:t>
      </w:r>
    </w:p>
    <w:p>
      <w:pPr>
        <w:pStyle w:val="ListParagraph"/>
        <w:numPr>
          <w:ilvl w:val="0"/>
          <w:numId w:val="4"/>
        </w:numPr>
        <w:spacing w:after="80"/>
      </w:pPr>
      <w:r>
        <w:rPr>
          <w:sz w:val="22"/>
          <w:szCs w:val="22"/>
        </w:rPr>
        <w:t xml:space="preserve">Register the function in the agent's tools list in agent.py.</w:t>
      </w:r>
    </w:p>
    <w:p>
      <w:pPr>
        <w:pStyle w:val="ListParagraph"/>
        <w:numPr>
          <w:ilvl w:val="0"/>
          <w:numId w:val="4"/>
        </w:numPr>
        <w:spacing w:after="80"/>
      </w:pPr>
      <w:r>
        <w:rPr>
          <w:sz w:val="22"/>
          <w:szCs w:val="22"/>
        </w:rPr>
        <w:t xml:space="preserve">Add a short instruction to the system prompt telling the model when to use it.</w:t>
      </w:r>
    </w:p>
    <w:p>
      <w:pPr>
        <w:spacing w:after="160"/>
        <w:jc w:val="both"/>
      </w:pPr>
      <w:r>
        <w:rPr>
          <w:sz w:val="22"/>
          <w:szCs w:val="22"/>
        </w:rPr>
        <w:t xml:space="preserve">For larger features (a new integration, a multi-step workflow), it is faster and more reliable to hand this pattern to a coding agent connected to the LiveKit docs MCP server, review its plan, then let it implement and wire up the change.</w:t>
      </w:r>
    </w:p>
    <w:p>
      <w:pPr>
        <w:pStyle w:val="Heading1"/>
        <w:spacing w:after="160" w:before="360"/>
      </w:pPr>
      <w:r>
        <w:t xml:space="preserve">8. Known limitations</w:t>
      </w:r>
    </w:p>
    <w:p>
      <w:pPr>
        <w:pStyle w:val="ListParagraph"/>
        <w:numPr>
          <w:ilvl w:val="0"/>
          <w:numId w:val="2"/>
        </w:numPr>
        <w:spacing w:after="80"/>
      </w:pPr>
      <w:r>
        <w:rPr>
          <w:sz w:val="22"/>
          <w:szCs w:val="22"/>
        </w:rPr>
        <w:t xml:space="preserve">The Gemini live model accepts voice input only — typed chat messages sent through a frontend's text box are not processed.</w:t>
      </w:r>
    </w:p>
    <w:p>
      <w:pPr>
        <w:pStyle w:val="ListParagraph"/>
        <w:numPr>
          <w:ilvl w:val="0"/>
          <w:numId w:val="2"/>
        </w:numPr>
        <w:spacing w:after="80"/>
      </w:pPr>
      <w:r>
        <w:rPr>
          <w:sz w:val="22"/>
          <w:szCs w:val="22"/>
        </w:rPr>
        <w:t xml:space="preserve">Browser-control tools shell out to a desktop Chrome instance via Playwright, so they only work when the agent runs on a machine with a browser available, not from the mobile app.</w:t>
      </w:r>
    </w:p>
    <w:p>
      <w:pPr>
        <w:pStyle w:val="ListParagraph"/>
        <w:numPr>
          <w:ilvl w:val="0"/>
          <w:numId w:val="2"/>
        </w:numPr>
        <w:spacing w:after="80"/>
      </w:pPr>
      <w:r>
        <w:rPr>
          <w:sz w:val="22"/>
          <w:szCs w:val="22"/>
        </w:rPr>
        <w:t xml:space="preserve">The free Gemini live tier is rate-limited by tokens per minute (not by requests), so running several agent instances concurrently on one API key can hit that ceiling.</w:t>
      </w:r>
    </w:p>
    <w:p>
      <w:pPr>
        <w:pStyle w:val="ListParagraph"/>
        <w:numPr>
          <w:ilvl w:val="0"/>
          <w:numId w:val="2"/>
        </w:numPr>
        <w:spacing w:after="80"/>
      </w:pPr>
      <w:r>
        <w:rPr>
          <w:sz w:val="22"/>
          <w:szCs w:val="22"/>
        </w:rPr>
        <w:t xml:space="preserve">LiveKit Cloud's free tier caps monthly connection-minutes; sustained or multi-user usage may require a paid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B2A9" w:sz="4" w:space="4"/>
      </w:pBdr>
      <w:spacing w:after="160" w:before="360"/>
    </w:pPr>
    <w:rPr>
      <w:rFonts w:ascii="Calibri" w:cs="Calibri" w:eastAsia="Calibri" w:hAnsi="Calibri"/>
      <w:b/>
      <w:bCs/>
      <w:color w:val="185FA5"/>
      <w:sz w:val="30"/>
      <w:szCs w:val="30"/>
    </w:rPr>
  </w:style>
  <w:style w:type="paragraph" w:styleId="Heading2">
    <w:name w:val="Heading 2"/>
    <w:basedOn w:val="Normal"/>
    <w:next w:val="Normal"/>
    <w:qFormat/>
    <w:pPr>
      <w:spacing w:after="120" w:before="240"/>
    </w:pPr>
    <w:rPr>
      <w:rFonts w:ascii="Calibri" w:cs="Calibri" w:eastAsia="Calibri" w:hAnsi="Calibri"/>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2026-09-25T08:11:35.880Z</dcterms:created>
  <dcterms:modified xsi:type="dcterms:W3CDTF">2026-09-25T08:11:35.880Z</dcterms:modified>
</cp:coreProperties>
</file>

<file path=docProps/custom.xml><?xml version="1.0" encoding="utf-8"?>
<Properties xmlns="http://schemas.openxmlformats.org/officeDocument/2006/custom-properties" xmlns:vt="http://schemas.openxmlformats.org/officeDocument/2006/docPropsVTypes"/>
</file>