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修订记录</w:t>
      </w:r>
    </w:p>
    <w:tbl>
      <w:tblPr>
        <w:tblStyle w:val="7"/>
        <w:tblW w:w="81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66"/>
        <w:gridCol w:w="3457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  <w:jc w:val="center"/>
        </w:trPr>
        <w:tc>
          <w:tcPr>
            <w:tcW w:w="1216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6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修订版本</w:t>
            </w:r>
          </w:p>
        </w:tc>
        <w:tc>
          <w:tcPr>
            <w:tcW w:w="3457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修改描述</w:t>
            </w:r>
          </w:p>
        </w:tc>
        <w:tc>
          <w:tcPr>
            <w:tcW w:w="2222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21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26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V1.0.0</w:t>
            </w:r>
          </w:p>
        </w:tc>
        <w:tc>
          <w:tcPr>
            <w:tcW w:w="3457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文档开发初稿</w:t>
            </w:r>
          </w:p>
        </w:tc>
        <w:tc>
          <w:tcPr>
            <w:tcW w:w="222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叶光锦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21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V1.0.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457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</w:tc>
        <w:tc>
          <w:tcPr>
            <w:tcW w:w="222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</w:tc>
      </w:tr>
    </w:tbl>
    <w:p/>
    <w:p/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应用管理，管理着系统内所有的应用，其主页提供了所有应用的启动入口，可由此查看或打开任意应用。此外，还提供了删除应用以及设置开启启动功能。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页面介绍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983480" cy="2803525"/>
            <wp:effectExtent l="0" t="0" r="7620" b="15875"/>
            <wp:docPr id="1" name="图片 1" descr="应用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应用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76" w:leftChars="0" w:hanging="576" w:firstLine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主页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应用主页比较简单，获取所有应用的图标和名称按照指定排序显示出来。右边的小窗是菜单键的触发事件，可由此进行排序还原、置顶应用、卸载应用以及设置开机启动。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启动流程</w:t>
      </w:r>
    </w:p>
    <w:p>
      <w:pPr>
        <w:jc w:val="center"/>
      </w:pPr>
      <w:r>
        <w:drawing>
          <wp:inline distT="0" distB="0" distL="114300" distR="114300">
            <wp:extent cx="4634865" cy="2465705"/>
            <wp:effectExtent l="0" t="0" r="1333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76" w:leftChars="0" w:hanging="576" w:firstLine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启动流程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默认启动的是MainActivity，经选择后启动AiActivity，接着创建AiAppManager和PresenterImp类对象，前者管理UI，后者结合IModuleImp处理业务逻辑。具体如下：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根据系统变量“persist.hmd.ui.appmanager.type”选择打开不同样式的界面，这里是AiActivity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AiAppManager，初始化界面，包括注册按键事件、实例化AiGridView3D对象等，后者负责Menu键事件以及后续选择事件的处理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PresenterImp，初始化Module数据：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获取全部应用列表，执行核对、剔除、排序等操作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获取背景色以及应用图标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接着通过“refreshView”刷新UI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开发相关</w:t>
      </w:r>
    </w:p>
    <w:p>
      <w:pPr>
        <w:pStyle w:val="3"/>
        <w:numPr>
          <w:ilvl w:val="1"/>
          <w:numId w:val="1"/>
        </w:numPr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应用显隐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通过启动流程第2点可以知道，</w:t>
      </w:r>
      <w:r>
        <w:rPr>
          <w:rFonts w:hint="eastAsia"/>
          <w:sz w:val="21"/>
          <w:szCs w:val="21"/>
          <w:lang w:val="en-US" w:eastAsia="zh-CN"/>
        </w:rPr>
        <w:t>PresenterImp的初始化Module中设计应用的裁剪，其中：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显示指定应用，则请配置“/etc/app_oder.xml”，详见IModuleImp的“getAppOrderList”方法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隐藏指定应用，则请配置“/etc/app_pass.xml”，详见IModuleImp的“getAppPassList”方法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配置图标以及背景色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配置图标，则请配置“/etc/appIcon/app_select_image.xml</w:t>
      </w:r>
      <w:r>
        <w:rPr>
          <w:rFonts w:hint="eastAsia"/>
          <w:sz w:val="21"/>
          <w:szCs w:val="21"/>
          <w:lang w:val="en-US" w:eastAsia="zh-CN"/>
        </w:rPr>
        <w:t>”，详见IModuleImp的“getAppCustomIcon”方法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配置背景色，则请配置“/etc/appIcon/bg_app_config.xml</w:t>
      </w:r>
      <w:r>
        <w:rPr>
          <w:rFonts w:hint="eastAsia"/>
          <w:sz w:val="21"/>
          <w:szCs w:val="21"/>
          <w:lang w:val="en-US" w:eastAsia="zh-CN"/>
        </w:rPr>
        <w:t>”，详见IModuleImp的“getAppBackGround”方法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广播相关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开机广播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应用管理是系统APP，应该随系统启动，需要注册开机广播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&lt;receiver android:name=".common.BootBroadcastReceiver"&gt;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&lt;intent-filter&gt;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&lt;action android:name="android.intent.action.BOOT_COMPLETED" /&gt;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&lt;/intent-filter&gt;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&lt;/receiver&gt;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侦听应用变化广播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应用的状态变化，包括安装、卸载、更新，是android系统上重要的事件。有两种方法，一是通过侦听广播，一是实现PackageMonitor，这里直接监听，惯例注册如下：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&lt;receiver android:name=".view.widget.BaseActivity$PackageChangedBroadcastReceiver"&gt;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&lt;intent-filter&gt;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&lt;action android:name="android.intent.action.PACKAGE_ADDED" /&gt;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&lt;action android:name="android.intent.action.PACKAGE_REMOVED" /&gt;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&lt;data android:scheme="package"/&gt;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&lt;/intent-filter&gt;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&lt;/receiver&gt;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在PackageChangedBroadcastReceiver对广播处理，更新数据库，并刷新UI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Source code：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"http://172.20.4.122/svn/hi3716/Apps/AiProj/trunk/src/AppManager"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http://172.20.4.122/svn/hi3716/Apps/AiProj/trunk/src/AppManager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编译环境：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Studio 3.0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签名：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test.jks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FBA52"/>
    <w:multiLevelType w:val="singleLevel"/>
    <w:tmpl w:val="95BFBA5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97959C7"/>
    <w:multiLevelType w:val="singleLevel"/>
    <w:tmpl w:val="E97959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46F223"/>
    <w:multiLevelType w:val="singleLevel"/>
    <w:tmpl w:val="F746F22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679783E"/>
    <w:multiLevelType w:val="multilevel"/>
    <w:tmpl w:val="067978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eastAsia="微软雅黑"/>
        <w:sz w:val="32"/>
        <w:szCs w:val="21"/>
      </w:rPr>
    </w:lvl>
    <w:lvl w:ilvl="3" w:tentative="0">
      <w:start w:val="1"/>
      <w:numFmt w:val="decimal"/>
      <w:lvlText w:val="%1.%2.%3.%4"/>
      <w:lvlJc w:val="left"/>
      <w:pPr>
        <w:ind w:left="3699" w:hanging="864"/>
      </w:pPr>
      <w:rPr>
        <w:rFonts w:hint="eastAsia" w:ascii="微软雅黑" w:hAnsi="微软雅黑" w:eastAsia="微软雅黑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6D1B4177"/>
    <w:multiLevelType w:val="singleLevel"/>
    <w:tmpl w:val="6D1B417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204"/>
    <w:rsid w:val="04194E5E"/>
    <w:rsid w:val="084B01BD"/>
    <w:rsid w:val="14654B7C"/>
    <w:rsid w:val="20A732DA"/>
    <w:rsid w:val="23DF7CE9"/>
    <w:rsid w:val="37513397"/>
    <w:rsid w:val="39BE1828"/>
    <w:rsid w:val="3E2F7E03"/>
    <w:rsid w:val="3E436BF0"/>
    <w:rsid w:val="41B0680C"/>
    <w:rsid w:val="46475060"/>
    <w:rsid w:val="475D72D6"/>
    <w:rsid w:val="4A7A2061"/>
    <w:rsid w:val="4D925F9B"/>
    <w:rsid w:val="58C412A6"/>
    <w:rsid w:val="64866A9B"/>
    <w:rsid w:val="6D722A2E"/>
    <w:rsid w:val="71B836CD"/>
    <w:rsid w:val="74E66DA0"/>
    <w:rsid w:val="76CB3B84"/>
    <w:rsid w:val="7D05502F"/>
    <w:rsid w:val="7F623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々難Di葫‖塗</cp:lastModifiedBy>
  <dcterms:modified xsi:type="dcterms:W3CDTF">2018-10-25T05:38:30Z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