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Part 384 リリースメモ</w:t>
      </w:r>
    </w:p>
    <w:p>
      <w:pPr>
        <w:jc w:val="center"/>
      </w:pPr>
      <w:r>
        <w:rPr>
          <w:sz w:val="20"/>
        </w:rPr>
        <w:t>検査・検品業務サポートシステム 0.384.0</w:t>
      </w:r>
    </w:p>
    <w:p>
      <w:pPr>
        <w:jc w:val="center"/>
      </w:pPr>
      <w:r>
        <w:rPr>
          <w:sz w:val="18"/>
        </w:rPr>
        <w:t>対象：検査・検品業務サポートシステム Part 384　作成日：2026年7月30日</w:t>
      </w:r>
    </w:p>
    <w:p/>
    <w:p>
      <w:pPr>
        <w:pStyle w:val="Heading1"/>
      </w:pPr>
      <w:r>
        <w:t>1. リリース情報</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80" w:type="dxa"/>
              <w:start w:w="90" w:type="dxa"/>
              <w:bottom w:w="80" w:type="dxa"/>
              <w:end w:w="90" w:type="dxa"/>
            </w:tcMar>
          </w:tcPr>
          <w:p>
            <w:r>
              <w:rPr>
                <w:b/>
              </w:rPr>
              <w:t>項目</w:t>
            </w:r>
          </w:p>
        </w:tc>
        <w:tc>
          <w:tcPr>
            <w:tcW w:type="dxa" w:w="5100"/>
            <w:shd w:fill="D9EAF7"/>
            <w:vAlign w:val="center"/>
            <w:tcMar>
              <w:top w:w="80" w:type="dxa"/>
              <w:start w:w="90" w:type="dxa"/>
              <w:bottom w:w="80" w:type="dxa"/>
              <w:end w:w="90" w:type="dxa"/>
            </w:tcMar>
          </w:tcPr>
          <w:p>
            <w:r>
              <w:rPr>
                <w:b/>
              </w:rPr>
              <w:t>内容</w:t>
            </w:r>
          </w:p>
        </w:tc>
      </w:tr>
      <w:tr>
        <w:tc>
          <w:tcPr>
            <w:tcW w:type="dxa" w:w="5100"/>
            <w:vAlign w:val="center"/>
            <w:tcMar>
              <w:top w:w="80" w:type="dxa"/>
              <w:start w:w="90" w:type="dxa"/>
              <w:bottom w:w="80" w:type="dxa"/>
              <w:end w:w="90" w:type="dxa"/>
            </w:tcMar>
          </w:tcPr>
          <w:p>
            <w:r>
              <w:t>バージョン</w:t>
            </w:r>
          </w:p>
        </w:tc>
        <w:tc>
          <w:tcPr>
            <w:tcW w:type="dxa" w:w="5100"/>
            <w:vAlign w:val="center"/>
            <w:tcMar>
              <w:top w:w="80" w:type="dxa"/>
              <w:start w:w="90" w:type="dxa"/>
              <w:bottom w:w="80" w:type="dxa"/>
              <w:end w:w="90" w:type="dxa"/>
            </w:tcMar>
          </w:tcPr>
          <w:p>
            <w:r>
              <w:t>Part 384 / 0.384.0</w:t>
            </w:r>
          </w:p>
        </w:tc>
      </w:tr>
      <w:tr>
        <w:tc>
          <w:tcPr>
            <w:tcW w:type="dxa" w:w="5100"/>
            <w:vAlign w:val="center"/>
            <w:tcMar>
              <w:top w:w="80" w:type="dxa"/>
              <w:start w:w="90" w:type="dxa"/>
              <w:bottom w:w="80" w:type="dxa"/>
              <w:end w:w="90" w:type="dxa"/>
            </w:tcMar>
          </w:tcPr>
          <w:p>
            <w:r>
              <w:t>リリース日</w:t>
            </w:r>
          </w:p>
        </w:tc>
        <w:tc>
          <w:tcPr>
            <w:tcW w:type="dxa" w:w="5100"/>
            <w:vAlign w:val="center"/>
            <w:tcMar>
              <w:top w:w="80" w:type="dxa"/>
              <w:start w:w="90" w:type="dxa"/>
              <w:bottom w:w="80" w:type="dxa"/>
              <w:end w:w="90" w:type="dxa"/>
            </w:tcMar>
          </w:tcPr>
          <w:p>
            <w:r>
              <w:t>2026年7月30日</w:t>
            </w:r>
          </w:p>
        </w:tc>
      </w:tr>
      <w:tr>
        <w:tc>
          <w:tcPr>
            <w:tcW w:type="dxa" w:w="5100"/>
            <w:vAlign w:val="center"/>
            <w:tcMar>
              <w:top w:w="80" w:type="dxa"/>
              <w:start w:w="90" w:type="dxa"/>
              <w:bottom w:w="80" w:type="dxa"/>
              <w:end w:w="90" w:type="dxa"/>
            </w:tcMar>
          </w:tcPr>
          <w:p>
            <w:r>
              <w:t>対象</w:t>
            </w:r>
          </w:p>
        </w:tc>
        <w:tc>
          <w:tcPr>
            <w:tcW w:type="dxa" w:w="5100"/>
            <w:vAlign w:val="center"/>
            <w:tcMar>
              <w:top w:w="80" w:type="dxa"/>
              <w:start w:w="90" w:type="dxa"/>
              <w:bottom w:w="80" w:type="dxa"/>
              <w:end w:w="90" w:type="dxa"/>
            </w:tcMar>
          </w:tcPr>
          <w:p>
            <w:r>
              <w:t>試験運用版・ローカル／ブラウザ利用</w:t>
            </w:r>
          </w:p>
        </w:tc>
      </w:tr>
      <w:tr>
        <w:tc>
          <w:tcPr>
            <w:tcW w:type="dxa" w:w="5100"/>
            <w:vAlign w:val="center"/>
            <w:tcMar>
              <w:top w:w="80" w:type="dxa"/>
              <w:start w:w="90" w:type="dxa"/>
              <w:bottom w:w="80" w:type="dxa"/>
              <w:end w:w="90" w:type="dxa"/>
            </w:tcMar>
          </w:tcPr>
          <w:p>
            <w:r>
              <w:t>主な目的</w:t>
            </w:r>
          </w:p>
        </w:tc>
        <w:tc>
          <w:tcPr>
            <w:tcW w:type="dxa" w:w="5100"/>
            <w:vAlign w:val="center"/>
            <w:tcMar>
              <w:top w:w="80" w:type="dxa"/>
              <w:start w:w="90" w:type="dxa"/>
              <w:bottom w:w="80" w:type="dxa"/>
              <w:end w:w="90" w:type="dxa"/>
            </w:tcMar>
          </w:tcPr>
          <w:p>
            <w:r>
              <w:t>ホームから必要な情報・機能を横断的に検索できるようにする</w:t>
            </w:r>
          </w:p>
        </w:tc>
      </w:tr>
    </w:tbl>
    <w:p>
      <w:pPr>
        <w:pStyle w:val="Heading1"/>
      </w:pPr>
      <w:r>
        <w:t>2. 新機能</w:t>
      </w:r>
    </w:p>
    <w:p>
      <w:pPr>
        <w:pStyle w:val="ListBullet"/>
      </w:pPr>
      <w:r>
        <w:t>システム横断検索画面を追加しました。</w:t>
      </w:r>
    </w:p>
    <w:p>
      <w:pPr>
        <w:pStyle w:val="ListBullet"/>
      </w:pPr>
      <w:r>
        <w:t>ホーム検索に「すべて」「機能・設定」を追加しました。</w:t>
      </w:r>
    </w:p>
    <w:p>
      <w:pPr>
        <w:pStyle w:val="ListBullet"/>
      </w:pPr>
      <w:r>
        <w:t>危険物データのUN番号、品名、等級、標札、容器等級、包装要件、特別規定等を対象にしました。</w:t>
      </w:r>
    </w:p>
    <w:p>
      <w:pPr>
        <w:pStyle w:val="ListBullet"/>
      </w:pPr>
      <w:r>
        <w:t>法令、資料、申請番号、利用可能な機能・設定を同じ検索結果画面に表示します。</w:t>
      </w:r>
    </w:p>
    <w:p>
      <w:pPr>
        <w:pStyle w:val="ListBullet"/>
      </w:pPr>
      <w:r>
        <w:t>検索結果を区分別の件数とカード形式で表示します。</w:t>
      </w:r>
    </w:p>
    <w:p>
      <w:pPr>
        <w:pStyle w:val="Heading1"/>
      </w:pPr>
      <w:r>
        <w:t>3. 権限・安全性</w:t>
      </w:r>
    </w:p>
    <w:p>
      <w:pPr>
        <w:pStyle w:val="ListBullet"/>
      </w:pPr>
      <w:r>
        <w:t>申請番号は閲覧権限がある場合のみ検索対象になります。</w:t>
      </w:r>
    </w:p>
    <w:p>
      <w:pPr>
        <w:pStyle w:val="ListBullet"/>
      </w:pPr>
      <w:r>
        <w:t>システム設定・利用者管理・法令更新等は、利用可能な権限の利用者だけに表示します。</w:t>
      </w:r>
    </w:p>
    <w:p>
      <w:pPr>
        <w:pStyle w:val="ListBullet"/>
      </w:pPr>
      <w:r>
        <w:t>横断検索によって既存の権限が拡張されることはありません。</w:t>
      </w:r>
    </w:p>
    <w:p>
      <w:pPr>
        <w:pStyle w:val="ListBullet"/>
      </w:pPr>
      <w:r>
        <w:t>オーバーパック機能は横浜大黒事業所の利用者と指定された全社権限だけに表示します。</w:t>
      </w:r>
    </w:p>
    <w:p>
      <w:pPr>
        <w:pStyle w:val="Heading1"/>
      </w:pPr>
      <w:r>
        <w:t>4. 継続しているPart 383の変更</w:t>
      </w:r>
    </w:p>
    <w:p>
      <w:pPr>
        <w:pStyle w:val="ListBullet"/>
      </w:pPr>
      <w:r>
        <w:t>機能名を「オーバーパック標札・品名等の表示作成」に統一しました。</w:t>
      </w:r>
    </w:p>
    <w:p>
      <w:pPr>
        <w:pStyle w:val="ListBullet"/>
      </w:pPr>
      <w:r>
        <w:t>A4縦210×297mmに100mm角標札を2列×2段で最大4枚配置します。</w:t>
      </w:r>
    </w:p>
    <w:p>
      <w:pPr>
        <w:pStyle w:val="ListBullet"/>
      </w:pPr>
      <w:r>
        <w:t>1枚に収まらない標札・表示は2枚目以降へ自動的に分割します。</w:t>
      </w:r>
    </w:p>
    <w:p>
      <w:pPr>
        <w:pStyle w:val="ListBullet"/>
      </w:pPr>
      <w:r>
        <w:t>余白にOVERPACK、国連番号、英語品名を12mm基準で表示します。</w:t>
      </w:r>
    </w:p>
    <w:p>
      <w:pPr>
        <w:pStyle w:val="Heading1"/>
      </w:pPr>
      <w:r>
        <w:t>5. 導入手順</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80" w:type="dxa"/>
              <w:start w:w="90" w:type="dxa"/>
              <w:bottom w:w="80" w:type="dxa"/>
              <w:end w:w="90" w:type="dxa"/>
            </w:tcMar>
          </w:tcPr>
          <w:p>
            <w:r>
              <w:rPr>
                <w:b/>
              </w:rPr>
              <w:t>手順</w:t>
            </w:r>
          </w:p>
        </w:tc>
        <w:tc>
          <w:tcPr>
            <w:tcW w:type="dxa" w:w="5100"/>
            <w:shd w:fill="D9EAF7"/>
            <w:vAlign w:val="center"/>
            <w:tcMar>
              <w:top w:w="80" w:type="dxa"/>
              <w:start w:w="90" w:type="dxa"/>
              <w:bottom w:w="80" w:type="dxa"/>
              <w:end w:w="90" w:type="dxa"/>
            </w:tcMar>
          </w:tcPr>
          <w:p>
            <w:r>
              <w:rPr>
                <w:b/>
              </w:rPr>
              <w:t>内容</w:t>
            </w:r>
          </w:p>
        </w:tc>
      </w:tr>
      <w:tr>
        <w:tc>
          <w:tcPr>
            <w:tcW w:type="dxa" w:w="5100"/>
            <w:vAlign w:val="center"/>
            <w:tcMar>
              <w:top w:w="80" w:type="dxa"/>
              <w:start w:w="90" w:type="dxa"/>
              <w:bottom w:w="80" w:type="dxa"/>
              <w:end w:w="90" w:type="dxa"/>
            </w:tcMar>
          </w:tcPr>
          <w:p>
            <w:r>
              <w:t>1</w:t>
            </w:r>
          </w:p>
        </w:tc>
        <w:tc>
          <w:tcPr>
            <w:tcW w:type="dxa" w:w="5100"/>
            <w:vAlign w:val="center"/>
            <w:tcMar>
              <w:top w:w="80" w:type="dxa"/>
              <w:start w:w="90" w:type="dxa"/>
              <w:bottom w:w="80" w:type="dxa"/>
              <w:end w:w="90" w:type="dxa"/>
            </w:tcMar>
          </w:tcPr>
          <w:p>
            <w:r>
              <w:t>旧フォルダへ上書きせず、Part 384 ZIPを新しいフォルダへ展開します。</w:t>
            </w:r>
          </w:p>
        </w:tc>
      </w:tr>
      <w:tr>
        <w:tc>
          <w:tcPr>
            <w:tcW w:type="dxa" w:w="5100"/>
            <w:vAlign w:val="center"/>
            <w:tcMar>
              <w:top w:w="80" w:type="dxa"/>
              <w:start w:w="90" w:type="dxa"/>
              <w:bottom w:w="80" w:type="dxa"/>
              <w:end w:w="90" w:type="dxa"/>
            </w:tcMar>
          </w:tcPr>
          <w:p>
            <w:r>
              <w:t>2</w:t>
            </w:r>
          </w:p>
        </w:tc>
        <w:tc>
          <w:tcPr>
            <w:tcW w:type="dxa" w:w="5100"/>
            <w:vAlign w:val="center"/>
            <w:tcMar>
              <w:top w:w="80" w:type="dxa"/>
              <w:start w:w="90" w:type="dxa"/>
              <w:bottom w:w="80" w:type="dxa"/>
              <w:end w:w="90" w:type="dxa"/>
            </w:tcMar>
          </w:tcPr>
          <w:p>
            <w:r>
              <w:t>ブラウザを閉じ、展開したindex.htmlを開きます。</w:t>
            </w:r>
          </w:p>
        </w:tc>
      </w:tr>
      <w:tr>
        <w:tc>
          <w:tcPr>
            <w:tcW w:type="dxa" w:w="5100"/>
            <w:vAlign w:val="center"/>
            <w:tcMar>
              <w:top w:w="80" w:type="dxa"/>
              <w:start w:w="90" w:type="dxa"/>
              <w:bottom w:w="80" w:type="dxa"/>
              <w:end w:w="90" w:type="dxa"/>
            </w:tcMar>
          </w:tcPr>
          <w:p>
            <w:r>
              <w:t>3</w:t>
            </w:r>
          </w:p>
        </w:tc>
        <w:tc>
          <w:tcPr>
            <w:tcW w:type="dxa" w:w="5100"/>
            <w:vAlign w:val="center"/>
            <w:tcMar>
              <w:top w:w="80" w:type="dxa"/>
              <w:start w:w="90" w:type="dxa"/>
              <w:bottom w:w="80" w:type="dxa"/>
              <w:end w:w="90" w:type="dxa"/>
            </w:tcMar>
          </w:tcPr>
          <w:p>
            <w:r>
              <w:t>管理者および代表的な権限でログインし、チェックリストに沿って確認します。</w:t>
            </w:r>
          </w:p>
        </w:tc>
      </w:tr>
      <w:tr>
        <w:tc>
          <w:tcPr>
            <w:tcW w:type="dxa" w:w="5100"/>
            <w:vAlign w:val="center"/>
            <w:tcMar>
              <w:top w:w="80" w:type="dxa"/>
              <w:start w:w="90" w:type="dxa"/>
              <w:bottom w:w="80" w:type="dxa"/>
              <w:end w:w="90" w:type="dxa"/>
            </w:tcMar>
          </w:tcPr>
          <w:p>
            <w:r>
              <w:t>4</w:t>
            </w:r>
          </w:p>
        </w:tc>
        <w:tc>
          <w:tcPr>
            <w:tcW w:type="dxa" w:w="5100"/>
            <w:vAlign w:val="center"/>
            <w:tcMar>
              <w:top w:w="80" w:type="dxa"/>
              <w:start w:w="90" w:type="dxa"/>
              <w:bottom w:w="80" w:type="dxa"/>
              <w:end w:w="90" w:type="dxa"/>
            </w:tcMar>
          </w:tcPr>
          <w:p>
            <w:r>
              <w:t>旧キャッシュが表示される場合はCtrl+F5で再読み込みします。</w:t>
            </w:r>
          </w:p>
        </w:tc>
      </w:tr>
    </w:tbl>
    <w:p>
      <w:pPr>
        <w:pStyle w:val="Heading1"/>
      </w:pPr>
      <w:r>
        <w:t>6. 既知の制約</w:t>
      </w:r>
    </w:p>
    <w:p>
      <w:pPr>
        <w:pStyle w:val="ListBullet"/>
      </w:pPr>
      <w:r>
        <w:t>ローカル版の申請番号や履歴は、使用しているブラウザ端末内の保存データを検索します。</w:t>
      </w:r>
    </w:p>
    <w:p>
      <w:pPr>
        <w:pStyle w:val="ListBullet"/>
      </w:pPr>
      <w:r>
        <w:t>複数PC間で同じ検索結果を共有するには、正式運用時にサーバー側データベースとの接続が必要です。</w:t>
      </w:r>
    </w:p>
    <w:p>
      <w:pPr>
        <w:pStyle w:val="ListBullet"/>
      </w:pPr>
      <w:r>
        <w:t>法令・資料の本文全文検索ではなく、登録された名称・分類・タグ・メタデータを検索します。</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