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3A67"/>
          <w:sz w:val="38"/>
        </w:rPr>
        <w:t>検査・検品業務サポートシステム</w:t>
      </w:r>
    </w:p>
    <w:p>
      <w:pPr>
        <w:jc w:val="center"/>
      </w:pPr>
      <w:r>
        <w:rPr>
          <w:b/>
          <w:color w:val="1F6FB2"/>
          <w:sz w:val="52"/>
        </w:rPr>
        <w:t>システム管理者用 使用要領書</w:t>
      </w:r>
    </w:p>
    <w:p>
      <w:pPr>
        <w:jc w:val="center"/>
      </w:pPr>
      <w:r>
        <w:t>システム管理者向け・Part 243</w:t>
      </w:r>
    </w:p>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20" w:type="dxa"/>
              <w:bottom w:w="90" w:type="dxa"/>
              <w:end w:w="120" w:type="dxa"/>
            </w:tcMar>
          </w:tcPr>
          <w:p>
            <w:r>
              <w:rPr>
                <w:b/>
              </w:rPr>
              <w:t>対象版</w:t>
            </w:r>
          </w:p>
        </w:tc>
        <w:tc>
          <w:tcPr>
            <w:tcW w:type="dxa" w:w="5043"/>
            <w:tcMar>
              <w:top w:w="90" w:type="dxa"/>
              <w:start w:w="120" w:type="dxa"/>
              <w:bottom w:w="90" w:type="dxa"/>
              <w:end w:w="120" w:type="dxa"/>
            </w:tcMar>
          </w:tcPr>
          <w:p>
            <w:r>
              <w:t>Part 243</w:t>
            </w:r>
          </w:p>
        </w:tc>
      </w:tr>
      <w:tr>
        <w:tc>
          <w:tcPr>
            <w:tcW w:type="dxa" w:w="5043"/>
            <w:shd w:fill="EAF2F8"/>
            <w:tcMar>
              <w:top w:w="90" w:type="dxa"/>
              <w:start w:w="120" w:type="dxa"/>
              <w:bottom w:w="90" w:type="dxa"/>
              <w:end w:w="120" w:type="dxa"/>
            </w:tcMar>
          </w:tcPr>
          <w:p>
            <w:r>
              <w:rPr>
                <w:b/>
              </w:rPr>
              <w:t>作成日</w:t>
            </w:r>
          </w:p>
        </w:tc>
        <w:tc>
          <w:tcPr>
            <w:tcW w:type="dxa" w:w="5043"/>
            <w:tcMar>
              <w:top w:w="90" w:type="dxa"/>
              <w:start w:w="120" w:type="dxa"/>
              <w:bottom w:w="90" w:type="dxa"/>
              <w:end w:w="120" w:type="dxa"/>
            </w:tcMar>
          </w:tcPr>
          <w:p>
            <w:r>
              <w:t>2026年07月27日</w:t>
            </w:r>
          </w:p>
        </w:tc>
      </w:tr>
      <w:tr>
        <w:tc>
          <w:tcPr>
            <w:tcW w:type="dxa" w:w="5043"/>
            <w:shd w:fill="EAF2F8"/>
            <w:tcMar>
              <w:top w:w="90" w:type="dxa"/>
              <w:start w:w="120" w:type="dxa"/>
              <w:bottom w:w="90" w:type="dxa"/>
              <w:end w:w="120" w:type="dxa"/>
            </w:tcMar>
          </w:tcPr>
          <w:p>
            <w:r>
              <w:rPr>
                <w:b/>
              </w:rPr>
              <w:t>対象規模</w:t>
            </w:r>
          </w:p>
        </w:tc>
        <w:tc>
          <w:tcPr>
            <w:tcW w:type="dxa" w:w="5043"/>
            <w:tcMar>
              <w:top w:w="90" w:type="dxa"/>
              <w:start w:w="120" w:type="dxa"/>
              <w:bottom w:w="90" w:type="dxa"/>
              <w:end w:w="120" w:type="dxa"/>
            </w:tcMar>
          </w:tcPr>
          <w:p>
            <w:r>
              <w:t>現状約50名、将来約150名</w:t>
            </w:r>
          </w:p>
        </w:tc>
      </w:tr>
      <w:tr>
        <w:tc>
          <w:tcPr>
            <w:tcW w:type="dxa" w:w="5043"/>
            <w:shd w:fill="EAF2F8"/>
            <w:tcMar>
              <w:top w:w="90" w:type="dxa"/>
              <w:start w:w="120" w:type="dxa"/>
              <w:bottom w:w="90" w:type="dxa"/>
              <w:end w:w="120" w:type="dxa"/>
            </w:tcMar>
          </w:tcPr>
          <w:p>
            <w:r>
              <w:rPr>
                <w:b/>
              </w:rPr>
              <w:t>運用形態</w:t>
            </w:r>
          </w:p>
        </w:tc>
        <w:tc>
          <w:tcPr>
            <w:tcW w:type="dxa" w:w="5043"/>
            <w:tcMar>
              <w:top w:w="90" w:type="dxa"/>
              <w:start w:w="120" w:type="dxa"/>
              <w:bottom w:w="90" w:type="dxa"/>
              <w:end w:w="120" w:type="dxa"/>
            </w:tcMar>
          </w:tcPr>
          <w:p>
            <w:r>
              <w:t>クラウド配置を想定したWebシステム</w:t>
            </w:r>
          </w:p>
        </w:tc>
      </w:tr>
      <w:tr>
        <w:tc>
          <w:tcPr>
            <w:tcW w:type="dxa" w:w="5043"/>
            <w:shd w:fill="EAF2F8"/>
            <w:tcMar>
              <w:top w:w="90" w:type="dxa"/>
              <w:start w:w="120" w:type="dxa"/>
              <w:bottom w:w="90" w:type="dxa"/>
              <w:end w:w="120" w:type="dxa"/>
            </w:tcMar>
          </w:tcPr>
          <w:p>
            <w:r>
              <w:rPr>
                <w:b/>
              </w:rPr>
              <w:t>取扱い</w:t>
            </w:r>
          </w:p>
        </w:tc>
        <w:tc>
          <w:tcPr>
            <w:tcW w:type="dxa" w:w="5043"/>
            <w:tcMar>
              <w:top w:w="90" w:type="dxa"/>
              <w:start w:w="120" w:type="dxa"/>
              <w:bottom w:w="90" w:type="dxa"/>
              <w:end w:w="120" w:type="dxa"/>
            </w:tcMar>
          </w:tcPr>
          <w:p>
            <w:r>
              <w:t>社内利用を想定</w:t>
            </w:r>
          </w:p>
        </w:tc>
      </w:tr>
    </w:tbl>
    <w:p>
      <w:r>
        <w:br w:type="page"/>
      </w:r>
    </w:p>
    <w:p>
      <w:pPr>
        <w:pStyle w:val="Heading1"/>
      </w:pPr>
      <w:r>
        <w:t>1. 目的</w:t>
      </w:r>
    </w:p>
    <w:p>
      <w:r>
        <w:t>本書は、システム管理者が本システムを適切に使用するための操作範囲と注意事項を示します。</w:t>
      </w:r>
    </w:p>
    <w:tbl>
      <w:tblPr>
        <w:tblStyle w:val="TableGrid"/>
        <w:tblW w:type="auto" w:w="0"/>
        <w:tblLook w:firstColumn="1" w:firstRow="1" w:lastColumn="0" w:lastRow="0" w:noHBand="0" w:noVBand="1" w:val="04A0"/>
      </w:tblPr>
      <w:tblGrid>
        <w:gridCol w:w="10086"/>
      </w:tblGrid>
      <w:tr>
        <w:tc>
          <w:tcPr>
            <w:tcW w:type="dxa" w:w="10086"/>
            <w:shd w:fill="F4F8FB"/>
            <w:tcMar>
              <w:top w:w="90" w:type="dxa"/>
              <w:start w:w="120" w:type="dxa"/>
              <w:bottom w:w="90" w:type="dxa"/>
              <w:end w:w="120" w:type="dxa"/>
            </w:tcMar>
          </w:tcPr>
          <w:p>
            <w:r>
              <w:t>本システムの利用は任意です。</w:t>
            </w:r>
          </w:p>
        </w:tc>
      </w:tr>
    </w:tbl>
    <w:p/>
    <w:p>
      <w:pPr>
        <w:pStyle w:val="Heading1"/>
      </w:pPr>
      <w:r>
        <w:t>2. ログイン</w:t>
      </w:r>
    </w:p>
    <w:p>
      <w:r>
        <w:rPr>
          <w:b/>
          <w:color w:val="1F6FB2"/>
        </w:rPr>
        <w:t xml:space="preserve">1. </w:t>
      </w:r>
      <w:r>
        <w:t>指定URLを開きます。</w:t>
      </w:r>
    </w:p>
    <w:p>
      <w:r>
        <w:rPr>
          <w:b/>
          <w:color w:val="1F6FB2"/>
        </w:rPr>
        <w:t xml:space="preserve">2. </w:t>
      </w:r>
      <w:r>
        <w:t>個人のログインIDとパスワードを入力します。</w:t>
      </w:r>
    </w:p>
    <w:p>
      <w:r>
        <w:rPr>
          <w:b/>
          <w:color w:val="1F6FB2"/>
        </w:rPr>
        <w:t xml:space="preserve">3. </w:t>
      </w:r>
      <w:r>
        <w:t>初回パスワード変更やMFAが表示された場合は案内に従います。</w:t>
      </w:r>
    </w:p>
    <w:p>
      <w:r>
        <w:rPr>
          <w:b/>
          <w:color w:val="1F6FB2"/>
        </w:rPr>
        <w:t xml:space="preserve">4. </w:t>
      </w:r>
      <w:r>
        <w:t>表示された氏名、所属、権限を確認します。</w:t>
      </w:r>
    </w:p>
    <w:p>
      <w:pPr>
        <w:pStyle w:val="Heading1"/>
      </w:pPr>
      <w:r>
        <w:t>3. 全体管理</w:t>
      </w:r>
    </w:p>
    <w:p>
      <w:pPr>
        <w:pStyle w:val="ListBullet"/>
      </w:pPr>
      <w:r>
        <w:t>利用者・役割・事業所</w:t>
      </w:r>
    </w:p>
    <w:p>
      <w:pPr>
        <w:pStyle w:val="ListBullet"/>
      </w:pPr>
      <w:r>
        <w:t>クラウド接続、認証、メール</w:t>
      </w:r>
    </w:p>
    <w:p>
      <w:pPr>
        <w:pStyle w:val="ListBullet"/>
      </w:pPr>
      <w:r>
        <w:t>法令・データ更新</w:t>
      </w:r>
    </w:p>
    <w:p>
      <w:pPr>
        <w:pStyle w:val="ListBullet"/>
      </w:pPr>
      <w:r>
        <w:t>監査、バックアップ、障害、運用受入</w:t>
      </w:r>
    </w:p>
    <w:p>
      <w:pPr>
        <w:pStyle w:val="Heading1"/>
      </w:pPr>
      <w:r>
        <w:t>4. 利用履歴確認</w:t>
      </w:r>
    </w:p>
    <w:p>
      <w:pPr>
        <w:pStyle w:val="ListBullet"/>
      </w:pPr>
      <w:r>
        <w:t>選択した利用者のログイン、危険物、法令、資料、案件、写真、設定、管理操作を確認できます。</w:t>
      </w:r>
    </w:p>
    <w:p>
      <w:pPr>
        <w:pStyle w:val="ListBullet"/>
      </w:pPr>
      <w:r>
        <w:t>日次・週次・月次集計と監査レポートを作成できます。</w:t>
      </w:r>
    </w:p>
    <w:p>
      <w:pPr>
        <w:pStyle w:val="ListBullet"/>
      </w:pPr>
      <w:r>
        <w:t>管理者による閲覧も監査されます。</w:t>
      </w:r>
    </w:p>
    <w:p>
      <w:pPr>
        <w:pStyle w:val="Heading1"/>
      </w:pPr>
      <w:r>
        <w:t>5. 法令更新</w:t>
      </w:r>
    </w:p>
    <w:p>
      <w:pPr>
        <w:pStyle w:val="ListBullet"/>
      </w:pPr>
      <w:r>
        <w:t>PDF・構造化データを登録します。</w:t>
      </w:r>
    </w:p>
    <w:p>
      <w:pPr>
        <w:pStyle w:val="ListBullet"/>
      </w:pPr>
      <w:r>
        <w:t>差分と品質検査を確認します。</w:t>
      </w:r>
    </w:p>
    <w:p>
      <w:pPr>
        <w:pStyle w:val="ListBullet"/>
      </w:pPr>
      <w:r>
        <w:t>承認後に公開し、旧版と証跡を保存します。</w:t>
      </w:r>
    </w:p>
    <w:p>
      <w:pPr>
        <w:pStyle w:val="Heading1"/>
      </w:pPr>
      <w:r>
        <w:t>6. 権限移行</w:t>
      </w:r>
    </w:p>
    <w:p>
      <w:pPr>
        <w:pStyle w:val="ListBullet"/>
      </w:pPr>
      <w:r>
        <w:t>将来の移行先は安全環境室長に限定します。</w:t>
      </w:r>
    </w:p>
    <w:p>
      <w:pPr>
        <w:pStyle w:val="ListBullet"/>
      </w:pPr>
      <w:r>
        <w:t>再認証、MFA、承認、バックアップ、並行運用、ロールバックを伴います。</w:t>
      </w:r>
    </w:p>
    <w:p>
      <w:pPr>
        <w:pStyle w:val="Heading1"/>
      </w:pPr>
      <w:r>
        <w:t>7. 未実装方針</w:t>
      </w:r>
    </w:p>
    <w:p>
      <w:pPr>
        <w:pStyle w:val="ListBullet"/>
      </w:pPr>
      <w:r>
        <w:t>透かし表示、スクリーンショット検知・追跡、画面自動保存は現時点では実装しません。</w:t>
      </w:r>
    </w:p>
    <w:p>
      <w:pPr>
        <w:pStyle w:val="Heading1"/>
      </w:pPr>
      <w:r>
        <w:t>8. 不具合・誤りの報告</w:t>
      </w:r>
    </w:p>
    <w:p>
      <w:r>
        <w:rPr>
          <w:b/>
          <w:color w:val="1F6FB2"/>
        </w:rPr>
        <w:t xml:space="preserve">1. </w:t>
      </w:r>
      <w:r>
        <w:t>画面名、対象国連番号または申請番号、日時を控えます。</w:t>
      </w:r>
    </w:p>
    <w:p>
      <w:r>
        <w:rPr>
          <w:b/>
          <w:color w:val="1F6FB2"/>
        </w:rPr>
        <w:t xml:space="preserve">2. </w:t>
      </w:r>
      <w:r>
        <w:t>可能であれば画面と操作手順を記録します。</w:t>
      </w:r>
    </w:p>
    <w:p>
      <w:r>
        <w:rPr>
          <w:b/>
          <w:color w:val="1F6FB2"/>
        </w:rPr>
        <w:t xml:space="preserve">3. </w:t>
      </w:r>
      <w:r>
        <w:t>法令に関する場合は原典、版番号、条文を添えます。</w:t>
      </w:r>
    </w:p>
    <w:p>
      <w:r>
        <w:rPr>
          <w:b/>
          <w:color w:val="1F6FB2"/>
        </w:rPr>
        <w:t xml:space="preserve">4. </w:t>
      </w:r>
      <w:r>
        <w:t>所定の窓口または管理者へ報告します。</w:t>
      </w:r>
    </w:p>
    <w:p>
      <w:pPr>
        <w:pStyle w:val="Heading1"/>
      </w:pPr>
      <w:r>
        <w:t>9. 情報管理</w:t>
      </w:r>
    </w:p>
    <w:p>
      <w:pPr>
        <w:pStyle w:val="ListBullet"/>
      </w:pPr>
      <w:r>
        <w:t>ID・パスワードを共有しません。</w:t>
      </w:r>
    </w:p>
    <w:p>
      <w:pPr>
        <w:pStyle w:val="ListBullet"/>
      </w:pPr>
      <w:r>
        <w:t>私物端末・私用クラウドへ案件情報を保存しません。</w:t>
      </w:r>
    </w:p>
    <w:p>
      <w:pPr>
        <w:pStyle w:val="ListBullet"/>
      </w:pPr>
      <w:r>
        <w:t>離席時は画面をロックし、利用終了時はログアウトします。</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システム管理者用 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