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S Gothic" w:cs="MS Gothic" w:eastAsia="MS Gothic" w:hAnsi="MS Gothic"/>
          <w:b/>
          <w:bCs/>
          <w:color w:val="1F3864"/>
          <w:sz w:val="32"/>
          <w:szCs w:val="32"/>
        </w:rPr>
        <w:t xml:space="preserve">中国 月度統計 評価レポート</w:t>
      </w:r>
    </w:p>
    <w:p>
      <w:pPr>
        <w:spacing w:after="40"/>
        <w:jc w:val="center"/>
      </w:pPr>
      <w:r>
        <w:rPr>
          <w:rFonts w:ascii="MS Gothic" w:cs="MS Gothic" w:eastAsia="MS Gothic" w:hAnsi="MS Gothic"/>
          <w:color w:val="1F3864"/>
          <w:sz w:val="22"/>
          <w:szCs w:val="22"/>
        </w:rPr>
        <w:t xml:space="preserve">― 景況の実態と公式統計の信頼性 ―</w:t>
      </w:r>
    </w:p>
    <w:p>
      <w:pPr>
        <w:spacing w:after="120"/>
        <w:jc w:val="center"/>
      </w:pPr>
      <w:r>
        <w:rPr>
          <w:rFonts w:ascii="MS Mincho" w:cs="MS Mincho" w:eastAsia="MS Mincho" w:hAnsi="MS Mincho"/>
          <w:color w:val="555555"/>
          <w:sz w:val="18"/>
          <w:szCs w:val="18"/>
        </w:rPr>
        <w:t xml:space="preserve">Ver.1.1（2026-09-07）／データ：国家統計局 月度データ（新版DG API, 2010-01〜2026-07）</w:t>
      </w:r>
    </w:p>
    <w:p>
      <w:pPr>
        <w:pBdr>
          <w:bottom w:val="single" w:color="1F3864" w:sz="8" w:space="1"/>
        </w:pBdr>
        <w:spacing w:after="120"/>
      </w:pPr>
    </w:p>
    <w:p>
      <w:pPr>
        <w:pStyle w:val="Heading1"/>
        <w:spacing w:after="120" w:before="240"/>
      </w:pPr>
      <w:r>
        <w:rPr>
          <w:rFonts w:ascii="MS Gothic" w:cs="MS Gothic" w:eastAsia="MS Gothic" w:hAnsi="MS Gothic"/>
          <w:b/>
          <w:bCs/>
          <w:color w:val="1F3864"/>
          <w:sz w:val="26"/>
          <w:szCs w:val="26"/>
        </w:rPr>
        <w:t xml:space="preserve">【ポイント】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① </w:t>
      </w:r>
      <w:r>
        <w:rPr>
          <w:rFonts w:ascii="MS Mincho" w:cs="MS Mincho" w:eastAsia="MS Mincho" w:hAnsi="MS Mincho"/>
          <w:sz w:val="21"/>
          <w:szCs w:val="21"/>
        </w:rPr>
        <w:t xml:space="preserve">内需・投資・不動産の三面で減速～収縮。小売は前年比ほぼ横ばい（2026-07 +0.6%）、固定資産投資は累計で前年割れ（同 ▲6.7%）、不動産開発投資は二桁減が深化（同 ▲19.2%）。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② </w:t>
      </w:r>
      <w:r>
        <w:rPr>
          <w:rFonts w:ascii="MS Mincho" w:cs="MS Mincho" w:eastAsia="MS Mincho" w:hAnsi="MS Mincho"/>
          <w:sz w:val="21"/>
          <w:szCs w:val="21"/>
        </w:rPr>
        <w:t xml:space="preserve">一方、工業付加価値は+5%前後を維持し供給側は相対的に底堅い。「生産は回るが需要が細る」不均衡が鮮明で、川上価格の100割れ（建材類95.9）などデフレ圧力を伴う。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③ </w:t>
      </w:r>
      <w:r>
        <w:rPr>
          <w:rFonts w:ascii="MS Mincho" w:cs="MS Mincho" w:eastAsia="MS Mincho" w:hAnsi="MS Mincho"/>
          <w:sz w:val="21"/>
          <w:szCs w:val="21"/>
        </w:rPr>
        <w:t xml:space="preserve">公式前年比は水準から再計算した前年比とおおむね整合し、日常的な作為の兆候は乏しい。ただし2015年の小売と2023年後半の不動産開発投資で数pptの持続的乖離があり、局面転換期の公式値は下方リスクを過小に映していた可能性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〔確度：中〕</w:t>
      </w:r>
    </w:p>
    <w:p>
      <w:pPr>
        <w:pBdr>
          <w:bottom w:val="single" w:color="1F3864" w:sz="8" w:space="1"/>
        </w:pBdr>
        <w:spacing w:after="120"/>
      </w:pPr>
    </w:p>
    <w:p>
      <w:pPr>
        <w:pStyle w:val="Heading1"/>
        <w:spacing w:after="120" w:before="240"/>
      </w:pPr>
      <w:r>
        <w:rPr>
          <w:rFonts w:ascii="MS Gothic" w:cs="MS Gothic" w:eastAsia="MS Gothic" w:hAnsi="MS Gothic"/>
          <w:b/>
          <w:bCs/>
          <w:color w:val="1F3864"/>
          <w:sz w:val="26"/>
          <w:szCs w:val="26"/>
        </w:rPr>
        <w:t xml:space="preserve">【本文】</w:t>
      </w:r>
    </w:p>
    <w:p>
      <w:pPr>
        <w:pStyle w:val="Heading2"/>
        <w:spacing w:after="80" w:before="160"/>
      </w:pPr>
      <w:r>
        <w:rPr>
          <w:rFonts w:ascii="MS Gothic" w:cs="MS Gothic" w:eastAsia="MS Gothic" w:hAnsi="MS Gothic"/>
          <w:b/>
          <w:bCs/>
          <w:color w:val="1F3864"/>
          <w:sz w:val="22"/>
          <w:szCs w:val="22"/>
        </w:rPr>
        <w:t xml:space="preserve">1. データ基盤と手法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(1) 範囲：国家統計局の月度カタログ35レポート×最大67地区、2010-01〜2026-07（約28万行）。金額・数量の水準、公式前年比・前月比に加え、公式前年比と実測水準から独立に再計算した前年比の「乖離」を全期間で保持する。</w:t>
      </w:r>
    </w:p>
    <w:p>
      <w:pPr>
        <w:spacing w:after="80" w:line="300"/>
      </w:pPr>
      <w:r>
        <w:rPr>
          <w:rFonts w:ascii="MS Mincho" w:cs="MS Mincho" w:eastAsia="MS Mincho" w:hAnsi="MS Mincho"/>
          <w:b w:val="false"/>
          <w:bCs w:val="false"/>
          <w:sz w:val="21"/>
          <w:szCs w:val="21"/>
        </w:rPr>
        <w:t xml:space="preserve">(2) 手法：乖離＝（実測水準から再計算した前年比）−（公式前年比）。</w:t>
      </w:r>
      <w:r>
        <w:rPr>
          <w:rFonts w:ascii="MS Mincho" w:cs="MS Mincho" w:eastAsia="MS Mincho" w:hAnsi="MS Mincho"/>
          <w:sz w:val="21"/>
          <w:szCs w:val="21"/>
        </w:rPr>
        <w:t xml:space="preserve">金額・数量のフロー系でのみ比較が妥当。前年同月=100の指数系は再計算が破綻するため比較対象外とする。</w:t>
      </w:r>
    </w:p>
    <w:p>
      <w:pPr>
        <w:pStyle w:val="Heading2"/>
        <w:spacing w:after="80" w:before="160"/>
      </w:pPr>
      <w:r>
        <w:rPr>
          <w:rFonts w:ascii="MS Gothic" w:cs="MS Gothic" w:eastAsia="MS Gothic" w:hAnsi="MS Gothic"/>
          <w:b/>
          <w:bCs/>
          <w:color w:val="1F3864"/>
          <w:sz w:val="22"/>
          <w:szCs w:val="22"/>
        </w:rPr>
        <w:t xml:space="preserve">2. 景況評価（実態）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(1) 消費：</w:t>
      </w:r>
      <w:r>
        <w:rPr>
          <w:rFonts w:ascii="MS Mincho" w:cs="MS Mincho" w:eastAsia="MS Mincho" w:hAnsi="MS Mincho"/>
          <w:sz w:val="21"/>
          <w:szCs w:val="21"/>
        </w:rPr>
        <w:t xml:space="preserve">小売総額の前年比は2025年央の+3%台から鈍化し、2026年入り後は概ね±1%圏（2026-05 ▲0.6%、07 +0.6%）。名目でほぼ横ばい＝実質は弱含み。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(2) 投資：</w:t>
      </w:r>
      <w:r>
        <w:rPr>
          <w:rFonts w:ascii="MS Mincho" w:cs="MS Mincho" w:eastAsia="MS Mincho" w:hAnsi="MS Mincho"/>
          <w:sz w:val="21"/>
          <w:szCs w:val="21"/>
        </w:rPr>
        <w:t xml:space="preserve">固定資産投資（農家除く・累計）は2025-09に前年割れへ転じ、2026-07に ▲6.7%。投資主導型の失速。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(3) 不動産：</w:t>
      </w:r>
      <w:r>
        <w:rPr>
          <w:rFonts w:ascii="MS Mincho" w:cs="MS Mincho" w:eastAsia="MS Mincho" w:hAnsi="MS Mincho"/>
          <w:sz w:val="21"/>
          <w:szCs w:val="21"/>
        </w:rPr>
        <w:t xml:space="preserve">開発投資は ▲12%（2025-07）→ ▲19.2%（2026-07）と減勢が加速。販売面積も前年割れが継続し、建設用購入価格（建材類95.9）もデフレ圏で川上まで需要不足が波及。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(4) 工業：</w:t>
      </w:r>
      <w:r>
        <w:rPr>
          <w:rFonts w:ascii="MS Mincho" w:cs="MS Mincho" w:eastAsia="MS Mincho" w:hAnsi="MS Mincho"/>
          <w:sz w:val="21"/>
          <w:szCs w:val="21"/>
        </w:rPr>
        <w:t xml:space="preserve">付加価値の伸びは製造業+5.5%、全体+5%前後を維持。採掘業は ▲4.2%。供給側は堅調で、需要側との乖離が拡大。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spacing w:after="100" w:before="60"/>
      </w:pPr>
      <w:r>
        <w:rPr>
          <w:rFonts w:ascii="MS Gothic" w:cs="MS Gothic" w:eastAsia="MS Gothic" w:hAnsi="MS Gothic"/>
          <w:b/>
          <w:bCs/>
          <w:color w:val="1F3864"/>
          <w:sz w:val="19"/>
          <w:szCs w:val="19"/>
        </w:rPr>
        <w:t xml:space="preserve">［主要指標の直近推移］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66"/>
        <w:gridCol w:w="1066"/>
        <w:gridCol w:w="1066"/>
        <w:gridCol w:w="1066"/>
        <w:gridCol w:w="1066"/>
        <w:gridCol w:w="1066"/>
        <w:gridCol w:w="1064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指標＼期間</w:t>
            </w:r>
          </w:p>
        </w:tc>
        <w:tc>
          <w:tcPr>
            <w:tcW w:type="dxa" w:w="106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25/11</w:t>
            </w:r>
          </w:p>
        </w:tc>
        <w:tc>
          <w:tcPr>
            <w:tcW w:type="dxa" w:w="106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25/12</w:t>
            </w:r>
          </w:p>
        </w:tc>
        <w:tc>
          <w:tcPr>
            <w:tcW w:type="dxa" w:w="106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26/02</w:t>
            </w:r>
          </w:p>
        </w:tc>
        <w:tc>
          <w:tcPr>
            <w:tcW w:type="dxa" w:w="106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26/03</w:t>
            </w:r>
          </w:p>
        </w:tc>
        <w:tc>
          <w:tcPr>
            <w:tcW w:type="dxa" w:w="106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26/04</w:t>
            </w:r>
          </w:p>
        </w:tc>
        <w:tc>
          <w:tcPr>
            <w:tcW w:type="dxa" w:w="106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26/05</w:t>
            </w:r>
          </w:p>
        </w:tc>
        <w:tc>
          <w:tcPr>
            <w:tcW w:type="dxa" w:w="106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26/07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小売総額(月次前年比%)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0.9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2.8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1.7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0.2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▲0.6</w:t>
            </w:r>
          </w:p>
        </w:tc>
        <w:tc>
          <w:tcPr>
            <w:tcW w:type="dxa" w:w="10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0.6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固定資産投資(累計前年比%)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▲2.6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▲3.8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1.8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1.7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▲1.6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▲4.1</w:t>
            </w:r>
          </w:p>
        </w:tc>
        <w:tc>
          <w:tcPr>
            <w:tcW w:type="dxa" w:w="10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▲6.7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不動産開発投資(累計前年比%)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▲15.9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▲17.2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▲11.1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▲11.2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▲13.7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▲16.2</w:t>
            </w:r>
          </w:p>
        </w:tc>
        <w:tc>
          <w:tcPr>
            <w:tcW w:type="dxa" w:w="10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▲19.2</w:t>
            </w:r>
          </w:p>
        </w:tc>
      </w:tr>
    </w:tbl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（総括）</w:t>
      </w:r>
      <w:r>
        <w:rPr>
          <w:rFonts w:ascii="MS Mincho" w:cs="MS Mincho" w:eastAsia="MS Mincho" w:hAnsi="MS Mincho"/>
          <w:sz w:val="21"/>
          <w:szCs w:val="21"/>
        </w:rPr>
        <w:t xml:space="preserve">需要三面（消費・投資・不動産）の同時減速と、相対的に底堅い生産の併存。デフレ圧力を伴う「量はあるが値がつかない」局面にある。</w:t>
      </w:r>
    </w:p>
    <w:p>
      <w:pPr>
        <w:pStyle w:val="Heading2"/>
        <w:spacing w:after="80" w:before="160"/>
      </w:pPr>
      <w:r>
        <w:rPr>
          <w:rFonts w:ascii="MS Gothic" w:cs="MS Gothic" w:eastAsia="MS Gothic" w:hAnsi="MS Gothic"/>
          <w:b/>
          <w:bCs/>
          <w:color w:val="1F3864"/>
          <w:sz w:val="22"/>
          <w:szCs w:val="22"/>
        </w:rPr>
        <w:t xml:space="preserve">3. 公式統計の信頼性評価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(1) 全体傾向：</w:t>
      </w:r>
      <w:r>
        <w:rPr>
          <w:rFonts w:ascii="MS Mincho" w:cs="MS Mincho" w:eastAsia="MS Mincho" w:hAnsi="MS Mincho"/>
          <w:sz w:val="21"/>
          <w:szCs w:val="21"/>
        </w:rPr>
        <w:t xml:space="preserve">主要国次系列は再計算前年比とおおむね整合（小売・不動産開発投資の中央|乖離|は0.03〜0.04ppt）。日常的・機械的な作為の兆候は乏しい。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〔確度：中〕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(2) 注意すべき局面：</w:t>
      </w:r>
    </w:p>
    <w:p>
      <w:pPr>
        <w:spacing w:after="80" w:line="300"/>
        <w:ind w:left="360"/>
      </w:pPr>
      <w:r>
        <w:rPr>
          <w:rFonts w:ascii="MS Mincho" w:cs="MS Mincho" w:eastAsia="MS Mincho" w:hAnsi="MS Mincho"/>
          <w:sz w:val="21"/>
          <w:szCs w:val="21"/>
        </w:rPr>
        <w:t xml:space="preserve">・小売2015年後半：水準ベースの含意が公式値より約7〜8ppt高い月が散発。主因は基準年水準の改定（「可比口径」との差）とみられ、直ちに作為とは言えないが、公式前年比のみを見ると水準改定の影響を見落とす。</w:t>
      </w:r>
    </w:p>
    <w:p>
      <w:pPr>
        <w:spacing w:after="80" w:line="300"/>
        <w:ind w:left="360"/>
      </w:pPr>
      <w:r>
        <w:rPr>
          <w:rFonts w:ascii="MS Mincho" w:cs="MS Mincho" w:eastAsia="MS Mincho" w:hAnsi="MS Mincho"/>
          <w:sz w:val="21"/>
          <w:szCs w:val="21"/>
        </w:rPr>
        <w:t xml:space="preserve">・不動産開発投資2023年後半：公式の減少率（▲9%台）が水準ベース含意（▲16%前後）より約6.6〜6.9ppt浅い。減勢の過小表示が疑われ、当該局面の実勢はより弱かった可能性。</w:t>
      </w:r>
    </w:p>
    <w:p>
      <w:pPr>
        <w:spacing w:after="100" w:before="60"/>
      </w:pPr>
      <w:r>
        <w:rPr>
          <w:rFonts w:ascii="MS Gothic" w:cs="MS Gothic" w:eastAsia="MS Gothic" w:hAnsi="MS Gothic"/>
          <w:b/>
          <w:bCs/>
          <w:color w:val="1F3864"/>
          <w:sz w:val="19"/>
          <w:szCs w:val="19"/>
        </w:rPr>
        <w:t xml:space="preserve">［乖離サマリー（全国ヘッドライン）］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1400"/>
        <w:gridCol w:w="1400"/>
        <w:gridCol w:w="286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系列(全国)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件数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中央|乖離|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90分位</w:t>
            </w:r>
          </w:p>
        </w:tc>
        <w:tc>
          <w:tcPr>
            <w:tcW w:type="dxa" w:w="28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特記局面（再計算−公式, ppt）</w:t>
            </w:r>
          </w:p>
        </w:tc>
      </w:tr>
      <w:t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社会消費財小売総額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164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0.04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2.98</w:t>
            </w:r>
          </w:p>
        </w:tc>
        <w:tc>
          <w:tcPr>
            <w:tcW w:type="dxa" w:w="2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2015年後半に+7〜8ppt（再計算＞公式）</w:t>
            </w:r>
          </w:p>
        </w:tc>
      </w:tr>
      <w:t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不動産開発投資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151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0.035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0.65</w:t>
            </w:r>
          </w:p>
        </w:tc>
        <w:tc>
          <w:tcPr>
            <w:tcW w:type="dxa" w:w="2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2023年後半に▲6.6〜6.9ppt（減少を過小表示の疑い）</w:t>
            </w:r>
          </w:p>
        </w:tc>
      </w:tr>
      <w:t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固定資産投資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累計ヘッドラインは再計算YoY未生成＝独立検証不可</w:t>
            </w:r>
          </w:p>
        </w:tc>
      </w:tr>
    </w:tbl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(3) 技術的留保：</w:t>
      </w:r>
      <w:r>
        <w:rPr>
          <w:rFonts w:ascii="MS Mincho" w:cs="MS Mincho" w:eastAsia="MS Mincho" w:hAnsi="MS Mincho"/>
          <w:sz w:val="21"/>
          <w:szCs w:val="21"/>
        </w:rPr>
        <w:t xml:space="preserve">2月（春節・累計起点）で再計算前年比が跳ねるアーティファクト（例：2012-02の見かけ上の巨大乖離）、累計対月次の定義差、指数系の非比較性がある。これらはデータ属性であり作為ではない。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pStyle w:val="Heading2"/>
        <w:spacing w:after="80" w:before="160"/>
      </w:pPr>
      <w:r>
        <w:rPr>
          <w:rFonts w:ascii="MS Gothic" w:cs="MS Gothic" w:eastAsia="MS Gothic" w:hAnsi="MS Gothic"/>
          <w:b/>
          <w:bCs/>
          <w:color w:val="1F3864"/>
          <w:sz w:val="22"/>
          <w:szCs w:val="22"/>
        </w:rPr>
        <w:t xml:space="preserve">4. So What（日本の経済安保上の含意）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・中国の内需・不動産の失速は、対中輸出（資本財・建材・消費財）と資源需給を下押し。日本の関連輸出・市況に波及。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・供給過剰＋川上デフレは、中国の輸出攻勢（低価格化）を通じ第三国市場での競合を強めうる。国内産業・通商政策の警戒水準を上げる材料。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〔確度：中〕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・公式統計は日次運用では概ね信頼可能だが、局面転換期に下方リスクを過小に見せる傾向。重要判断は水準ベースの独立再計算で相互検証すべき。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〔確度：中〕</w:t>
      </w:r>
    </w:p>
    <w:p>
      <w:pPr>
        <w:pBdr>
          <w:bottom w:val="single" w:color="1F3864" w:sz="8" w:space="1"/>
        </w:pBdr>
        <w:spacing w:after="120"/>
      </w:pPr>
    </w:p>
    <w:p>
      <w:pPr>
        <w:pStyle w:val="Heading1"/>
        <w:spacing w:after="120" w:before="240"/>
      </w:pPr>
      <w:r>
        <w:rPr>
          <w:rFonts w:ascii="MS Gothic" w:cs="MS Gothic" w:eastAsia="MS Gothic" w:hAnsi="MS Gothic"/>
          <w:b/>
          <w:bCs/>
          <w:color w:val="1F3864"/>
          <w:sz w:val="26"/>
          <w:szCs w:val="26"/>
        </w:rPr>
        <w:t xml:space="preserve">（参考）出典・データ・留保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・出典：国家統計局 月度データ（新版DG API）。全指標・公式/再計算前年比・乖離は output/dg_master.csv.gz。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・要約表：output/china_dg_all.xlsx（レポート名・地区名は 中文/日本語/English 併記）。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・留保：2019〜2022の一部レポートは遡及取得の途上で件数が薄く、当該期の乖離統計は暫定。数値は取得時点（2026-07公表分まで）のもの。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・符号表記：マイナスは官庁式に従い ▲ で表す（例：▲6.7% ＝ マイナス6.7%）。乖離＝再計算前年比 − 公式前年比で、正なら公式が水準含意より低め、負なら公式が水準含意より高め（減少局面では減少の過小表示）を意味する。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Mincho" w:cs="MS Mincho" w:eastAsia="MS Mincho" w:hAnsi="MS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2026-09-07T02:36:11.321Z</dcterms:created>
  <dcterms:modified xsi:type="dcterms:W3CDTF">2026-09-07T02:36:11.332Z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