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r>
        <w:t xml:space="preserve"> </w:t>
      </w:r>
      <w:r>
        <w:t xml:space="preserve">Markdown</w:t>
      </w:r>
    </w:p>
    <w:p>
      <w:pPr>
        <w:pStyle w:val="Author"/>
      </w:pPr>
      <w:r>
        <w:t xml:space="preserve">Simon</w:t>
      </w:r>
      <w:r>
        <w:t xml:space="preserve"> </w:t>
      </w:r>
      <w:r>
        <w:t xml:space="preserve">Grimm</w:t>
      </w:r>
    </w:p>
    <w:p>
      <w:pPr>
        <w:pStyle w:val="Date"/>
      </w:pPr>
      <w:r>
        <w:t xml:space="preserve">2024-02-27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overview"/>
    <w:p>
      <w:pPr>
        <w:pStyle w:val="Heading1"/>
      </w:pPr>
      <w:r>
        <w:t xml:space="preserve">Overview</w:t>
      </w:r>
    </w:p>
    <w:bookmarkStart w:id="20" w:name="text-formatting"/>
    <w:p>
      <w:pPr>
        <w:pStyle w:val="Heading2"/>
      </w:pPr>
      <w:r>
        <w:t xml:space="preserve">Text Formatting</w:t>
      </w:r>
    </w:p>
    <w:p>
      <w:pPr>
        <w:pStyle w:val="FirstParagraph"/>
      </w:pPr>
      <w:r>
        <w:t xml:space="preserve">Explore various text formatting options in Quarto:</w:t>
      </w:r>
    </w:p>
    <w:p>
      <w:pPr>
        <w:numPr>
          <w:ilvl w:val="0"/>
          <w:numId w:val="1001"/>
        </w:numPr>
        <w:pStyle w:val="Compact"/>
      </w:pPr>
      <w:r>
        <w:rPr>
          <w:iCs/>
          <w:i/>
        </w:rPr>
        <w:t xml:space="preserve">Italics</w:t>
      </w:r>
      <w:r>
        <w:t xml:space="preserve">,</w:t>
      </w:r>
      <w:r>
        <w:t xml:space="preserve"> </w:t>
      </w:r>
      <w:r>
        <w:rPr>
          <w:bCs/>
          <w:b/>
        </w:rPr>
        <w:t xml:space="preserve">bold</w:t>
      </w:r>
      <w:r>
        <w:t xml:space="preserve">, and</w:t>
      </w:r>
      <w:r>
        <w:t xml:space="preserve"> </w:t>
      </w:r>
      <w:r>
        <w:rPr>
          <w:iCs/>
          <w:i/>
          <w:bCs/>
          <w:b/>
        </w:rPr>
        <w:t xml:space="preserve">bold italics</w:t>
      </w:r>
    </w:p>
    <w:p>
      <w:pPr>
        <w:numPr>
          <w:ilvl w:val="0"/>
          <w:numId w:val="1001"/>
        </w:numPr>
        <w:pStyle w:val="Compact"/>
      </w:pPr>
      <w:r>
        <w:t xml:space="preserve">Superscript</w:t>
      </w:r>
      <w:r>
        <w:rPr>
          <w:vertAlign w:val="superscript"/>
        </w:rPr>
        <w:t xml:space="preserve">2</w:t>
      </w:r>
      <w:r>
        <w:t xml:space="preserve"> </w:t>
      </w:r>
      <w:r>
        <w:t xml:space="preserve">and subscript</w:t>
      </w:r>
      <w:r>
        <w:rPr>
          <w:vertAlign w:val="subscript"/>
        </w:rPr>
        <w:t xml:space="preserve">2</w:t>
      </w:r>
    </w:p>
    <w:p>
      <w:pPr>
        <w:numPr>
          <w:ilvl w:val="0"/>
          <w:numId w:val="1001"/>
        </w:numPr>
        <w:pStyle w:val="Compact"/>
      </w:pPr>
      <w:r>
        <w:rPr>
          <w:strike/>
        </w:rPr>
        <w:t xml:space="preserve">Strikethrough</w:t>
      </w:r>
    </w:p>
    <w:p>
      <w:pPr>
        <w:numPr>
          <w:ilvl w:val="0"/>
          <w:numId w:val="1001"/>
        </w:numPr>
        <w:pStyle w:val="Compact"/>
      </w:pPr>
      <w:r>
        <w:rPr>
          <w:rStyle w:val="VerbatimChar"/>
        </w:rPr>
        <w:t xml:space="preserve">Verbatim code</w:t>
      </w:r>
    </w:p>
    <w:bookmarkEnd w:id="20"/>
    <w:bookmarkStart w:id="21" w:name="headings"/>
    <w:p>
      <w:pPr>
        <w:pStyle w:val="Heading2"/>
      </w:pPr>
      <w:r>
        <w:t xml:space="preserve">Headings</w:t>
      </w:r>
    </w:p>
    <w:p>
      <w:pPr>
        <w:pStyle w:val="FirstParagraph"/>
      </w:pPr>
      <w:r>
        <w:t xml:space="preserve">Demonstration of heading levels in Quarto:</w:t>
      </w:r>
    </w:p>
    <w:bookmarkEnd w:id="21"/>
    <w:bookmarkEnd w:id="22"/>
    <w:bookmarkStart w:id="43" w:name="header-1"/>
    <w:p>
      <w:pPr>
        <w:pStyle w:val="Heading1"/>
      </w:pPr>
      <w:r>
        <w:t xml:space="preserve">Header 1</w:t>
      </w:r>
    </w:p>
    <w:bookmarkStart w:id="27" w:name="header-2"/>
    <w:p>
      <w:pPr>
        <w:pStyle w:val="Heading2"/>
      </w:pPr>
      <w:r>
        <w:t xml:space="preserve">Header 2</w:t>
      </w:r>
    </w:p>
    <w:bookmarkStart w:id="26" w:name="header-3"/>
    <w:p>
      <w:pPr>
        <w:pStyle w:val="Heading3"/>
      </w:pPr>
      <w:r>
        <w:t xml:space="preserve">Header 3</w:t>
      </w:r>
    </w:p>
    <w:bookmarkStart w:id="25" w:name="header-4"/>
    <w:p>
      <w:pPr>
        <w:pStyle w:val="Heading4"/>
      </w:pPr>
      <w:r>
        <w:t xml:space="preserve">Header 4</w:t>
      </w:r>
    </w:p>
    <w:bookmarkStart w:id="24" w:name="header-5"/>
    <w:p>
      <w:pPr>
        <w:pStyle w:val="Heading5"/>
      </w:pPr>
      <w:r>
        <w:t xml:space="preserve">Header 5</w:t>
      </w:r>
    </w:p>
    <w:bookmarkStart w:id="23" w:name="header-6"/>
    <w:p>
      <w:pPr>
        <w:pStyle w:val="Heading6"/>
      </w:pPr>
      <w:r>
        <w:t xml:space="preserve">Header 6</w:t>
      </w:r>
    </w:p>
    <w:bookmarkEnd w:id="23"/>
    <w:bookmarkEnd w:id="24"/>
    <w:bookmarkEnd w:id="25"/>
    <w:bookmarkEnd w:id="26"/>
    <w:bookmarkEnd w:id="27"/>
    <w:bookmarkStart w:id="28" w:name="written-text"/>
    <w:p>
      <w:pPr>
        <w:pStyle w:val="Heading2"/>
      </w:pPr>
      <w:r>
        <w:t xml:space="preserve">Written Text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8"/>
    <w:bookmarkStart w:id="29" w:name="lists"/>
    <w:p>
      <w:pPr>
        <w:pStyle w:val="Heading2"/>
      </w:pPr>
      <w:r>
        <w:t xml:space="preserve">Lists</w:t>
      </w:r>
    </w:p>
    <w:p>
      <w:pPr>
        <w:numPr>
          <w:ilvl w:val="0"/>
          <w:numId w:val="1002"/>
        </w:numPr>
        <w:pStyle w:val="Compact"/>
      </w:pPr>
      <w:r>
        <w:t xml:space="preserve">unordered list</w:t>
      </w:r>
    </w:p>
    <w:p>
      <w:pPr>
        <w:numPr>
          <w:ilvl w:val="1"/>
          <w:numId w:val="1003"/>
        </w:numPr>
        <w:pStyle w:val="Compact"/>
      </w:pPr>
      <w:r>
        <w:t xml:space="preserve">sub-item 1</w:t>
      </w:r>
    </w:p>
    <w:p>
      <w:pPr>
        <w:numPr>
          <w:ilvl w:val="1"/>
          <w:numId w:val="1003"/>
        </w:numPr>
        <w:pStyle w:val="Compact"/>
      </w:pPr>
      <w:r>
        <w:t xml:space="preserve">sub-item 2</w:t>
      </w:r>
    </w:p>
    <w:p>
      <w:pPr>
        <w:numPr>
          <w:ilvl w:val="2"/>
          <w:numId w:val="1004"/>
        </w:numPr>
        <w:pStyle w:val="Compact"/>
      </w:pPr>
      <w:r>
        <w:t xml:space="preserve">another item</w:t>
      </w:r>
    </w:p>
    <w:p>
      <w:pPr>
        <w:numPr>
          <w:ilvl w:val="0"/>
          <w:numId w:val="1005"/>
        </w:numPr>
        <w:pStyle w:val="Compact"/>
      </w:pPr>
      <w:r>
        <w:t xml:space="preserve">ordered list</w:t>
      </w:r>
    </w:p>
    <w:p>
      <w:pPr>
        <w:numPr>
          <w:ilvl w:val="0"/>
          <w:numId w:val="1005"/>
        </w:numPr>
        <w:pStyle w:val="Compact"/>
      </w:pPr>
      <w:r>
        <w:t xml:space="preserve">item 2</w:t>
      </w:r>
    </w:p>
    <w:p>
      <w:pPr>
        <w:numPr>
          <w:ilvl w:val="1"/>
          <w:numId w:val="1006"/>
        </w:numPr>
        <w:pStyle w:val="Compact"/>
      </w:pPr>
      <w:r>
        <w:t xml:space="preserve">sub-item 1</w:t>
      </w:r>
    </w:p>
    <w:p>
      <w:pPr>
        <w:numPr>
          <w:ilvl w:val="2"/>
          <w:numId w:val="1007"/>
        </w:numPr>
        <w:pStyle w:val="Compact"/>
      </w:pPr>
      <w:r>
        <w:t xml:space="preserve">sub-sub-item 1</w:t>
      </w:r>
    </w:p>
    <w:bookmarkEnd w:id="29"/>
    <w:bookmarkStart w:id="30" w:name="math"/>
    <w:p>
      <w:pPr>
        <w:pStyle w:val="Heading2"/>
      </w:pPr>
      <w:r>
        <w:t xml:space="preserve">Math</w:t>
      </w:r>
    </w:p>
    <w:p>
      <w:pPr>
        <w:pStyle w:val="FirstParagraph"/>
      </w:pPr>
      <w:r>
        <w:t xml:space="preserve">Inline math:</w:t>
      </w:r>
      <w:r>
        <w:t xml:space="preserve"> </w:t>
      </w:r>
      <m:oMath>
        <m:r>
          <m:t>E</m:t>
        </m:r>
        <m:r>
          <m:rPr>
            <m:sty m:val="p"/>
          </m:rPr>
          <m:t>=</m:t>
        </m:r>
        <m:r>
          <m:t>m</m:t>
        </m:r>
        <m:sSup>
          <m:e>
            <m:r>
              <m:t>c</m:t>
            </m:r>
          </m:e>
          <m:sup>
            <m:r>
              <m:t>2</m:t>
            </m:r>
          </m:sup>
        </m:sSup>
      </m:oMath>
    </w:p>
    <w:p>
      <w:pPr>
        <w:pStyle w:val="BodyText"/>
      </w:pPr>
      <w:r>
        <w:t xml:space="preserve">Display math:</w:t>
      </w:r>
    </w:p>
    <w:p>
      <w:pPr>
        <w:pStyle w:val="BodyText"/>
      </w:pPr>
      <m:oMathPara>
        <m:oMathParaPr>
          <m:jc m:val="center"/>
        </m:oMathParaPr>
        <m:oMath>
          <m:r>
            <m:t>E</m:t>
          </m:r>
          <m:r>
            <m:rPr>
              <m:sty m:val="p"/>
            </m:rPr>
            <m:t>=</m:t>
          </m:r>
          <m:r>
            <m:t>m</m:t>
          </m:r>
          <m:sSup>
            <m:e>
              <m:r>
                <m:t>c</m:t>
              </m:r>
            </m:e>
            <m:sup>
              <m:r>
                <m:t>2</m:t>
              </m:r>
            </m:sup>
          </m:sSup>
        </m:oMath>
      </m:oMathPara>
    </w:p>
    <w:bookmarkEnd w:id="30"/>
    <w:bookmarkStart w:id="31" w:name="quotes"/>
    <w:p>
      <w:pPr>
        <w:pStyle w:val="Heading2"/>
      </w:pPr>
      <w:r>
        <w:t xml:space="preserve">Quotes</w:t>
      </w:r>
    </w:p>
    <w:p>
      <w:pPr>
        <w:pStyle w:val="BlockText"/>
      </w:pPr>
      <w:r>
        <w:t xml:space="preserve">Blockquote</w:t>
      </w:r>
    </w:p>
    <w:bookmarkEnd w:id="31"/>
    <w:bookmarkStart w:id="42" w:name="figures"/>
    <w:p>
      <w:pPr>
        <w:pStyle w:val="Heading2"/>
      </w:pPr>
      <w:r>
        <w:t xml:space="preserve">Figures</w:t>
      </w:r>
    </w:p>
    <w:p>
      <w:pPr>
        <w:pStyle w:val="CaptionedFigure"/>
      </w:pPr>
      <w:r>
        <w:drawing>
          <wp:inline>
            <wp:extent cx="3748126" cy="2148820"/>
            <wp:effectExtent b="0" l="0" r="0" t="0"/>
            <wp:docPr descr="Example Figure" title="" id="33" name="Picture"/>
            <a:graphic>
              <a:graphicData uri="http://schemas.openxmlformats.org/drawingml/2006/picture">
                <pic:pic>
                  <pic:nvPicPr>
                    <pic:cNvPr descr="threat_detection.png" id="34" name="Picture"/>
                    <pic:cNvPicPr>
                      <a:picLocks noChangeArrowheads="1" noChangeAspect="1"/>
                    </pic:cNvPicPr>
                  </pic:nvPicPr>
                  <pic:blipFill>
                    <a:blip r:embed="rId32"/>
                    <a:stretch>
                      <a:fillRect/>
                    </a:stretch>
                  </pic:blipFill>
                  <pic:spPr bwMode="auto">
                    <a:xfrm>
                      <a:off x="0" y="0"/>
                      <a:ext cx="3748126" cy="2148820"/>
                    </a:xfrm>
                    <a:prstGeom prst="rect">
                      <a:avLst/>
                    </a:prstGeom>
                    <a:noFill/>
                    <a:ln w="9525">
                      <a:noFill/>
                      <a:headEnd/>
                      <a:tailEnd/>
                    </a:ln>
                  </pic:spPr>
                </pic:pic>
              </a:graphicData>
            </a:graphic>
          </wp:inline>
        </w:drawing>
      </w:r>
    </w:p>
    <w:p>
      <w:pPr>
        <w:pStyle w:val="ImageCaption"/>
      </w:pPr>
      <w:r>
        <w:t xml:space="preserve">Example Figure</w:t>
      </w:r>
    </w:p>
    <w:p>
      <w:pPr>
        <w:pStyle w:val="CaptionedFigure"/>
      </w:pPr>
      <w:r>
        <w:drawing>
          <wp:inline>
            <wp:extent cx="2667000" cy="1529004"/>
            <wp:effectExtent b="0" l="0" r="0" t="0"/>
            <wp:docPr descr="Example Figure at 50% Size" title="" id="35" name="Picture"/>
            <a:graphic>
              <a:graphicData uri="http://schemas.openxmlformats.org/drawingml/2006/picture">
                <pic:pic>
                  <pic:nvPicPr>
                    <pic:cNvPr descr="threat_detection.png" id="36" name="Picture"/>
                    <pic:cNvPicPr>
                      <a:picLocks noChangeArrowheads="1" noChangeAspect="1"/>
                    </pic:cNvPicPr>
                  </pic:nvPicPr>
                  <pic:blipFill>
                    <a:blip r:embed="rId32"/>
                    <a:stretch>
                      <a:fillRect/>
                    </a:stretch>
                  </pic:blipFill>
                  <pic:spPr bwMode="auto">
                    <a:xfrm>
                      <a:off x="0" y="0"/>
                      <a:ext cx="2667000" cy="1529004"/>
                    </a:xfrm>
                    <a:prstGeom prst="rect">
                      <a:avLst/>
                    </a:prstGeom>
                    <a:noFill/>
                    <a:ln w="9525">
                      <a:noFill/>
                      <a:headEnd/>
                      <a:tailEnd/>
                    </a:ln>
                  </pic:spPr>
                </pic:pic>
              </a:graphicData>
            </a:graphic>
          </wp:inline>
        </w:drawing>
      </w:r>
    </w:p>
    <w:p>
      <w:pPr>
        <w:pStyle w:val="ImageCaption"/>
      </w:pPr>
      <w:r>
        <w:t xml:space="preserve">Example Figure at 50% Size</w:t>
      </w:r>
    </w:p>
    <w:bookmarkStart w:id="40" w:name="figure-with-python"/>
    <w:p>
      <w:pPr>
        <w:pStyle w:val="Heading3"/>
      </w:pPr>
      <w:r>
        <w:t xml:space="preserve">Figure with 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scipy.stats </w:t>
      </w:r>
      <w:r>
        <w:rPr>
          <w:rStyle w:val="ImportTok"/>
        </w:rPr>
        <w:t xml:space="preserve">import</w:t>
      </w:r>
      <w:r>
        <w:rPr>
          <w:rStyle w:val="NormalTok"/>
        </w:rPr>
        <w:t xml:space="preserve"> gamma</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400</w:t>
      </w:r>
      <w:r>
        <w:rPr>
          <w:rStyle w:val="NormalTok"/>
        </w:rPr>
        <w:t xml:space="preserve">)  </w:t>
      </w:r>
      <w:r>
        <w:rPr>
          <w:rStyle w:val="CommentTok"/>
        </w:rPr>
        <w:t xml:space="preserve"># x values</w:t>
      </w:r>
      <w:r>
        <w:br/>
      </w:r>
      <w:r>
        <w:rPr>
          <w:rStyle w:val="NormalTok"/>
        </w:rPr>
        <w:t xml:space="preserve">a1, b1 </w:t>
      </w:r>
      <w:r>
        <w:rPr>
          <w:rStyle w:val="OperatorTok"/>
        </w:rPr>
        <w:t xml:space="preserve">=</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CommentTok"/>
        </w:rPr>
        <w:t xml:space="preserve"># Exponential curve 1 parameters</w:t>
      </w:r>
      <w:r>
        <w:br/>
      </w:r>
      <w:r>
        <w:rPr>
          <w:rStyle w:val="NormalTok"/>
        </w:rPr>
        <w:t xml:space="preserve">a2, b2 </w:t>
      </w:r>
      <w:r>
        <w:rPr>
          <w:rStyle w:val="OperatorTok"/>
        </w:rPr>
        <w:t xml:space="preserve">=</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CommentTok"/>
        </w:rPr>
        <w:t xml:space="preserve"># Exponential curve 2 parameters</w:t>
      </w:r>
      <w:r>
        <w:br/>
      </w:r>
      <w:r>
        <w:rPr>
          <w:rStyle w:val="NormalTok"/>
        </w:rPr>
        <w:t xml:space="preserve">k, theta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Gamma distribution parameters</w:t>
      </w:r>
      <w:r>
        <w:br/>
      </w:r>
      <w:r>
        <w:br/>
      </w:r>
      <w:r>
        <w:rPr>
          <w:rStyle w:val="CommentTok"/>
        </w:rPr>
        <w:t xml:space="preserve"># Exponential functions</w:t>
      </w:r>
      <w:r>
        <w:br/>
      </w:r>
      <w:r>
        <w:rPr>
          <w:rStyle w:val="NormalTok"/>
        </w:rPr>
        <w:t xml:space="preserve">exp_curve1 </w:t>
      </w:r>
      <w:r>
        <w:rPr>
          <w:rStyle w:val="OperatorTok"/>
        </w:rPr>
        <w:t xml:space="preserve">=</w:t>
      </w:r>
      <w:r>
        <w:rPr>
          <w:rStyle w:val="NormalTok"/>
        </w:rPr>
        <w:t xml:space="preserve"> a1 </w:t>
      </w:r>
      <w:r>
        <w:rPr>
          <w:rStyle w:val="OperatorTok"/>
        </w:rPr>
        <w:t xml:space="preserve">*</w:t>
      </w:r>
      <w:r>
        <w:rPr>
          <w:rStyle w:val="NormalTok"/>
        </w:rPr>
        <w:t xml:space="preserve"> np.exp(b1 </w:t>
      </w:r>
      <w:r>
        <w:rPr>
          <w:rStyle w:val="OperatorTok"/>
        </w:rPr>
        <w:t xml:space="preserve">*</w:t>
      </w:r>
      <w:r>
        <w:rPr>
          <w:rStyle w:val="NormalTok"/>
        </w:rPr>
        <w:t xml:space="preserve"> x)</w:t>
      </w:r>
      <w:r>
        <w:br/>
      </w:r>
      <w:r>
        <w:rPr>
          <w:rStyle w:val="NormalTok"/>
        </w:rPr>
        <w:t xml:space="preserve">exp_curve2 </w:t>
      </w:r>
      <w:r>
        <w:rPr>
          <w:rStyle w:val="OperatorTok"/>
        </w:rPr>
        <w:t xml:space="preserve">=</w:t>
      </w:r>
      <w:r>
        <w:rPr>
          <w:rStyle w:val="NormalTok"/>
        </w:rPr>
        <w:t xml:space="preserve"> a2 </w:t>
      </w:r>
      <w:r>
        <w:rPr>
          <w:rStyle w:val="OperatorTok"/>
        </w:rPr>
        <w:t xml:space="preserve">*</w:t>
      </w:r>
      <w:r>
        <w:rPr>
          <w:rStyle w:val="NormalTok"/>
        </w:rPr>
        <w:t xml:space="preserve"> np.exp(b2 </w:t>
      </w:r>
      <w:r>
        <w:rPr>
          <w:rStyle w:val="OperatorTok"/>
        </w:rPr>
        <w:t xml:space="preserve">*</w:t>
      </w:r>
      <w:r>
        <w:rPr>
          <w:rStyle w:val="NormalTok"/>
        </w:rPr>
        <w:t xml:space="preserve"> x)</w:t>
      </w:r>
      <w:r>
        <w:br/>
      </w:r>
      <w:r>
        <w:br/>
      </w:r>
      <w:r>
        <w:rPr>
          <w:rStyle w:val="CommentTok"/>
        </w:rPr>
        <w:t xml:space="preserve"># Gamma distribution</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plt.plot(x, exp_curve1, label</w:t>
      </w:r>
      <w:r>
        <w:rPr>
          <w:rStyle w:val="OperatorTok"/>
        </w:rPr>
        <w:t xml:space="preserve">=</w:t>
      </w:r>
      <w:r>
        <w:rPr>
          <w:rStyle w:val="StringTok"/>
        </w:rPr>
        <w:t xml:space="preserve">"Exponential Curve 1: a=1, b=0.1"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plt.plot(x, exp_curve2, label</w:t>
      </w:r>
      <w:r>
        <w:rPr>
          <w:rStyle w:val="OperatorTok"/>
        </w:rPr>
        <w:t xml:space="preserve">=</w:t>
      </w:r>
      <w:r>
        <w:rPr>
          <w:rStyle w:val="StringTok"/>
        </w:rPr>
        <w:t xml:space="preserve">"Exponential Curve 2: a=1, b=0.2"</w:t>
      </w:r>
      <w:r>
        <w:rPr>
          <w:rStyle w:val="NormalTok"/>
        </w:rPr>
        <w:t xml:space="preserve">, color</w:t>
      </w:r>
      <w:r>
        <w:rPr>
          <w:rStyle w:val="OperatorTok"/>
        </w:rPr>
        <w:t xml:space="preserve">=</w:t>
      </w:r>
      <w:r>
        <w:rPr>
          <w:rStyle w:val="StringTok"/>
        </w:rPr>
        <w:t xml:space="preserve">"green"</w:t>
      </w:r>
      <w:r>
        <w:rPr>
          <w:rStyle w:val="NormalTok"/>
        </w:rPr>
        <w:t xml:space="preserve">)</w:t>
      </w:r>
      <w:r>
        <w:br/>
      </w:r>
      <w:r>
        <w:rPr>
          <w:rStyle w:val="NormalTok"/>
        </w:rPr>
        <w:t xml:space="preserve">plt.title(</w:t>
      </w:r>
      <w:r>
        <w:rPr>
          <w:rStyle w:val="StringTok"/>
        </w:rPr>
        <w:t xml:space="preserve">"Example Figure"</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r>
        <w:br/>
      </w:r>
      <w:r>
        <w:br/>
      </w:r>
      <w:r>
        <w:br/>
      </w:r>
      <w:r>
        <w:rPr>
          <w:rStyle w:val="NormalTok"/>
        </w:rPr>
        <w:t xml:space="preserve">plt.show()</w:t>
      </w:r>
    </w:p>
    <w:p>
      <w:pPr>
        <w:pStyle w:val="CaptionedFigure"/>
      </w:pPr>
      <w:r>
        <w:drawing>
          <wp:inline>
            <wp:extent cx="5334000" cy="3456855"/>
            <wp:effectExtent b="0" l="0" r="0" t="0"/>
            <wp:docPr descr="Figure Caption: Figure 2: Nasal swabs vs Oro-pharyngeal and combined nasal/oro-pharyngeal swabs. All data is taken from Goddall et al. 2022." title="" id="38" name="Picture"/>
            <a:graphic>
              <a:graphicData uri="http://schemas.openxmlformats.org/drawingml/2006/picture">
                <pic:pic>
                  <pic:nvPicPr>
                    <pic:cNvPr descr="index_files/figure-docx/cell-2-output-1.png" id="39" name="Picture"/>
                    <pic:cNvPicPr>
                      <a:picLocks noChangeArrowheads="1" noChangeAspect="1"/>
                    </pic:cNvPicPr>
                  </pic:nvPicPr>
                  <pic:blipFill>
                    <a:blip r:embed="rId37"/>
                    <a:stretch>
                      <a:fillRect/>
                    </a:stretch>
                  </pic:blipFill>
                  <pic:spPr bwMode="auto">
                    <a:xfrm>
                      <a:off x="0" y="0"/>
                      <a:ext cx="5334000" cy="3456855"/>
                    </a:xfrm>
                    <a:prstGeom prst="rect">
                      <a:avLst/>
                    </a:prstGeom>
                    <a:noFill/>
                    <a:ln w="9525">
                      <a:noFill/>
                      <a:headEnd/>
                      <a:tailEnd/>
                    </a:ln>
                  </pic:spPr>
                </pic:pic>
              </a:graphicData>
            </a:graphic>
          </wp:inline>
        </w:drawing>
      </w:r>
    </w:p>
    <w:p>
      <w:pPr>
        <w:pStyle w:val="ImageCaption"/>
      </w:pPr>
      <w:r>
        <w:rPr>
          <w:bCs/>
          <w:b/>
        </w:rPr>
        <w:t xml:space="preserve">Figure Caption: Figure 2: Nasal swabs vs Oro-pharyngeal and combined nasal/oro-pharyngeal swabs.</w:t>
      </w:r>
      <w:r>
        <w:t xml:space="preserve"> </w:t>
      </w:r>
      <w:r>
        <w:t xml:space="preserve">All data is taken from Goddall et al. 2022.</w:t>
      </w:r>
    </w:p>
    <w:bookmarkEnd w:id="40"/>
    <w:bookmarkStart w:id="41" w:name="figure-with-r"/>
    <w:p>
      <w:pPr>
        <w:pStyle w:val="Heading3"/>
      </w:pPr>
      <w:r>
        <w:t xml:space="preserve">Figure with R</w:t>
      </w:r>
    </w:p>
    <w:p>
      <w:pPr>
        <w:pStyle w:val="SourceCode"/>
      </w:pPr>
      <w:r>
        <w:rPr>
          <w:rStyle w:val="VerbatimChar"/>
        </w:rPr>
        <w:t xml:space="preserve">#| label: fig-mtcars</w:t>
      </w:r>
      <w:r>
        <w:br/>
      </w:r>
      <w:r>
        <w:rPr>
          <w:rStyle w:val="VerbatimChar"/>
        </w:rPr>
        <w:t xml:space="preserve">#| fig-cap: "MPG vs horsepower, colored by transmission."</w:t>
      </w:r>
      <w:r>
        <w:br/>
      </w:r>
      <w:r>
        <w:rPr>
          <w:rStyle w:val="VerbatimChar"/>
        </w:rPr>
        <w:t xml:space="preserve">#| column: margin</w:t>
      </w:r>
      <w:r>
        <w:br/>
      </w:r>
      <w:r>
        <w:br/>
      </w:r>
      <w:r>
        <w:rPr>
          <w:rStyle w:val="VerbatimChar"/>
        </w:rPr>
        <w:t xml:space="preserve">library(ggplot2)</w:t>
      </w:r>
      <w:r>
        <w:br/>
      </w:r>
      <w:r>
        <w:rPr>
          <w:rStyle w:val="VerbatimChar"/>
        </w:rPr>
        <w:t xml:space="preserve">mtcars2 &lt;- mtcars</w:t>
      </w:r>
      <w:r>
        <w:br/>
      </w:r>
      <w:r>
        <w:rPr>
          <w:rStyle w:val="VerbatimChar"/>
        </w:rPr>
        <w:t xml:space="preserve">mtcars2$am &lt;- factor(</w:t>
      </w:r>
      <w:r>
        <w:br/>
      </w:r>
      <w:r>
        <w:rPr>
          <w:rStyle w:val="VerbatimChar"/>
        </w:rPr>
        <w:t xml:space="preserve">  mtcars$am, labels = c('automatic', 'manual')</w:t>
      </w:r>
      <w:r>
        <w:br/>
      </w:r>
      <w:r>
        <w:rPr>
          <w:rStyle w:val="VerbatimChar"/>
        </w:rPr>
        <w:t xml:space="preserve">)</w:t>
      </w:r>
      <w:r>
        <w:br/>
      </w:r>
      <w:r>
        <w:rPr>
          <w:rStyle w:val="VerbatimChar"/>
        </w:rPr>
        <w:t xml:space="preserve">ggplot(mtcars2, aes(hp, mpg, color = am)) +</w:t>
      </w:r>
      <w:r>
        <w:br/>
      </w:r>
      <w:r>
        <w:rPr>
          <w:rStyle w:val="VerbatimChar"/>
        </w:rPr>
        <w:t xml:space="preserve">  geom_point() +</w:t>
      </w:r>
      <w:r>
        <w:br/>
      </w:r>
      <w:r>
        <w:rPr>
          <w:rStyle w:val="VerbatimChar"/>
        </w:rPr>
        <w:t xml:space="preserve">  geom_smooth(formula = y ~ x, method = "loess") +</w:t>
      </w:r>
      <w:r>
        <w:br/>
      </w:r>
      <w:r>
        <w:rPr>
          <w:rStyle w:val="VerbatimChar"/>
        </w:rPr>
        <w:t xml:space="preserve">  theme(legend.position = 'bottom')</w:t>
      </w:r>
    </w:p>
    <w:bookmarkEnd w:id="41"/>
    <w:bookmarkEnd w:id="42"/>
    <w:bookmarkEnd w:id="43"/>
    <w:bookmarkStart w:id="46" w:name="footnotes"/>
    <w:p>
      <w:pPr>
        <w:pStyle w:val="Heading1"/>
      </w:pPr>
      <w:r>
        <w:t xml:space="preserve">Footnotes</w:t>
      </w:r>
    </w:p>
    <w:p>
      <w:pPr>
        <w:pStyle w:val="FirstParagraph"/>
      </w:pPr>
      <w:r>
        <w:t xml:space="preserve">Test footnote 1</w:t>
      </w:r>
      <w:r>
        <w:rPr>
          <w:rStyle w:val="FootnoteReference"/>
        </w:rPr>
        <w:footnoteReference w:id="44"/>
      </w:r>
      <w:r>
        <w:t xml:space="preserve"> </w:t>
      </w:r>
      <w:r>
        <w:t xml:space="preserve">and test footnote 2</w:t>
      </w:r>
      <w:r>
        <w:rPr>
          <w:rStyle w:val="FootnoteReference"/>
        </w:rPr>
        <w:footnoteReference w:id="45"/>
      </w:r>
    </w:p>
    <w:bookmarkEnd w:id="46"/>
    <w:bookmarkStart w:id="49" w:name="asides"/>
    <w:p>
      <w:pPr>
        <w:pStyle w:val="Heading1"/>
      </w:pPr>
      <w:r>
        <w:t xml:space="preserve">Asides</w:t>
      </w:r>
    </w:p>
    <w:bookmarkStart w:id="47" w:name="aside-with-latex"/>
    <w:p>
      <w:pPr>
        <w:pStyle w:val="Heading2"/>
      </w:pPr>
      <w:r>
        <w:t xml:space="preserve">Aside with Latex</w:t>
      </w:r>
    </w:p>
    <w:p>
      <w:pPr>
        <w:pStyle w:val="FirstParagraph"/>
      </w:pPr>
      <w:r>
        <w:t xml:space="preserve">We know from</w:t>
      </w:r>
      <w:r>
        <w:t xml:space="preserve"> </w:t>
      </w:r>
      <w:r>
        <w:rPr>
          <w:iCs/>
          <w:i/>
        </w:rPr>
        <w:t xml:space="preserve">the first fundamental theorem of calculus</w:t>
      </w:r>
      <w:r>
        <w:t xml:space="preserve"> </w:t>
      </w:r>
      <w:r>
        <w:t xml:space="preserve">that for</w:t>
      </w:r>
      <w:r>
        <w:t xml:space="preserve"> </w:t>
      </w:r>
      <m:oMath>
        <m:r>
          <m:t>x</m:t>
        </m:r>
      </m:oMath>
      <w:r>
        <w:t xml:space="preserve"> </w:t>
      </w:r>
      <w:r>
        <w:t xml:space="preserve">in</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f>
            <m:fPr>
              <m:type m:val="bar"/>
            </m:fPr>
            <m:num>
              <m:r>
                <m:t>d</m:t>
              </m:r>
            </m:num>
            <m:den>
              <m:r>
                <m:t>d</m:t>
              </m:r>
              <m:r>
                <m:t>x</m:t>
              </m:r>
            </m:den>
          </m:f>
          <m:d>
            <m:dPr>
              <m:begChr m:val="("/>
              <m:endChr m:val=")"/>
              <m:sepChr m:val=""/>
              <m:grow/>
            </m:dPr>
            <m:e>
              <m:nary>
                <m:naryPr>
                  <m:chr m:val="∫"/>
                  <m:limLoc m:val="subSup"/>
                  <m:subHide m:val="off"/>
                  <m:supHide m:val="off"/>
                </m:naryPr>
                <m:sub>
                  <m:r>
                    <m:t>a</m:t>
                  </m:r>
                </m:sub>
                <m:sup>
                  <m:r>
                    <m:t>x</m:t>
                  </m:r>
                </m:sup>
                <m:e>
                  <m:r>
                    <m:t>f</m:t>
                  </m:r>
                </m:e>
              </m:nary>
              <m:d>
                <m:dPr>
                  <m:begChr m:val="("/>
                  <m:endChr m:val=")"/>
                  <m:sepChr m:val=""/>
                  <m:grow/>
                </m:dPr>
                <m:e>
                  <m:r>
                    <m:t>u</m:t>
                  </m:r>
                </m:e>
              </m:d>
              <m:r>
                <m:t> </m:t>
              </m:r>
              <m:r>
                <m:t>d</m:t>
              </m:r>
              <m:r>
                <m:t>u</m:t>
              </m:r>
            </m:e>
          </m:d>
          <m:r>
            <m:rPr>
              <m:sty m:val="p"/>
            </m:rPr>
            <m:t>=</m:t>
          </m:r>
          <m:r>
            <m:t>f</m:t>
          </m:r>
          <m:d>
            <m:dPr>
              <m:begChr m:val="("/>
              <m:endChr m:val=")"/>
              <m:sepChr m:val=""/>
              <m:grow/>
            </m:dPr>
            <m:e>
              <m:r>
                <m:t>x</m:t>
              </m:r>
            </m:e>
          </m:d>
          <m:r>
            <m:rPr>
              <m:sty m:val="p"/>
            </m:rPr>
            <m:t>.</m:t>
          </m:r>
        </m:oMath>
      </m:oMathPara>
    </w:p>
    <w:bookmarkEnd w:id="47"/>
    <w:bookmarkStart w:id="48" w:name="aside-with-a-figure"/>
    <w:p>
      <w:pPr>
        <w:pStyle w:val="Heading2"/>
      </w:pPr>
      <w:r>
        <w:t xml:space="preserve">Aside with a figure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This is the first footnote.</w:t>
      </w:r>
    </w:p>
  </w:footnote>
  <w:footnote w:id="45">
    <w:p>
      <w:pPr>
        <w:pStyle w:val="FootnoteText"/>
      </w:pPr>
      <w:r>
        <w:rPr>
          <w:rStyle w:val="FootnoteReference"/>
        </w:rPr>
        <w:footnoteRef/>
      </w:r>
      <w:r>
        <w:t xml:space="preserve"> </w:t>
      </w:r>
      <w:r>
        <w:t xml:space="preserve">This is the second footnote.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 Markdown</dc:title>
  <dc:creator>Simon Grimm</dc:creator>
  <cp:keywords/>
  <dcterms:created xsi:type="dcterms:W3CDTF">2024-02-28T21:01:36Z</dcterms:created>
  <dcterms:modified xsi:type="dcterms:W3CDTF">2024-02-28T21:01:36Z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p-location">
    <vt:lpwstr>margin</vt:lpwstr>
  </property>
  <property fmtid="{D5CDD505-2E9C-101B-9397-08002B2CF9AE}" pid="6" name="date">
    <vt:lpwstr>2024-02-27</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venv</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