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测试策略输出</w:t>
      </w:r>
    </w:p>
    <w:p>
      <w:r>
        <w:t xml:space="preserve"/>
      </w:r>
    </w:p>
    <w:p>
      <w:r>
        <w:t xml:space="preserve">策略标题: 测试策略模板（示例）</w:t>
      </w:r>
    </w:p>
    <w:p>
      <w:r>
        <w:t xml:space="preserve">质量目标: </w:t>
      </w:r>
    </w:p>
    <w:p>
      <w:r>
        <w:t xml:space="preserve">范围_包含: </w:t>
      </w:r>
    </w:p>
    <w:p>
      <w:r>
        <w:t xml:space="preserve">范围_不包含: </w:t>
      </w:r>
    </w:p>
    <w:p>
      <w:r>
        <w:t xml:space="preserve">测试类型与覆盖: </w:t>
      </w:r>
    </w:p>
    <w:p>
      <w:r>
        <w:t xml:space="preserve">环境与工具: </w:t>
      </w:r>
    </w:p>
    <w:p>
      <w:r>
        <w:t xml:space="preserve">测试数据策略: </w:t>
      </w:r>
    </w:p>
    <w:p>
      <w:r>
        <w:t xml:space="preserve">准入准出标准: </w:t>
      </w:r>
    </w:p>
    <w:p>
      <w:r>
        <w:t xml:space="preserve">风险与缓解: </w:t>
      </w:r>
    </w:p>
    <w:p>
      <w:r>
        <w:t xml:space="preserve">里程碑与角色: </w:t>
      </w:r>
    </w:p>
    <w:p>
      <w:r>
        <w:t xml:space="preserve">交付物与度量: </w:t>
      </w:r>
    </w:p>
    <w:sectPr>
      <w:pgSz w:w="11906" w:h="16838"/>
      <w:pgMar w:top="1440" w:right="1440" w:bottom="1440" w:left="1440" w:header="708" w:footer="708" w:gutter="0"/>
    </w:sectPr>
  </w:body>
</w:document>
</file>