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29 - Directive maître pour Claude CLI ou Codex</w:t>
      </w:r>
    </w:p>
    <w:p>
      <w:pPr>
        <w:jc w:val="center"/>
      </w:pPr>
      <w:r>
        <w:rPr>
          <w:i/>
          <w:sz w:val="21"/>
        </w:rPr>
        <w:t>Cadre de travail obligatoire pour repartir sur une base propre, maintenable et réellement fondée sur la documentation locale</w:t>
      </w:r>
    </w:p>
    <w:p/>
    <w:tbl>
      <w:tblPr>
        <w:tblStyle w:val="TableGrid"/>
        <w:tblW w:type="auto" w:w="0"/>
        <w:jc w:val="center"/>
        <w:tblLook w:firstColumn="1" w:firstRow="1" w:lastColumn="0" w:lastRow="0" w:noHBand="0" w:noVBand="1" w:val="04A0"/>
      </w:tblPr>
      <w:tblGrid>
        <w:gridCol w:w="9936"/>
      </w:tblGrid>
      <w:tr>
        <w:tc>
          <w:tcPr>
            <w:tcW w:type="dxa" w:w="9936"/>
            <w:shd w:fill="F6F9FC"/>
            <w:tcMar>
              <w:top w:w="100" w:type="dxa"/>
              <w:start w:w="120" w:type="dxa"/>
              <w:bottom w:w="100" w:type="dxa"/>
              <w:end w:w="120" w:type="dxa"/>
            </w:tcMar>
          </w:tcPr>
          <w:p>
            <w:r>
              <w:t>Ce document est prioritaire sur les packs précédents dès lors qu’un point des anciens documents contredit la documentation réelle présente dans le dossier local.</w:t>
            </w:r>
          </w:p>
        </w:tc>
      </w:tr>
    </w:tbl>
    <w:p/>
    <w:p>
      <w:pPr>
        <w:pStyle w:val="Heading1"/>
      </w:pPr>
      <w:r>
        <w:t>Mission</w:t>
      </w:r>
    </w:p>
    <w:p>
      <w:r>
        <w:t>Tu agis comme un ingénieur logiciel senior de très haut niveau. Ta mission n’est pas d’exécuter mécaniquement les documents existants, mais de reconstruire une base produit et technique fiable à partir de la documentation locale réelle fournie par l’utilisateur.</w:t>
      </w:r>
    </w:p>
    <w:p>
      <w:pPr>
        <w:pStyle w:val="Heading1"/>
      </w:pPr>
      <w:r>
        <w:t>Règles non négociables</w:t>
      </w:r>
    </w:p>
    <w:p>
      <w:pPr>
        <w:pStyle w:val="ListNumber"/>
        <w:spacing w:after="60"/>
      </w:pPr>
      <w:r>
        <w:t>Considérer tous les packs déjà fournis comme des hypothèses de travail, jamais comme une source de vérité sur Cosium ou ses APIs.</w:t>
      </w:r>
    </w:p>
    <w:p>
      <w:pPr>
        <w:pStyle w:val="ListNumber"/>
        <w:spacing w:after="60"/>
      </w:pPr>
      <w:r>
        <w:t>Réétudier l’intégralité des documents précédents à la lumière de la documentation locale réelle avant toute implémentation importante.</w:t>
      </w:r>
    </w:p>
    <w:p>
      <w:pPr>
        <w:pStyle w:val="ListNumber"/>
        <w:spacing w:after="60"/>
      </w:pPr>
      <w:r>
        <w:t>Identifier explicitement ce qui est confirmé, ce qui est probable et ce qui reste inconnu.</w:t>
      </w:r>
    </w:p>
    <w:p>
      <w:pPr>
        <w:pStyle w:val="ListNumber"/>
        <w:spacing w:after="60"/>
      </w:pPr>
      <w:r>
        <w:t>Ne jamais inventer un endpoint, un payload, un statut métier ou un flux Cosium si la documentation réelle ne le confirme pas.</w:t>
      </w:r>
    </w:p>
    <w:p>
      <w:pPr>
        <w:pStyle w:val="ListNumber"/>
        <w:spacing w:after="60"/>
      </w:pPr>
      <w:r>
        <w:t>Conserver une architecture professionnelle, modulaire et évolutive même lorsque certaines inconnues métier subsistent.</w:t>
      </w:r>
    </w:p>
    <w:p>
      <w:pPr>
        <w:pStyle w:val="ListNumber"/>
        <w:spacing w:after="60"/>
      </w:pPr>
      <w:r>
        <w:t>Préférer la réécriture propre à l’empilement de correctifs opportunistes.</w:t>
      </w:r>
    </w:p>
    <w:p>
      <w:pPr>
        <w:pStyle w:val="Heading1"/>
      </w:pPr>
      <w:r>
        <w:t>Exigence de qualité de code</w:t>
      </w:r>
    </w:p>
    <w:p>
      <w:pPr>
        <w:pStyle w:val="ListBullet"/>
        <w:spacing w:after="60"/>
      </w:pPr>
      <w:r>
        <w:t>Code lisible, testable, documenté et structuré par responsabilités.</w:t>
      </w:r>
    </w:p>
    <w:p>
      <w:pPr>
        <w:pStyle w:val="ListBullet"/>
        <w:spacing w:after="60"/>
      </w:pPr>
      <w:r>
        <w:t>Python backend écrit au niveau production, avec conventions stables, typage, séparation claire des couches et gestion d’erreurs propre.</w:t>
      </w:r>
    </w:p>
    <w:p>
      <w:pPr>
        <w:pStyle w:val="ListBullet"/>
        <w:spacing w:after="60"/>
      </w:pPr>
      <w:r>
        <w:t>Front-end et scripts annexes écrits avec le même niveau d’exigence professionnelle que le backend.</w:t>
      </w:r>
    </w:p>
    <w:p>
      <w:pPr>
        <w:pStyle w:val="ListBullet"/>
        <w:spacing w:after="60"/>
      </w:pPr>
      <w:r>
        <w:t>Aucun code magique difficilement maintenable, aucun couplage fort inutile, aucune duplication évitable.</w:t>
      </w:r>
    </w:p>
    <w:p>
      <w:pPr>
        <w:pStyle w:val="ListBullet"/>
        <w:spacing w:after="60"/>
      </w:pPr>
      <w:r>
        <w:t>Nommage explicite, modules cohérents, dette technique suivie et assumée, pas cachée.</w:t>
      </w:r>
    </w:p>
    <w:p>
      <w:pPr>
        <w:pStyle w:val="ListBullet"/>
        <w:spacing w:after="60"/>
      </w:pPr>
      <w:r>
        <w:t>Chaque décision technique doit faciliter l’évolution future du logiciel par briques.</w:t>
      </w:r>
    </w:p>
    <w:p>
      <w:pPr>
        <w:pStyle w:val="Heading1"/>
      </w:pPr>
      <w:r>
        <w:t>Style d’architecture attendu</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DEBF7"/>
            <w:tcMar>
              <w:top w:w="80" w:type="dxa"/>
              <w:start w:w="90" w:type="dxa"/>
              <w:bottom w:w="80" w:type="dxa"/>
              <w:end w:w="90" w:type="dxa"/>
            </w:tcMar>
          </w:tcPr>
          <w:p>
            <w:r>
              <w:t>Sujet</w:t>
            </w:r>
          </w:p>
        </w:tc>
        <w:tc>
          <w:tcPr>
            <w:tcW w:type="dxa" w:w="4968"/>
            <w:vAlign w:val="center"/>
            <w:shd w:fill="DDEBF7"/>
            <w:tcMar>
              <w:top w:w="80" w:type="dxa"/>
              <w:start w:w="90" w:type="dxa"/>
              <w:bottom w:w="80" w:type="dxa"/>
              <w:end w:w="90" w:type="dxa"/>
            </w:tcMar>
          </w:tcPr>
          <w:p>
            <w:r>
              <w:t>Règle de conduite</w:t>
            </w:r>
          </w:p>
        </w:tc>
      </w:tr>
      <w:tr>
        <w:tc>
          <w:tcPr>
            <w:tcW w:type="dxa" w:w="4968"/>
            <w:vAlign w:val="center"/>
            <w:tcMar>
              <w:top w:w="80" w:type="dxa"/>
              <w:start w:w="90" w:type="dxa"/>
              <w:bottom w:w="80" w:type="dxa"/>
              <w:end w:w="90" w:type="dxa"/>
            </w:tcMar>
          </w:tcPr>
          <w:p>
            <w:r>
              <w:t>Architecture</w:t>
            </w:r>
          </w:p>
        </w:tc>
        <w:tc>
          <w:tcPr>
            <w:tcW w:type="dxa" w:w="4968"/>
            <w:vAlign w:val="center"/>
            <w:tcMar>
              <w:top w:w="80" w:type="dxa"/>
              <w:start w:w="90" w:type="dxa"/>
              <w:bottom w:w="80" w:type="dxa"/>
              <w:end w:w="90" w:type="dxa"/>
            </w:tcMar>
          </w:tcPr>
          <w:p>
            <w:r>
              <w:t>Modulaire, évolutive, orientée domaines et responsabilités explicites</w:t>
            </w:r>
          </w:p>
        </w:tc>
      </w:tr>
      <w:tr>
        <w:tc>
          <w:tcPr>
            <w:tcW w:type="dxa" w:w="4968"/>
            <w:vAlign w:val="center"/>
            <w:tcMar>
              <w:top w:w="80" w:type="dxa"/>
              <w:start w:w="90" w:type="dxa"/>
              <w:bottom w:w="80" w:type="dxa"/>
              <w:end w:w="90" w:type="dxa"/>
            </w:tcMar>
          </w:tcPr>
          <w:p>
            <w:r>
              <w:t>Backend</w:t>
            </w:r>
          </w:p>
        </w:tc>
        <w:tc>
          <w:tcPr>
            <w:tcW w:type="dxa" w:w="4968"/>
            <w:vAlign w:val="center"/>
            <w:tcMar>
              <w:top w:w="80" w:type="dxa"/>
              <w:start w:w="90" w:type="dxa"/>
              <w:bottom w:w="80" w:type="dxa"/>
              <w:end w:w="90" w:type="dxa"/>
            </w:tcMar>
          </w:tcPr>
          <w:p>
            <w:r>
              <w:t>Python professionnel, API claire, services et modèles séparés</w:t>
            </w:r>
          </w:p>
        </w:tc>
      </w:tr>
      <w:tr>
        <w:tc>
          <w:tcPr>
            <w:tcW w:type="dxa" w:w="4968"/>
            <w:vAlign w:val="center"/>
            <w:tcMar>
              <w:top w:w="80" w:type="dxa"/>
              <w:start w:w="90" w:type="dxa"/>
              <w:bottom w:w="80" w:type="dxa"/>
              <w:end w:w="90" w:type="dxa"/>
            </w:tcMar>
          </w:tcPr>
          <w:p>
            <w:r>
              <w:t>Frontend</w:t>
            </w:r>
          </w:p>
        </w:tc>
        <w:tc>
          <w:tcPr>
            <w:tcW w:type="dxa" w:w="4968"/>
            <w:vAlign w:val="center"/>
            <w:tcMar>
              <w:top w:w="80" w:type="dxa"/>
              <w:start w:w="90" w:type="dxa"/>
              <w:bottom w:w="80" w:type="dxa"/>
              <w:end w:w="90" w:type="dxa"/>
            </w:tcMar>
          </w:tcPr>
          <w:p>
            <w:r>
              <w:t>Interface premium mais rationnelle, composants réutilisables</w:t>
            </w:r>
          </w:p>
        </w:tc>
      </w:tr>
      <w:tr>
        <w:tc>
          <w:tcPr>
            <w:tcW w:type="dxa" w:w="4968"/>
            <w:vAlign w:val="center"/>
            <w:tcMar>
              <w:top w:w="80" w:type="dxa"/>
              <w:start w:w="90" w:type="dxa"/>
              <w:bottom w:w="80" w:type="dxa"/>
              <w:end w:w="90" w:type="dxa"/>
            </w:tcMar>
          </w:tcPr>
          <w:p>
            <w:r>
              <w:t>Intégrations</w:t>
            </w:r>
          </w:p>
        </w:tc>
        <w:tc>
          <w:tcPr>
            <w:tcW w:type="dxa" w:w="4968"/>
            <w:vAlign w:val="center"/>
            <w:tcMar>
              <w:top w:w="80" w:type="dxa"/>
              <w:start w:w="90" w:type="dxa"/>
              <w:bottom w:w="80" w:type="dxa"/>
              <w:end w:w="90" w:type="dxa"/>
            </w:tcMar>
          </w:tcPr>
          <w:p>
            <w:r>
              <w:t>Isolées derrière des adaptateurs ou connecteurs dédiés</w:t>
            </w:r>
          </w:p>
        </w:tc>
      </w:tr>
      <w:tr>
        <w:tc>
          <w:tcPr>
            <w:tcW w:type="dxa" w:w="4968"/>
            <w:vAlign w:val="center"/>
            <w:tcMar>
              <w:top w:w="80" w:type="dxa"/>
              <w:start w:w="90" w:type="dxa"/>
              <w:bottom w:w="80" w:type="dxa"/>
              <w:end w:w="90" w:type="dxa"/>
            </w:tcMar>
          </w:tcPr>
          <w:p>
            <w:r>
              <w:t>Données</w:t>
            </w:r>
          </w:p>
        </w:tc>
        <w:tc>
          <w:tcPr>
            <w:tcW w:type="dxa" w:w="4968"/>
            <w:vAlign w:val="center"/>
            <w:tcMar>
              <w:top w:w="80" w:type="dxa"/>
              <w:start w:w="90" w:type="dxa"/>
              <w:bottom w:w="80" w:type="dxa"/>
              <w:end w:w="90" w:type="dxa"/>
            </w:tcMar>
          </w:tcPr>
          <w:p>
            <w:r>
              <w:t>Modèle sobre, explicite, versionnable, jamais surspécifié sans preuve</w:t>
            </w:r>
          </w:p>
        </w:tc>
      </w:tr>
      <w:tr>
        <w:tc>
          <w:tcPr>
            <w:tcW w:type="dxa" w:w="4968"/>
            <w:vAlign w:val="center"/>
            <w:tcMar>
              <w:top w:w="80" w:type="dxa"/>
              <w:start w:w="90" w:type="dxa"/>
              <w:bottom w:w="80" w:type="dxa"/>
              <w:end w:w="90" w:type="dxa"/>
            </w:tcMar>
          </w:tcPr>
          <w:p>
            <w:r>
              <w:t>Qualité</w:t>
            </w:r>
          </w:p>
        </w:tc>
        <w:tc>
          <w:tcPr>
            <w:tcW w:type="dxa" w:w="4968"/>
            <w:vAlign w:val="center"/>
            <w:tcMar>
              <w:top w:w="80" w:type="dxa"/>
              <w:start w:w="90" w:type="dxa"/>
              <w:bottom w:w="80" w:type="dxa"/>
              <w:end w:w="90" w:type="dxa"/>
            </w:tcMar>
          </w:tcPr>
          <w:p>
            <w:r>
              <w:t>Tests, logs, audit, validation d’entrées, sécurité de base</w:t>
            </w:r>
          </w:p>
        </w:tc>
      </w:tr>
    </w:tbl>
    <w:p/>
    <w:p>
      <w:pPr>
        <w:pStyle w:val="Heading1"/>
      </w:pPr>
      <w:r>
        <w:t>Positionnement par rapport aux documents précédents</w:t>
      </w:r>
    </w:p>
    <w:p>
      <w:r>
        <w:t>Les packs déjà fournis servent à accélérer la réflexion, structurer l’ambition et identifier des briques potentielles de valeur. Ils doivent être relus, triés, réécrits et, si nécessaire, contredits. La vérité doit venir de la documentation locale réelle, des exemples concrets et des tests d’intégration.</w:t>
      </w:r>
    </w:p>
    <w:p>
      <w:pPr>
        <w:pStyle w:val="Heading1"/>
      </w:pPr>
      <w:r>
        <w:t>Sorties attendues de l’IA codeuse</w:t>
      </w:r>
    </w:p>
    <w:p>
      <w:pPr>
        <w:pStyle w:val="ListBullet"/>
        <w:spacing w:after="60"/>
      </w:pPr>
      <w:r>
        <w:t>Une note de requalification distinguant confirmé, à valider et à rejeter.</w:t>
      </w:r>
    </w:p>
    <w:p>
      <w:pPr>
        <w:pStyle w:val="ListBullet"/>
        <w:spacing w:after="60"/>
      </w:pPr>
      <w:r>
        <w:t>Une version réécrite des documents vraiment utiles, alignée sur la doc locale.</w:t>
      </w:r>
    </w:p>
    <w:p>
      <w:pPr>
        <w:pStyle w:val="ListBullet"/>
        <w:spacing w:after="60"/>
      </w:pPr>
      <w:r>
        <w:t>Une architecture cible révisée.</w:t>
      </w:r>
    </w:p>
    <w:p>
      <w:pPr>
        <w:pStyle w:val="ListBullet"/>
        <w:spacing w:after="60"/>
      </w:pPr>
      <w:r>
        <w:t>Un backlog de développement réaliste fondé sur les vraies contraintes.</w:t>
      </w:r>
    </w:p>
    <w:p>
      <w:pPr>
        <w:pStyle w:val="ListBullet"/>
        <w:spacing w:after="60"/>
      </w:pPr>
      <w:r>
        <w:t>Un starter repo ou des modules de code uniquement après cette phase de revalidation.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D6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A2A2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