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30 - Protocole de requalification des packs existants</w:t>
      </w:r>
    </w:p>
    <w:p>
      <w:pPr>
        <w:jc w:val="center"/>
      </w:pPr>
      <w:r>
        <w:rPr>
          <w:i/>
          <w:sz w:val="21"/>
        </w:rPr>
        <w:t>Méthode de tri, de validation et de réécriture à appliquer avant de coder sérieusement</w:t>
      </w:r>
    </w:p>
    <w:p/>
    <w:tbl>
      <w:tblPr>
        <w:tblStyle w:val="TableGrid"/>
        <w:tblW w:type="auto" w:w="0"/>
        <w:jc w:val="center"/>
        <w:tblLook w:firstColumn="1" w:firstRow="1" w:lastColumn="0" w:lastRow="0" w:noHBand="0" w:noVBand="1" w:val="04A0"/>
      </w:tblPr>
      <w:tblGrid>
        <w:gridCol w:w="9936"/>
      </w:tblGrid>
      <w:tr>
        <w:tc>
          <w:tcPr>
            <w:tcW w:type="dxa" w:w="9936"/>
            <w:shd w:fill="F6F9FC"/>
            <w:tcMar>
              <w:top w:w="100" w:type="dxa"/>
              <w:start w:w="120" w:type="dxa"/>
              <w:bottom w:w="100" w:type="dxa"/>
              <w:end w:w="120" w:type="dxa"/>
            </w:tcMar>
          </w:tcPr>
          <w:p>
            <w:r>
              <w:t>Objectif : empêcher que des hypothèses séduisantes mais non fondées deviennent des spécifications ou du code durable.</w:t>
            </w:r>
          </w:p>
        </w:tc>
      </w:tr>
    </w:tbl>
    <w:p/>
    <w:p>
      <w:pPr>
        <w:pStyle w:val="Heading1"/>
      </w:pPr>
      <w:r>
        <w:t>Étapes obligatoires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DEBF7"/>
            <w:tcMar>
              <w:top w:w="80" w:type="dxa"/>
              <w:start w:w="90" w:type="dxa"/>
              <w:bottom w:w="80" w:type="dxa"/>
              <w:end w:w="90" w:type="dxa"/>
            </w:tcMar>
          </w:tcPr>
          <w:p>
            <w:r>
              <w:t>Étape</w:t>
            </w:r>
          </w:p>
        </w:tc>
        <w:tc>
          <w:tcPr>
            <w:tcW w:type="dxa" w:w="3312"/>
            <w:vAlign w:val="center"/>
            <w:shd w:fill="DDEBF7"/>
            <w:tcMar>
              <w:top w:w="80" w:type="dxa"/>
              <w:start w:w="90" w:type="dxa"/>
              <w:bottom w:w="80" w:type="dxa"/>
              <w:end w:w="90" w:type="dxa"/>
            </w:tcMar>
          </w:tcPr>
          <w:p>
            <w:r>
              <w:t>But</w:t>
            </w:r>
          </w:p>
        </w:tc>
        <w:tc>
          <w:tcPr>
            <w:tcW w:type="dxa" w:w="3312"/>
            <w:vAlign w:val="center"/>
            <w:shd w:fill="DDEBF7"/>
            <w:tcMar>
              <w:top w:w="80" w:type="dxa"/>
              <w:start w:w="90" w:type="dxa"/>
              <w:bottom w:w="80" w:type="dxa"/>
              <w:end w:w="90" w:type="dxa"/>
            </w:tcMar>
          </w:tcPr>
          <w:p>
            <w:r>
              <w:t>Livrable</w:t>
            </w:r>
          </w:p>
        </w:tc>
      </w:tr>
      <w:tr>
        <w:tc>
          <w:tcPr>
            <w:tcW w:type="dxa" w:w="3312"/>
            <w:vAlign w:val="center"/>
            <w:tcMar>
              <w:top w:w="80" w:type="dxa"/>
              <w:start w:w="90" w:type="dxa"/>
              <w:bottom w:w="80" w:type="dxa"/>
              <w:end w:w="90" w:type="dxa"/>
            </w:tcMar>
          </w:tcPr>
          <w:p>
            <w:r>
              <w:t>1. Inventaire</w:t>
            </w:r>
          </w:p>
        </w:tc>
        <w:tc>
          <w:tcPr>
            <w:tcW w:type="dxa" w:w="3312"/>
            <w:vAlign w:val="center"/>
            <w:tcMar>
              <w:top w:w="80" w:type="dxa"/>
              <w:start w:w="90" w:type="dxa"/>
              <w:bottom w:w="80" w:type="dxa"/>
              <w:end w:w="90" w:type="dxa"/>
            </w:tcMar>
          </w:tcPr>
          <w:p>
            <w:r>
              <w:t>Lister toute la doc locale et les anciens packs</w:t>
            </w:r>
          </w:p>
        </w:tc>
        <w:tc>
          <w:tcPr>
            <w:tcW w:type="dxa" w:w="3312"/>
            <w:vAlign w:val="center"/>
            <w:tcMar>
              <w:top w:w="80" w:type="dxa"/>
              <w:start w:w="90" w:type="dxa"/>
              <w:bottom w:w="80" w:type="dxa"/>
              <w:end w:w="90" w:type="dxa"/>
            </w:tcMar>
          </w:tcPr>
          <w:p>
            <w:r>
              <w:t>Index des sources</w:t>
            </w:r>
          </w:p>
        </w:tc>
      </w:tr>
      <w:tr>
        <w:tc>
          <w:tcPr>
            <w:tcW w:type="dxa" w:w="3312"/>
            <w:vAlign w:val="center"/>
            <w:tcMar>
              <w:top w:w="80" w:type="dxa"/>
              <w:start w:w="90" w:type="dxa"/>
              <w:bottom w:w="80" w:type="dxa"/>
              <w:end w:w="90" w:type="dxa"/>
            </w:tcMar>
          </w:tcPr>
          <w:p>
            <w:r>
              <w:t>2. Extraction</w:t>
            </w:r>
          </w:p>
        </w:tc>
        <w:tc>
          <w:tcPr>
            <w:tcW w:type="dxa" w:w="3312"/>
            <w:vAlign w:val="center"/>
            <w:tcMar>
              <w:top w:w="80" w:type="dxa"/>
              <w:start w:w="90" w:type="dxa"/>
              <w:bottom w:w="80" w:type="dxa"/>
              <w:end w:w="90" w:type="dxa"/>
            </w:tcMar>
          </w:tcPr>
          <w:p>
            <w:r>
              <w:t>Repérer objets métier, flux, écrans, champs, APIs, statuts</w:t>
            </w:r>
          </w:p>
        </w:tc>
        <w:tc>
          <w:tcPr>
            <w:tcW w:type="dxa" w:w="3312"/>
            <w:vAlign w:val="center"/>
            <w:tcMar>
              <w:top w:w="80" w:type="dxa"/>
              <w:start w:w="90" w:type="dxa"/>
              <w:bottom w:w="80" w:type="dxa"/>
              <w:end w:w="90" w:type="dxa"/>
            </w:tcMar>
          </w:tcPr>
          <w:p>
            <w:r>
              <w:t>Notes structurées</w:t>
            </w:r>
          </w:p>
        </w:tc>
      </w:tr>
      <w:tr>
        <w:tc>
          <w:tcPr>
            <w:tcW w:type="dxa" w:w="3312"/>
            <w:vAlign w:val="center"/>
            <w:tcMar>
              <w:top w:w="80" w:type="dxa"/>
              <w:start w:w="90" w:type="dxa"/>
              <w:bottom w:w="80" w:type="dxa"/>
              <w:end w:w="90" w:type="dxa"/>
            </w:tcMar>
          </w:tcPr>
          <w:p>
            <w:r>
              <w:t>3. Comparaison</w:t>
            </w:r>
          </w:p>
        </w:tc>
        <w:tc>
          <w:tcPr>
            <w:tcW w:type="dxa" w:w="3312"/>
            <w:vAlign w:val="center"/>
            <w:tcMar>
              <w:top w:w="80" w:type="dxa"/>
              <w:start w:w="90" w:type="dxa"/>
              <w:bottom w:w="80" w:type="dxa"/>
              <w:end w:w="90" w:type="dxa"/>
            </w:tcMar>
          </w:tcPr>
          <w:p>
            <w:r>
              <w:t>Comparer packs existants et documentation réelle</w:t>
            </w:r>
          </w:p>
        </w:tc>
        <w:tc>
          <w:tcPr>
            <w:tcW w:type="dxa" w:w="3312"/>
            <w:vAlign w:val="center"/>
            <w:tcMar>
              <w:top w:w="80" w:type="dxa"/>
              <w:start w:w="90" w:type="dxa"/>
              <w:bottom w:w="80" w:type="dxa"/>
              <w:end w:w="90" w:type="dxa"/>
            </w:tcMar>
          </w:tcPr>
          <w:p>
            <w:r>
              <w:t>Tableau des écarts</w:t>
            </w:r>
          </w:p>
        </w:tc>
      </w:tr>
      <w:tr>
        <w:tc>
          <w:tcPr>
            <w:tcW w:type="dxa" w:w="3312"/>
            <w:vAlign w:val="center"/>
            <w:tcMar>
              <w:top w:w="80" w:type="dxa"/>
              <w:start w:w="90" w:type="dxa"/>
              <w:bottom w:w="80" w:type="dxa"/>
              <w:end w:w="90" w:type="dxa"/>
            </w:tcMar>
          </w:tcPr>
          <w:p>
            <w:r>
              <w:t>4. Qualification</w:t>
            </w:r>
          </w:p>
        </w:tc>
        <w:tc>
          <w:tcPr>
            <w:tcW w:type="dxa" w:w="3312"/>
            <w:vAlign w:val="center"/>
            <w:tcMar>
              <w:top w:w="80" w:type="dxa"/>
              <w:start w:w="90" w:type="dxa"/>
              <w:bottom w:w="80" w:type="dxa"/>
              <w:end w:w="90" w:type="dxa"/>
            </w:tcMar>
          </w:tcPr>
          <w:p>
            <w:r>
              <w:t>Classer confirmé / probable / non prouvé / faux</w:t>
            </w:r>
          </w:p>
        </w:tc>
        <w:tc>
          <w:tcPr>
            <w:tcW w:type="dxa" w:w="3312"/>
            <w:vAlign w:val="center"/>
            <w:tcMar>
              <w:top w:w="80" w:type="dxa"/>
              <w:start w:w="90" w:type="dxa"/>
              <w:bottom w:w="80" w:type="dxa"/>
              <w:end w:w="90" w:type="dxa"/>
            </w:tcMar>
          </w:tcPr>
          <w:p>
            <w:r>
              <w:t>Matrice de confiance</w:t>
            </w:r>
          </w:p>
        </w:tc>
      </w:tr>
      <w:tr>
        <w:tc>
          <w:tcPr>
            <w:tcW w:type="dxa" w:w="3312"/>
            <w:vAlign w:val="center"/>
            <w:tcMar>
              <w:top w:w="80" w:type="dxa"/>
              <w:start w:w="90" w:type="dxa"/>
              <w:bottom w:w="80" w:type="dxa"/>
              <w:end w:w="90" w:type="dxa"/>
            </w:tcMar>
          </w:tcPr>
          <w:p>
            <w:r>
              <w:t>5. Réécriture</w:t>
            </w:r>
          </w:p>
        </w:tc>
        <w:tc>
          <w:tcPr>
            <w:tcW w:type="dxa" w:w="3312"/>
            <w:vAlign w:val="center"/>
            <w:tcMar>
              <w:top w:w="80" w:type="dxa"/>
              <w:start w:w="90" w:type="dxa"/>
              <w:bottom w:w="80" w:type="dxa"/>
              <w:end w:w="90" w:type="dxa"/>
            </w:tcMar>
          </w:tcPr>
          <w:p>
            <w:r>
              <w:t>Réécrire les docs utiles sur base réelle</w:t>
            </w:r>
          </w:p>
        </w:tc>
        <w:tc>
          <w:tcPr>
            <w:tcW w:type="dxa" w:w="3312"/>
            <w:vAlign w:val="center"/>
            <w:tcMar>
              <w:top w:w="80" w:type="dxa"/>
              <w:start w:w="90" w:type="dxa"/>
              <w:bottom w:w="80" w:type="dxa"/>
              <w:end w:w="90" w:type="dxa"/>
            </w:tcMar>
          </w:tcPr>
          <w:p>
            <w:r>
              <w:t>Nouveaux documents de référence</w:t>
            </w:r>
          </w:p>
        </w:tc>
      </w:tr>
      <w:tr>
        <w:tc>
          <w:tcPr>
            <w:tcW w:type="dxa" w:w="3312"/>
            <w:vAlign w:val="center"/>
            <w:tcMar>
              <w:top w:w="80" w:type="dxa"/>
              <w:start w:w="90" w:type="dxa"/>
              <w:bottom w:w="80" w:type="dxa"/>
              <w:end w:w="90" w:type="dxa"/>
            </w:tcMar>
          </w:tcPr>
          <w:p>
            <w:r>
              <w:t>6. Priorisation</w:t>
            </w:r>
          </w:p>
        </w:tc>
        <w:tc>
          <w:tcPr>
            <w:tcW w:type="dxa" w:w="3312"/>
            <w:vAlign w:val="center"/>
            <w:tcMar>
              <w:top w:w="80" w:type="dxa"/>
              <w:start w:w="90" w:type="dxa"/>
              <w:bottom w:w="80" w:type="dxa"/>
              <w:end w:w="90" w:type="dxa"/>
            </w:tcMar>
          </w:tcPr>
          <w:p>
            <w:r>
              <w:t>Choisir ce qui mérite d’être codé maintenant</w:t>
            </w:r>
          </w:p>
        </w:tc>
        <w:tc>
          <w:tcPr>
            <w:tcW w:type="dxa" w:w="3312"/>
            <w:vAlign w:val="center"/>
            <w:tcMar>
              <w:top w:w="80" w:type="dxa"/>
              <w:start w:w="90" w:type="dxa"/>
              <w:bottom w:w="80" w:type="dxa"/>
              <w:end w:w="90" w:type="dxa"/>
            </w:tcMar>
          </w:tcPr>
          <w:p>
            <w:r>
              <w:t>Backlog révisé</w:t>
            </w:r>
          </w:p>
        </w:tc>
      </w:tr>
    </w:tbl>
    <w:p/>
    <w:p>
      <w:pPr>
        <w:pStyle w:val="Heading1"/>
      </w:pPr>
      <w:r>
        <w:t>Grille de qualification recommandée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DEBF7"/>
            <w:tcMar>
              <w:top w:w="80" w:type="dxa"/>
              <w:start w:w="90" w:type="dxa"/>
              <w:bottom w:w="80" w:type="dxa"/>
              <w:end w:w="90" w:type="dxa"/>
            </w:tcMar>
          </w:tcPr>
          <w:p>
            <w:r>
              <w:t>Niveau</w:t>
            </w:r>
          </w:p>
        </w:tc>
        <w:tc>
          <w:tcPr>
            <w:tcW w:type="dxa" w:w="3312"/>
            <w:vAlign w:val="center"/>
            <w:shd w:fill="DDEBF7"/>
            <w:tcMar>
              <w:top w:w="80" w:type="dxa"/>
              <w:start w:w="90" w:type="dxa"/>
              <w:bottom w:w="80" w:type="dxa"/>
              <w:end w:w="90" w:type="dxa"/>
            </w:tcMar>
          </w:tcPr>
          <w:p>
            <w:r>
              <w:t>Définition</w:t>
            </w:r>
          </w:p>
        </w:tc>
        <w:tc>
          <w:tcPr>
            <w:tcW w:type="dxa" w:w="3312"/>
            <w:vAlign w:val="center"/>
            <w:shd w:fill="DDEBF7"/>
            <w:tcMar>
              <w:top w:w="80" w:type="dxa"/>
              <w:start w:w="90" w:type="dxa"/>
              <w:bottom w:w="80" w:type="dxa"/>
              <w:end w:w="90" w:type="dxa"/>
            </w:tcMar>
          </w:tcPr>
          <w:p>
            <w:r>
              <w:t>Usage autorisé</w:t>
            </w:r>
          </w:p>
        </w:tc>
      </w:tr>
      <w:tr>
        <w:tc>
          <w:tcPr>
            <w:tcW w:type="dxa" w:w="3312"/>
            <w:vAlign w:val="center"/>
            <w:tcMar>
              <w:top w:w="80" w:type="dxa"/>
              <w:start w:w="90" w:type="dxa"/>
              <w:bottom w:w="80" w:type="dxa"/>
              <w:end w:w="90" w:type="dxa"/>
            </w:tcMar>
          </w:tcPr>
          <w:p>
            <w:r>
              <w:t>Confirmé</w:t>
            </w:r>
          </w:p>
        </w:tc>
        <w:tc>
          <w:tcPr>
            <w:tcW w:type="dxa" w:w="3312"/>
            <w:vAlign w:val="center"/>
            <w:tcMar>
              <w:top w:w="80" w:type="dxa"/>
              <w:start w:w="90" w:type="dxa"/>
              <w:bottom w:w="80" w:type="dxa"/>
              <w:end w:w="90" w:type="dxa"/>
            </w:tcMar>
          </w:tcPr>
          <w:p>
            <w:r>
              <w:t>Documenté clairement dans les sources locales</w:t>
            </w:r>
          </w:p>
        </w:tc>
        <w:tc>
          <w:tcPr>
            <w:tcW w:type="dxa" w:w="3312"/>
            <w:vAlign w:val="center"/>
            <w:tcMar>
              <w:top w:w="80" w:type="dxa"/>
              <w:start w:w="90" w:type="dxa"/>
              <w:bottom w:w="80" w:type="dxa"/>
              <w:end w:w="90" w:type="dxa"/>
            </w:tcMar>
          </w:tcPr>
          <w:p>
            <w:r>
              <w:t>Peut servir de base de spécification</w:t>
            </w:r>
          </w:p>
        </w:tc>
      </w:tr>
      <w:tr>
        <w:tc>
          <w:tcPr>
            <w:tcW w:type="dxa" w:w="3312"/>
            <w:vAlign w:val="center"/>
            <w:tcMar>
              <w:top w:w="80" w:type="dxa"/>
              <w:start w:w="90" w:type="dxa"/>
              <w:bottom w:w="80" w:type="dxa"/>
              <w:end w:w="90" w:type="dxa"/>
            </w:tcMar>
          </w:tcPr>
          <w:p>
            <w:r>
              <w:t>Probable</w:t>
            </w:r>
          </w:p>
        </w:tc>
        <w:tc>
          <w:tcPr>
            <w:tcW w:type="dxa" w:w="3312"/>
            <w:vAlign w:val="center"/>
            <w:tcMar>
              <w:top w:w="80" w:type="dxa"/>
              <w:start w:w="90" w:type="dxa"/>
              <w:bottom w:w="80" w:type="dxa"/>
              <w:end w:w="90" w:type="dxa"/>
            </w:tcMar>
          </w:tcPr>
          <w:p>
            <w:r>
              <w:t>Très suggéré mais pas complètement démontré</w:t>
            </w:r>
          </w:p>
        </w:tc>
        <w:tc>
          <w:tcPr>
            <w:tcW w:type="dxa" w:w="3312"/>
            <w:vAlign w:val="center"/>
            <w:tcMar>
              <w:top w:w="80" w:type="dxa"/>
              <w:start w:w="90" w:type="dxa"/>
              <w:bottom w:w="80" w:type="dxa"/>
              <w:end w:w="90" w:type="dxa"/>
            </w:tcMar>
          </w:tcPr>
          <w:p>
            <w:r>
              <w:t>Peut orienter, pas figer</w:t>
            </w:r>
          </w:p>
        </w:tc>
      </w:tr>
      <w:tr>
        <w:tc>
          <w:tcPr>
            <w:tcW w:type="dxa" w:w="3312"/>
            <w:vAlign w:val="center"/>
            <w:tcMar>
              <w:top w:w="80" w:type="dxa"/>
              <w:start w:w="90" w:type="dxa"/>
              <w:bottom w:w="80" w:type="dxa"/>
              <w:end w:w="90" w:type="dxa"/>
            </w:tcMar>
          </w:tcPr>
          <w:p>
            <w:r>
              <w:t>Inconnu</w:t>
            </w:r>
          </w:p>
        </w:tc>
        <w:tc>
          <w:tcPr>
            <w:tcW w:type="dxa" w:w="3312"/>
            <w:vAlign w:val="center"/>
            <w:tcMar>
              <w:top w:w="80" w:type="dxa"/>
              <w:start w:w="90" w:type="dxa"/>
              <w:bottom w:w="80" w:type="dxa"/>
              <w:end w:w="90" w:type="dxa"/>
            </w:tcMar>
          </w:tcPr>
          <w:p>
            <w:r>
              <w:t>Absence d’information ou ambiguïté réelle</w:t>
            </w:r>
          </w:p>
        </w:tc>
        <w:tc>
          <w:tcPr>
            <w:tcW w:type="dxa" w:w="3312"/>
            <w:vAlign w:val="center"/>
            <w:tcMar>
              <w:top w:w="80" w:type="dxa"/>
              <w:start w:w="90" w:type="dxa"/>
              <w:bottom w:w="80" w:type="dxa"/>
              <w:end w:w="90" w:type="dxa"/>
            </w:tcMar>
          </w:tcPr>
          <w:p>
            <w:r>
              <w:t>Doit être explicitement signalé</w:t>
            </w:r>
          </w:p>
        </w:tc>
      </w:tr>
      <w:tr>
        <w:tc>
          <w:tcPr>
            <w:tcW w:type="dxa" w:w="3312"/>
            <w:vAlign w:val="center"/>
            <w:tcMar>
              <w:top w:w="80" w:type="dxa"/>
              <w:start w:w="90" w:type="dxa"/>
              <w:bottom w:w="80" w:type="dxa"/>
              <w:end w:w="90" w:type="dxa"/>
            </w:tcMar>
          </w:tcPr>
          <w:p>
            <w:r>
              <w:t>Invalide</w:t>
            </w:r>
          </w:p>
        </w:tc>
        <w:tc>
          <w:tcPr>
            <w:tcW w:type="dxa" w:w="3312"/>
            <w:vAlign w:val="center"/>
            <w:tcMar>
              <w:top w:w="80" w:type="dxa"/>
              <w:start w:w="90" w:type="dxa"/>
              <w:bottom w:w="80" w:type="dxa"/>
              <w:end w:w="90" w:type="dxa"/>
            </w:tcMar>
          </w:tcPr>
          <w:p>
            <w:r>
              <w:t>Contredit par la documentation réelle</w:t>
            </w:r>
          </w:p>
        </w:tc>
        <w:tc>
          <w:tcPr>
            <w:tcW w:type="dxa" w:w="3312"/>
            <w:vAlign w:val="center"/>
            <w:tcMar>
              <w:top w:w="80" w:type="dxa"/>
              <w:start w:w="90" w:type="dxa"/>
              <w:bottom w:w="80" w:type="dxa"/>
              <w:end w:w="90" w:type="dxa"/>
            </w:tcMar>
          </w:tcPr>
          <w:p>
            <w:r>
              <w:t>Doit être retiré des packs</w:t>
            </w:r>
          </w:p>
        </w:tc>
      </w:tr>
    </w:tbl>
    <w:p/>
    <w:p>
      <w:pPr>
        <w:pStyle w:val="Heading1"/>
      </w:pPr>
      <w:r>
        <w:t>Questions à traiter systématiquement</w:t>
      </w:r>
    </w:p>
    <w:p>
      <w:pPr>
        <w:pStyle w:val="ListBullet"/>
        <w:spacing w:after="60"/>
      </w:pPr>
      <w:r>
        <w:t>Quels modules des packs précédents restent pleinement pertinents ?</w:t>
      </w:r>
    </w:p>
    <w:p>
      <w:pPr>
        <w:pStyle w:val="ListBullet"/>
        <w:spacing w:after="60"/>
      </w:pPr>
      <w:r>
        <w:t>Quels éléments étaient utiles comme vision mais trop détaillés trop tôt ?</w:t>
      </w:r>
    </w:p>
    <w:p>
      <w:pPr>
        <w:pStyle w:val="ListBullet"/>
        <w:spacing w:after="60"/>
      </w:pPr>
      <w:r>
        <w:t>Quels flux dépendent directement de la réalité des APIs Cosium ?</w:t>
      </w:r>
    </w:p>
    <w:p>
      <w:pPr>
        <w:pStyle w:val="ListBullet"/>
        <w:spacing w:after="60"/>
      </w:pPr>
      <w:r>
        <w:t>Quels objets métier existent réellement dans la documentation ?</w:t>
      </w:r>
    </w:p>
    <w:p>
      <w:pPr>
        <w:pStyle w:val="ListBullet"/>
        <w:spacing w:after="60"/>
      </w:pPr>
      <w:r>
        <w:t>Quelles capacités documentaires, d’upload, de téléchargement ou de synchronisation sont effectivement prouvées ?</w:t>
      </w:r>
    </w:p>
    <w:p>
      <w:pPr>
        <w:pStyle w:val="ListBullet"/>
        <w:spacing w:after="60"/>
      </w:pPr>
      <w:r>
        <w:t>Quelles sont les limites connues, zones grises, prérequis d’authentification, contraintes de sécurité ou risques d’intégration ?</w:t>
      </w:r>
    </w:p>
    <w:p>
      <w:pPr>
        <w:pStyle w:val="Heading1"/>
      </w:pPr>
      <w:r>
        <w:t>Règle de réécriture</w:t>
      </w:r>
    </w:p>
    <w:p>
      <w:r>
        <w:t>Toute réécriture doit être plus courte, plus exacte et plus traçable que les versions précédentes. Un document réécrit doit indiquer clairement sa base de validation, ses hypothèses restantes et son niveau de confiance.</w:t>
      </w:r>
    </w:p>
    <w:p>
      <w:pPr>
        <w:pStyle w:val="Heading1"/>
      </w:pPr>
      <w:r>
        <w:t>Décision finale avant code</w:t>
      </w:r>
    </w:p>
    <w:p>
      <w:pPr>
        <w:pStyle w:val="ListNumber"/>
        <w:spacing w:after="60"/>
      </w:pPr>
      <w:r>
        <w:t>Ne coder que ce qui est confirmé ou raisonnablement isolable sans dépendre d’hypothèses fragiles.</w:t>
      </w:r>
    </w:p>
    <w:p>
      <w:pPr>
        <w:pStyle w:val="ListNumber"/>
        <w:spacing w:after="60"/>
      </w:pPr>
      <w:r>
        <w:t>Encapsuler les inconnues derrière des interfaces, adaptateurs ou modules provisoires.</w:t>
      </w:r>
    </w:p>
    <w:p>
      <w:pPr>
        <w:pStyle w:val="ListNumber"/>
        <w:spacing w:after="60"/>
      </w:pPr>
      <w:r>
        <w:t>Reporter tout ce qui dépend d’une documentation non confirmée tant que la validation n’est pas faite.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D6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A2A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