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31 - Charte de développement propre et évolutif</w:t>
      </w:r>
    </w:p>
    <w:p>
      <w:pPr>
        <w:jc w:val="center"/>
      </w:pPr>
      <w:r>
        <w:rPr>
          <w:i/>
          <w:sz w:val="21"/>
        </w:rPr>
        <w:t>Règles de code, d’organisation et de gouvernance technique pour construire une base durable</w:t>
      </w:r>
    </w:p>
    <w:p/>
    <w:p>
      <w:pPr>
        <w:pStyle w:val="Heading1"/>
      </w:pPr>
      <w:r>
        <w:t>Principes directeurs</w:t>
      </w:r>
    </w:p>
    <w:p>
      <w:pPr>
        <w:pStyle w:val="ListBullet"/>
        <w:spacing w:after="60"/>
      </w:pPr>
      <w:r>
        <w:t>Construire peu mais propre.</w:t>
      </w:r>
    </w:p>
    <w:p>
      <w:pPr>
        <w:pStyle w:val="ListBullet"/>
        <w:spacing w:after="60"/>
      </w:pPr>
      <w:r>
        <w:t>Rendre chaque module compréhensible sans dépendre de son auteur initial.</w:t>
      </w:r>
    </w:p>
    <w:p>
      <w:pPr>
        <w:pStyle w:val="ListBullet"/>
        <w:spacing w:after="60"/>
      </w:pPr>
      <w:r>
        <w:t>Préparer l’extension future sans sur-ingénierie prématurée.</w:t>
      </w:r>
    </w:p>
    <w:p>
      <w:pPr>
        <w:pStyle w:val="ListBullet"/>
        <w:spacing w:after="60"/>
      </w:pPr>
      <w:r>
        <w:t>Séparer le spécifique Cosium du coeur métier propre à l’activité.</w:t>
      </w:r>
    </w:p>
    <w:p>
      <w:pPr>
        <w:pStyle w:val="ListBullet"/>
        <w:spacing w:after="60"/>
      </w:pPr>
      <w:r>
        <w:t>Préserver la possibilité de changer une intégration sans casser tout le système.</w:t>
      </w:r>
    </w:p>
    <w:p>
      <w:pPr>
        <w:pStyle w:val="Heading1"/>
      </w:pPr>
      <w:r>
        <w:t>Règles backend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DEB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Sujet</w:t>
            </w:r>
          </w:p>
        </w:tc>
        <w:tc>
          <w:tcPr>
            <w:tcW w:type="dxa" w:w="4968"/>
            <w:vAlign w:val="center"/>
            <w:shd w:fill="DDEB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Exigence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Structure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Séparation routes, services, domaine, persistance, intégrations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Typage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Annotations partout où elles apportent de la clarté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Validation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Entrées validées explicitement, erreurs métier compréhensibles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Tests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Unitaires sur logique métier, intégration sur flux critiques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Journalisation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Logs utiles, non verbeux, exploitables pour diagnostic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Migrations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Versionnées, réversibles si possible, jamais bricolées à chaud</w:t>
            </w:r>
          </w:p>
        </w:tc>
      </w:tr>
    </w:tbl>
    <w:p/>
    <w:p>
      <w:pPr>
        <w:pStyle w:val="Heading1"/>
      </w:pPr>
      <w:r>
        <w:t>Règles front-end</w:t>
      </w:r>
    </w:p>
    <w:p>
      <w:pPr>
        <w:pStyle w:val="ListBullet"/>
        <w:spacing w:after="60"/>
      </w:pPr>
      <w:r>
        <w:t>Éviter les écrans lourds et confus ; priorité à l’action, aux alertes et à la lisibilité.</w:t>
      </w:r>
    </w:p>
    <w:p>
      <w:pPr>
        <w:pStyle w:val="ListBullet"/>
        <w:spacing w:after="60"/>
      </w:pPr>
      <w:r>
        <w:t>Créer des composants réutilisables et une structure d’interface cohérente.</w:t>
      </w:r>
    </w:p>
    <w:p>
      <w:pPr>
        <w:pStyle w:val="ListBullet"/>
        <w:spacing w:after="60"/>
      </w:pPr>
      <w:r>
        <w:t>Ne pas lier la logique métier profonde directement aux composants visuels.</w:t>
      </w:r>
    </w:p>
    <w:p>
      <w:pPr>
        <w:pStyle w:val="ListBullet"/>
        <w:spacing w:after="60"/>
      </w:pPr>
      <w:r>
        <w:t>Prévoir états vides, chargement, erreur, permissions et données partielles.</w:t>
      </w:r>
    </w:p>
    <w:p>
      <w:pPr>
        <w:pStyle w:val="Heading1"/>
      </w:pPr>
      <w:r>
        <w:t>Règles d’intégration</w:t>
      </w:r>
    </w:p>
    <w:p>
      <w:pPr>
        <w:pStyle w:val="ListBullet"/>
        <w:spacing w:after="60"/>
      </w:pPr>
      <w:r>
        <w:t>Chaque intégration externe doit avoir sa couche dédiée.</w:t>
      </w:r>
    </w:p>
    <w:p>
      <w:pPr>
        <w:pStyle w:val="ListBullet"/>
        <w:spacing w:after="60"/>
      </w:pPr>
      <w:r>
        <w:t>Les appels APIs doivent être centralisés, typés et journalisés.</w:t>
      </w:r>
    </w:p>
    <w:p>
      <w:pPr>
        <w:pStyle w:val="ListBullet"/>
        <w:spacing w:after="60"/>
      </w:pPr>
      <w:r>
        <w:t>Les transformations entre modèle externe et modèle interne doivent être explicites.</w:t>
      </w:r>
    </w:p>
    <w:p>
      <w:pPr>
        <w:pStyle w:val="ListBullet"/>
        <w:spacing w:after="60"/>
      </w:pPr>
      <w:r>
        <w:t>Les comportements incertains doivent être encapsulés et facilement remplaçables.</w:t>
      </w:r>
    </w:p>
    <w:p>
      <w:pPr>
        <w:pStyle w:val="Heading1"/>
      </w:pPr>
      <w:r>
        <w:t>Règles de livraison</w:t>
      </w:r>
    </w:p>
    <w:p>
      <w:pPr>
        <w:pStyle w:val="ListNumber"/>
        <w:spacing w:after="60"/>
      </w:pPr>
      <w:r>
        <w:t>Toujours commencer par relire le contexte produit et la documentation locale.</w:t>
      </w:r>
    </w:p>
    <w:p>
      <w:pPr>
        <w:pStyle w:val="ListNumber"/>
        <w:spacing w:after="60"/>
      </w:pPr>
      <w:r>
        <w:t>Avant chaque nouvelle brique, réévaluer si l’implémentation repose sur des faits ou sur des suppositions.</w:t>
      </w:r>
    </w:p>
    <w:p>
      <w:pPr>
        <w:pStyle w:val="ListNumber"/>
        <w:spacing w:after="60"/>
      </w:pPr>
      <w:r>
        <w:t>Documenter les arbitrages importants en quelques lignes.</w:t>
      </w:r>
    </w:p>
    <w:p>
      <w:pPr>
        <w:pStyle w:val="ListNumber"/>
        <w:spacing w:after="60"/>
      </w:pPr>
      <w:r>
        <w:t>Maintenir un backlog clair : utile maintenant, utile plus tard, bloqué par manque d’information.</w:t>
      </w:r>
    </w:p>
    <w:p>
      <w:pPr>
        <w:pStyle w:val="Heading1"/>
      </w:pPr>
      <w:r>
        <w:t>Ce qu’il faut éviter</w:t>
      </w:r>
    </w:p>
    <w:p>
      <w:pPr>
        <w:pStyle w:val="ListBullet"/>
        <w:spacing w:after="60"/>
      </w:pPr>
      <w:r>
        <w:t>Code généré rapidement mais impossible à reprendre.</w:t>
      </w:r>
    </w:p>
    <w:p>
      <w:pPr>
        <w:pStyle w:val="ListBullet"/>
        <w:spacing w:after="60"/>
      </w:pPr>
      <w:r>
        <w:t>Tables, endpoints ou objets inventés puis propagés partout.</w:t>
      </w:r>
    </w:p>
    <w:p>
      <w:pPr>
        <w:pStyle w:val="ListBullet"/>
        <w:spacing w:after="60"/>
      </w:pPr>
      <w:r>
        <w:t>Complexité prématurée pour anticiper des cas non prouvés.</w:t>
      </w:r>
    </w:p>
    <w:p>
      <w:pPr>
        <w:pStyle w:val="ListBullet"/>
        <w:spacing w:after="60"/>
      </w:pPr>
      <w:r>
        <w:t>Mélange du métier, de la technique et de l’intégration externe dans les mêmes modules.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D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A2A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