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32 - Synthèse réaliste du copilote Cosium</w:t>
      </w:r>
    </w:p>
    <w:p>
      <w:pPr>
        <w:jc w:val="center"/>
      </w:pPr>
      <w:r>
        <w:rPr>
          <w:i/>
          <w:sz w:val="21"/>
        </w:rPr>
        <w:t>Ce que le copilote peut faire, ne peut pas faire, et comment il apporte de la valeur</w:t>
      </w:r>
    </w:p>
    <w:p/>
    <w:p>
      <w:pPr>
        <w:pStyle w:val="Heading1"/>
      </w:pPr>
      <w:r>
        <w:t>Positionnement du copilote</w:t>
      </w:r>
    </w:p>
    <w:p>
      <w:r>
        <w:t>Le copilote ne doit pas être pensé comme un remplaçant complet de Cosium ou des portails OCAM. Il doit être conçu comme un centre de commande intelligent autour de Cosium, qui prépare, contrôle, suit, priorise et documente le travail multi-portails.</w:t>
      </w:r>
    </w:p>
    <w:p>
      <w:pPr>
        <w:pStyle w:val="Heading1"/>
      </w:pPr>
      <w:r>
        <w:t>Ce que le copilote peut faire immédiatement</w:t>
      </w:r>
    </w:p>
    <w:p>
      <w:pPr>
        <w:pStyle w:val="ListBullet"/>
      </w:pPr>
      <w:r>
        <w:t>Centraliser les dossiers, documents, devis, statuts et événements issus de Cosium.</w:t>
      </w:r>
    </w:p>
    <w:p>
      <w:pPr>
        <w:pStyle w:val="ListBullet"/>
      </w:pPr>
      <w:r>
        <w:t>Contrôler la complétude d’un dossier avant toute action : ordonnance, mutuelle, attestation, devis, pièces jointes.</w:t>
      </w:r>
    </w:p>
    <w:p>
      <w:pPr>
        <w:pStyle w:val="ListBullet"/>
      </w:pPr>
      <w:r>
        <w:t>Préparer les PEC avant saisie sur portail : données prêtes, checklist, documents à joindre, points de vigilance.</w:t>
      </w:r>
    </w:p>
    <w:p>
      <w:pPr>
        <w:pStyle w:val="ListBullet"/>
      </w:pPr>
      <w:r>
        <w:t>Suivre les PEC comme un workflow interne : à faire, en attente, bloquée, incomplète, refusée, acceptée, relance nécessaire.</w:t>
      </w:r>
    </w:p>
    <w:p>
      <w:pPr>
        <w:pStyle w:val="ListBullet"/>
      </w:pPr>
      <w:r>
        <w:t>Piloter les paiements : dû, encaissé, restant, partiel, soldé, anomalie, priorités de relance.</w:t>
      </w:r>
    </w:p>
    <w:p>
      <w:pPr>
        <w:pStyle w:val="ListBullet"/>
      </w:pPr>
      <w:r>
        <w:t>Gérer la GED : inventaire documentaire, téléchargement, upload, classement, recherche rapide.</w:t>
      </w:r>
    </w:p>
    <w:p>
      <w:pPr>
        <w:pStyle w:val="ListBullet"/>
      </w:pPr>
      <w:r>
        <w:t>Aider au CRM : relances email/SMS, devis non transformés, documents manquants, lunettes prêtes, renouvellements.</w:t>
      </w:r>
    </w:p>
    <w:p>
      <w:pPr>
        <w:pStyle w:val="ListBullet"/>
      </w:pPr>
      <w:r>
        <w:t>Constituer une base de connaissance métier locale sur les opérateurs, règles, exceptions et procédures.</w:t>
      </w:r>
    </w:p>
    <w:p>
      <w:pPr>
        <w:pStyle w:val="Heading1"/>
      </w:pPr>
      <w:r>
        <w:t>Ce que le copilote peut faire avec enrichissements externes</w:t>
      </w:r>
    </w:p>
    <w:p>
      <w:pPr>
        <w:pStyle w:val="ListBullet"/>
      </w:pPr>
      <w:r>
        <w:t>Rapprochement bancaire via open banking pour rattacher des paiements à des dossiers.</w:t>
      </w:r>
    </w:p>
    <w:p>
      <w:pPr>
        <w:pStyle w:val="ListBullet"/>
      </w:pPr>
      <w:r>
        <w:t>Emailing et SMS transactionnels ou marketing via fournisseur spécialisé.</w:t>
      </w:r>
    </w:p>
    <w:p>
      <w:pPr>
        <w:pStyle w:val="ListBullet"/>
      </w:pPr>
      <w:r>
        <w:t>OCR documentaire pour extraire des informations utiles depuis ordonnances, cartes de mutuelle et pièces PDF.</w:t>
      </w:r>
    </w:p>
    <w:p>
      <w:pPr>
        <w:pStyle w:val="Heading1"/>
      </w:pPr>
      <w:r>
        <w:t>Ce que le copilote ne doit pas être supposé faire sans validation</w:t>
      </w:r>
    </w:p>
    <w:p>
      <w:pPr>
        <w:pStyle w:val="ListBullet"/>
      </w:pPr>
      <w:r>
        <w:t>Remplir automatiquement tous les portails OCAM de façon fiable et industrielle.</w:t>
      </w:r>
    </w:p>
    <w:p>
      <w:pPr>
        <w:pStyle w:val="ListBullet"/>
      </w:pPr>
      <w:r>
        <w:t>Se connecter API par API à chaque mutuelle comme s’il existait un catalogue public homogène.</w:t>
      </w:r>
    </w:p>
    <w:p>
      <w:pPr>
        <w:pStyle w:val="ListBullet"/>
      </w:pPr>
      <w:r>
        <w:t>Automatiser des parcours d’authentification à OTP/SMS sans vérifier d’abord la faisabilité réelle, la stabilité et le cadre d’usage.</w:t>
      </w:r>
    </w:p>
    <w:p>
      <w:pPr>
        <w:pStyle w:val="ListBullet"/>
      </w:pPr>
      <w:r>
        <w:t>Prétendre connaître le modèle réel des APIs Cosium sans relecture complète de la documentation locale fournie.</w:t>
      </w:r>
    </w:p>
    <w:p>
      <w:pPr>
        <w:pStyle w:val="Heading1"/>
      </w:pPr>
      <w:r>
        <w:t>Découpage recommandé</w:t>
      </w:r>
    </w:p>
    <w:tbl>
      <w:tblPr>
        <w:tblStyle w:val="TableGrid"/>
        <w:tblW w:type="auto" w:w="0"/>
        <w:jc w:val="center"/>
        <w:tblLook w:firstColumn="1" w:firstRow="1" w:lastColumn="0" w:lastRow="0" w:noHBand="0" w:noVBand="1" w:val="04A0"/>
      </w:tblPr>
      <w:tblGrid>
        <w:gridCol w:w="4968"/>
        <w:gridCol w:w="4968"/>
      </w:tblGrid>
      <w:tr>
        <w:tc>
          <w:tcPr>
            <w:tcW w:type="dxa" w:w="4968"/>
            <w:shd w:fill="DCEAF7"/>
          </w:tcPr>
          <w:p>
            <w:r>
              <w:t>Bloc</w:t>
            </w:r>
          </w:p>
        </w:tc>
        <w:tc>
          <w:tcPr>
            <w:tcW w:type="dxa" w:w="4968"/>
            <w:shd w:fill="DCEAF7"/>
          </w:tcPr>
          <w:p>
            <w:r>
              <w:t>Décision</w:t>
            </w:r>
          </w:p>
        </w:tc>
      </w:tr>
      <w:tr>
        <w:tc>
          <w:tcPr>
            <w:tcW w:type="dxa" w:w="4968"/>
          </w:tcPr>
          <w:p>
            <w:r>
              <w:t>Cosium</w:t>
            </w:r>
          </w:p>
        </w:tc>
        <w:tc>
          <w:tcPr>
            <w:tcW w:type="dxa" w:w="4968"/>
          </w:tcPr>
          <w:p>
            <w:r>
              <w:t>Noyau du système</w:t>
            </w:r>
          </w:p>
        </w:tc>
      </w:tr>
      <w:tr>
        <w:tc>
          <w:tcPr>
            <w:tcW w:type="dxa" w:w="4968"/>
          </w:tcPr>
          <w:p>
            <w:r>
              <w:t>Paiements / GED / CRM</w:t>
            </w:r>
          </w:p>
        </w:tc>
        <w:tc>
          <w:tcPr>
            <w:tcW w:type="dxa" w:w="4968"/>
          </w:tcPr>
          <w:p>
            <w:r>
              <w:t>À construire tout de suite</w:t>
            </w:r>
          </w:p>
        </w:tc>
      </w:tr>
      <w:tr>
        <w:tc>
          <w:tcPr>
            <w:tcW w:type="dxa" w:w="4968"/>
          </w:tcPr>
          <w:p>
            <w:r>
              <w:t>OCR / banque / messaging</w:t>
            </w:r>
          </w:p>
        </w:tc>
        <w:tc>
          <w:tcPr>
            <w:tcW w:type="dxa" w:w="4968"/>
          </w:tcPr>
          <w:p>
            <w:r>
              <w:t>À connecter progressivement</w:t>
            </w:r>
          </w:p>
        </w:tc>
      </w:tr>
      <w:tr>
        <w:tc>
          <w:tcPr>
            <w:tcW w:type="dxa" w:w="4968"/>
          </w:tcPr>
          <w:p>
            <w:r>
              <w:t>OCAM via scripts Playwright/Python</w:t>
            </w:r>
          </w:p>
        </w:tc>
        <w:tc>
          <w:tcPr>
            <w:tcW w:type="dxa" w:w="4968"/>
          </w:tcPr>
          <w:p>
            <w:r>
              <w:t>À étudier et valider</w:t>
            </w:r>
          </w:p>
        </w:tc>
      </w:tr>
      <w:tr>
        <w:tc>
          <w:tcPr>
            <w:tcW w:type="dxa" w:w="4968"/>
          </w:tcPr>
          <w:p>
            <w:r>
              <w:t>Intégrations très spécifiques par opérateur</w:t>
            </w:r>
          </w:p>
        </w:tc>
        <w:tc>
          <w:tcPr>
            <w:tcW w:type="dxa" w:w="4968"/>
          </w:tcPr>
          <w:p>
            <w:r>
              <w:t>À traiter au cas par cas</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C7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