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34 - Brief maître pour l’agent de codage</w:t>
      </w:r>
    </w:p>
    <w:p>
      <w:pPr>
        <w:jc w:val="center"/>
      </w:pPr>
      <w:r>
        <w:rPr>
          <w:i/>
          <w:sz w:val="21"/>
        </w:rPr>
        <w:t>Instructions de travail pour Claude CLI ou Codex à partir du dossier local réel</w:t>
      </w:r>
    </w:p>
    <w:p/>
    <w:p>
      <w:pPr>
        <w:pStyle w:val="Heading1"/>
      </w:pPr>
      <w:r>
        <w:t>Mission</w:t>
      </w:r>
    </w:p>
    <w:p>
      <w:r>
        <w:t>Créer un copilote Cosium maintenable, modulaire et évolutif, en requalifiant d’abord toute la documentation et tous les packs existants à partir du dossier local réel de l’utilisateur.</w:t>
      </w:r>
    </w:p>
    <w:p>
      <w:pPr>
        <w:pStyle w:val="Heading1"/>
      </w:pPr>
      <w:r>
        <w:t>Règles impératives</w:t>
      </w:r>
    </w:p>
    <w:p>
      <w:pPr>
        <w:pStyle w:val="ListBullet"/>
      </w:pPr>
      <w:r>
        <w:t>Repartir de la documentation locale réelle avant de confirmer toute architecture, API, modèle de données ou flux métier.</w:t>
      </w:r>
    </w:p>
    <w:p>
      <w:pPr>
        <w:pStyle w:val="ListBullet"/>
      </w:pPr>
      <w:r>
        <w:t>Considérer tous les packs déjà produits comme des hypothèses de travail, pas comme une vérité définitive.</w:t>
      </w:r>
    </w:p>
    <w:p>
      <w:pPr>
        <w:pStyle w:val="ListBullet"/>
      </w:pPr>
      <w:r>
        <w:t>Réécrire les documents de cadrage si la doc réelle Cosium ou les tests montrent qu’ils sont inexacts, incomplets ou trop spéculatifs.</w:t>
      </w:r>
    </w:p>
    <w:p>
      <w:pPr>
        <w:pStyle w:val="ListBullet"/>
      </w:pPr>
      <w:r>
        <w:t>Coder de manière professionnelle, avec une architecture claire, modulaire, testable et maintenable.</w:t>
      </w:r>
    </w:p>
    <w:p>
      <w:pPr>
        <w:pStyle w:val="ListBullet"/>
      </w:pPr>
      <w:r>
        <w:t>Prioriser Python côté backend, avec conventions rigoureuses, séparation des responsabilités, journalisation, tests et documentation.</w:t>
      </w:r>
    </w:p>
    <w:p>
      <w:pPr>
        <w:pStyle w:val="ListBullet"/>
      </w:pPr>
      <w:r>
        <w:t>N’introduire une intégration externe que si sa faisabilité réelle est démontrée.</w:t>
      </w:r>
    </w:p>
    <w:p>
      <w:pPr>
        <w:pStyle w:val="Heading1"/>
      </w:pPr>
      <w:r>
        <w:t>Exigences de qualité de code</w:t>
      </w:r>
    </w:p>
    <w:p>
      <w:pPr>
        <w:pStyle w:val="ListBullet"/>
      </w:pPr>
      <w:r>
        <w:t>Code lisible, sobre, documenté et structuré par modules.</w:t>
      </w:r>
    </w:p>
    <w:p>
      <w:pPr>
        <w:pStyle w:val="ListBullet"/>
      </w:pPr>
      <w:r>
        <w:t>Aucune logique métier enfouie dans des scripts jetables ou des vues front.</w:t>
      </w:r>
    </w:p>
    <w:p>
      <w:pPr>
        <w:pStyle w:val="ListBullet"/>
      </w:pPr>
      <w:r>
        <w:t>Configuration centralisée, secrets hors code, erreurs explicites, logs utiles.</w:t>
      </w:r>
    </w:p>
    <w:p>
      <w:pPr>
        <w:pStyle w:val="ListBullet"/>
      </w:pPr>
      <w:r>
        <w:t>Tests unitaires sur les services, tests d’intégration sur les flux critiques.</w:t>
      </w:r>
    </w:p>
    <w:p>
      <w:pPr>
        <w:pStyle w:val="ListBullet"/>
      </w:pPr>
      <w:r>
        <w:t>Conception évolutive : nouvelles briques ajoutables sans casser le cœur.</w:t>
      </w:r>
    </w:p>
    <w:p>
      <w:pPr>
        <w:pStyle w:val="ListBullet"/>
      </w:pPr>
      <w:r>
        <w:t>Front-end propre, rapide, orienté métier, avec composants réutilisables.</w:t>
      </w:r>
    </w:p>
    <w:p>
      <w:pPr>
        <w:pStyle w:val="Heading1"/>
      </w:pPr>
      <w:r>
        <w:t>Ordre de travail demandé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CEAF7"/>
          </w:tcPr>
          <w:p>
            <w:r>
              <w:t>Étape</w:t>
            </w:r>
          </w:p>
        </w:tc>
        <w:tc>
          <w:tcPr>
            <w:tcW w:type="dxa" w:w="4968"/>
            <w:shd w:fill="DCEAF7"/>
          </w:tcPr>
          <w:p>
            <w:r>
              <w:t>Action</w:t>
            </w:r>
          </w:p>
        </w:tc>
      </w:tr>
      <w:tr>
        <w:tc>
          <w:tcPr>
            <w:tcW w:type="dxa" w:w="4968"/>
          </w:tcPr>
          <w:p>
            <w:r>
              <w:t>1</w:t>
            </w:r>
          </w:p>
        </w:tc>
        <w:tc>
          <w:tcPr>
            <w:tcW w:type="dxa" w:w="4968"/>
          </w:tcPr>
          <w:p>
            <w:r>
              <w:t>Lire toute la documentation locale Cosium et les documents métier fournis</w:t>
            </w:r>
          </w:p>
        </w:tc>
      </w:tr>
      <w:tr>
        <w:tc>
          <w:tcPr>
            <w:tcW w:type="dxa" w:w="4968"/>
          </w:tcPr>
          <w:p>
            <w:r>
              <w:t>2</w:t>
            </w:r>
          </w:p>
        </w:tc>
        <w:tc>
          <w:tcPr>
            <w:tcW w:type="dxa" w:w="4968"/>
          </w:tcPr>
          <w:p>
            <w:r>
              <w:t>Auditer la pertinence des packs déjà produits</w:t>
            </w:r>
          </w:p>
        </w:tc>
      </w:tr>
      <w:tr>
        <w:tc>
          <w:tcPr>
            <w:tcW w:type="dxa" w:w="4968"/>
          </w:tcPr>
          <w:p>
            <w:r>
              <w:t>3</w:t>
            </w:r>
          </w:p>
        </w:tc>
        <w:tc>
          <w:tcPr>
            <w:tcW w:type="dxa" w:w="4968"/>
          </w:tcPr>
          <w:p>
            <w:r>
              <w:t>Réécrire les documents faux, faibles ou spéculatifs</w:t>
            </w:r>
          </w:p>
        </w:tc>
      </w:tr>
      <w:tr>
        <w:tc>
          <w:tcPr>
            <w:tcW w:type="dxa" w:w="4968"/>
          </w:tcPr>
          <w:p>
            <w:r>
              <w:t>4</w:t>
            </w:r>
          </w:p>
        </w:tc>
        <w:tc>
          <w:tcPr>
            <w:tcW w:type="dxa" w:w="4968"/>
          </w:tcPr>
          <w:p>
            <w:r>
              <w:t>Valider ce qui est réellement faisable avec Cosium et les intégrations externes</w:t>
            </w:r>
          </w:p>
        </w:tc>
      </w:tr>
      <w:tr>
        <w:tc>
          <w:tcPr>
            <w:tcW w:type="dxa" w:w="4968"/>
          </w:tcPr>
          <w:p>
            <w:r>
              <w:t>5</w:t>
            </w:r>
          </w:p>
        </w:tc>
        <w:tc>
          <w:tcPr>
            <w:tcW w:type="dxa" w:w="4968"/>
          </w:tcPr>
          <w:p>
            <w:r>
              <w:t>Construire un noyau utile : dossiers, documents, paiements, workflow</w:t>
            </w:r>
          </w:p>
        </w:tc>
      </w:tr>
      <w:tr>
        <w:tc>
          <w:tcPr>
            <w:tcW w:type="dxa" w:w="4968"/>
          </w:tcPr>
          <w:p>
            <w:r>
              <w:t>6</w:t>
            </w:r>
          </w:p>
        </w:tc>
        <w:tc>
          <w:tcPr>
            <w:tcW w:type="dxa" w:w="4968"/>
          </w:tcPr>
          <w:p>
            <w:r>
              <w:t>Étudier ensuite les enrichissements : OCR, banque, CRM, OCAM automatisés</w:t>
            </w:r>
          </w:p>
        </w:tc>
      </w:tr>
    </w:tbl>
    <w:p/>
    <w:p>
      <w:pPr>
        <w:pStyle w:val="Heading1"/>
      </w:pPr>
      <w:r>
        <w:t>Consigne spécifique OCAM</w:t>
      </w:r>
    </w:p>
    <w:p>
      <w:r>
        <w:t>L’automatisation des portails OCAM via Python + Playwright doit être classée dans la catégorie : à étudier. L’agent peut la tester en conditions réelles si un accès lui est fourni, mais il ne doit pas la considérer comme acquise avant validation.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E3C72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