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4D4FD" w14:textId="0263AB62" w:rsidR="00F22284" w:rsidRPr="00151D37" w:rsidRDefault="007B13CD" w:rsidP="00BD3B59">
      <w:r>
        <w:rPr>
          <w:noProof/>
        </w:rPr>
        <w:drawing>
          <wp:anchor distT="0" distB="0" distL="114300" distR="114300" simplePos="0" relativeHeight="251661312" behindDoc="1" locked="0" layoutInCell="1" allowOverlap="1" wp14:anchorId="43C73C0E" wp14:editId="69A26462">
            <wp:simplePos x="0" y="0"/>
            <wp:positionH relativeFrom="margin">
              <wp:posOffset>281940</wp:posOffset>
            </wp:positionH>
            <wp:positionV relativeFrom="paragraph">
              <wp:posOffset>-899795</wp:posOffset>
            </wp:positionV>
            <wp:extent cx="4864100" cy="2019300"/>
            <wp:effectExtent l="0" t="0" r="0" b="0"/>
            <wp:wrapNone/>
            <wp:docPr id="1718392456" name="Imagen 3" descr="Logo UTP - Campus Virtuales en Per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UTP - Campus Virtuales en Perú"/>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864100" cy="2019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40DDE" w:rsidRPr="00040DDE">
        <w:rPr>
          <w:rFonts w:ascii="Lato" w:eastAsia="Lato" w:hAnsi="Lato" w:cs="Lato"/>
          <w:b/>
          <w:noProof/>
          <w:color w:val="4A4F55"/>
          <w:sz w:val="44"/>
          <w:szCs w:val="44"/>
        </w:rPr>
        <mc:AlternateContent>
          <mc:Choice Requires="wps">
            <w:drawing>
              <wp:anchor distT="45720" distB="45720" distL="114300" distR="114300" simplePos="0" relativeHeight="251656192" behindDoc="1" locked="0" layoutInCell="1" allowOverlap="1" wp14:anchorId="3A69FFD7" wp14:editId="13DE5E2F">
                <wp:simplePos x="0" y="0"/>
                <wp:positionH relativeFrom="column">
                  <wp:posOffset>3447415</wp:posOffset>
                </wp:positionH>
                <wp:positionV relativeFrom="paragraph">
                  <wp:posOffset>0</wp:posOffset>
                </wp:positionV>
                <wp:extent cx="2360930" cy="1092200"/>
                <wp:effectExtent l="0" t="0" r="0" b="0"/>
                <wp:wrapTight wrapText="bothSides">
                  <wp:wrapPolygon edited="0">
                    <wp:start x="571" y="0"/>
                    <wp:lineTo x="571" y="21098"/>
                    <wp:lineTo x="20952" y="21098"/>
                    <wp:lineTo x="20952" y="0"/>
                    <wp:lineTo x="571" y="0"/>
                  </wp:wrapPolygon>
                </wp:wrapTight>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092200"/>
                        </a:xfrm>
                        <a:prstGeom prst="rect">
                          <a:avLst/>
                        </a:prstGeom>
                        <a:noFill/>
                        <a:ln w="9525">
                          <a:noFill/>
                          <a:miter lim="800000"/>
                          <a:headEnd/>
                          <a:tailEnd/>
                        </a:ln>
                      </wps:spPr>
                      <wps:txbx>
                        <w:txbxContent>
                          <w:p w14:paraId="701A5DFF" w14:textId="306F8366" w:rsidR="00040DDE" w:rsidRPr="00040DDE" w:rsidRDefault="00040DDE">
                            <w:pPr>
                              <w:rPr>
                                <w:b/>
                                <w:bCs/>
                                <w:color w:val="FFFFFF" w:themeColor="background1"/>
                                <w:sz w:val="32"/>
                                <w:szCs w:val="32"/>
                              </w:rPr>
                            </w:pPr>
                            <w:r w:rsidRPr="00040DDE">
                              <w:rPr>
                                <w:b/>
                                <w:bCs/>
                                <w:sz w:val="32"/>
                                <w:szCs w:val="32"/>
                              </w:rPr>
                              <w:t xml:space="preserve"> </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3A69FFD7" id="_x0000_t202" coordsize="21600,21600" o:spt="202" path="m,l,21600r21600,l21600,xe">
                <v:stroke joinstyle="miter"/>
                <v:path gradientshapeok="t" o:connecttype="rect"/>
              </v:shapetype>
              <v:shape id="Cuadro de texto 2" o:spid="_x0000_s1026" type="#_x0000_t202" style="position:absolute;margin-left:271.45pt;margin-top:0;width:185.9pt;height:86pt;z-index:-251660288;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" filled="f" stroked="f">
                <v:textbox>
                  <w:txbxContent>
                    <w:p w14:paraId="701A5DFF" w14:textId="306F8366" w:rsidR="00040DDE" w:rsidRPr="00040DDE" w:rsidRDefault="00040DDE">
                      <w:pPr>
                        <w:rPr>
                          <w:b/>
                          <w:bCs/>
                          <w:color w:val="FFFFFF" w:themeColor="background1"/>
                          <w:sz w:val="32"/>
                          <w:szCs w:val="32"/>
                        </w:rPr>
                      </w:pPr>
                      <w:r w:rsidRPr="00040DDE">
                        <w:rPr>
                          <w:b/>
                          <w:bCs/>
                          <w:sz w:val="32"/>
                          <w:szCs w:val="32"/>
                        </w:rPr>
                        <w:t xml:space="preserve"> </w:t>
                      </w:r>
                    </w:p>
                  </w:txbxContent>
                </v:textbox>
                <w10:wrap type="tight"/>
              </v:shape>
            </w:pict>
          </mc:Fallback>
        </mc:AlternateContent>
      </w:r>
      <w:r w:rsidR="00151D37">
        <w:rPr>
          <w:rFonts w:ascii="Arial" w:hAnsi="Arial" w:cs="Arial"/>
          <w:color w:val="000000" w:themeColor="text1"/>
          <w:sz w:val="32"/>
          <w:szCs w:val="32"/>
        </w:rPr>
        <w:t xml:space="preserve">                      </w:t>
      </w:r>
    </w:p>
    <w:p w14:paraId="74CF43B7" w14:textId="6EA671AB" w:rsidR="00727F1E" w:rsidRDefault="00727F1E" w:rsidP="00727F1E">
      <w:pPr>
        <w:rPr>
          <w:rFonts w:ascii="Lato" w:eastAsia="Lato" w:hAnsi="Lato" w:cs="Lato"/>
          <w:b/>
          <w:color w:val="4A4F55"/>
          <w:sz w:val="44"/>
          <w:szCs w:val="44"/>
        </w:rPr>
      </w:pPr>
    </w:p>
    <w:p w14:paraId="200FD9E2" w14:textId="6F4FD432" w:rsidR="00844BAA" w:rsidRPr="009A6A72" w:rsidRDefault="6E4A6BB1" w:rsidP="009A6A72">
      <w:pPr>
        <w:spacing w:line="360" w:lineRule="auto"/>
        <w:jc w:val="center"/>
        <w:rPr>
          <w:rFonts w:ascii="Arial" w:eastAsia="Arial" w:hAnsi="Arial" w:cs="Arial"/>
          <w:color w:val="000000" w:themeColor="text1"/>
        </w:rPr>
      </w:pPr>
      <w:r w:rsidRPr="009A6A72">
        <w:rPr>
          <w:rFonts w:ascii="Arial" w:eastAsia="Lato" w:hAnsi="Arial" w:cs="Arial"/>
          <w:b/>
          <w:color w:val="000000" w:themeColor="text1"/>
        </w:rPr>
        <w:t>Comprensión y Redacción de Textos II</w:t>
      </w:r>
    </w:p>
    <w:p w14:paraId="5B27C7F7" w14:textId="0B42BA6C" w:rsidR="004F561E" w:rsidRPr="009A6A72" w:rsidRDefault="003C0AB5" w:rsidP="009A6A72">
      <w:pPr>
        <w:spacing w:line="360" w:lineRule="auto"/>
        <w:jc w:val="center"/>
        <w:rPr>
          <w:rFonts w:ascii="Arial" w:hAnsi="Arial" w:cs="Arial"/>
          <w:b/>
          <w:bCs/>
          <w:color w:val="000000" w:themeColor="text1"/>
        </w:rPr>
      </w:pPr>
      <w:r w:rsidRPr="009A6A72">
        <w:rPr>
          <w:rFonts w:ascii="Arial" w:hAnsi="Arial" w:cs="Arial"/>
          <w:b/>
          <w:bCs/>
          <w:color w:val="000000" w:themeColor="text1"/>
        </w:rPr>
        <w:t>Tema</w:t>
      </w:r>
      <w:r w:rsidR="007B5D68" w:rsidRPr="009A6A72">
        <w:rPr>
          <w:rFonts w:ascii="Arial" w:hAnsi="Arial" w:cs="Arial"/>
          <w:b/>
          <w:bCs/>
          <w:color w:val="000000" w:themeColor="text1"/>
        </w:rPr>
        <w:t>:</w:t>
      </w:r>
    </w:p>
    <w:p w14:paraId="40145693" w14:textId="77777777" w:rsidR="00205685" w:rsidRPr="00205685" w:rsidRDefault="00205685" w:rsidP="00205685">
      <w:pPr>
        <w:spacing w:line="360" w:lineRule="auto"/>
        <w:jc w:val="center"/>
        <w:rPr>
          <w:rFonts w:ascii="Arial" w:hAnsi="Arial" w:cs="Arial"/>
          <w:b/>
          <w:bCs/>
          <w:color w:val="000000" w:themeColor="text1"/>
        </w:rPr>
      </w:pPr>
      <w:r w:rsidRPr="00205685">
        <w:rPr>
          <w:rFonts w:ascii="Arial" w:hAnsi="Arial" w:cs="Arial"/>
          <w:b/>
          <w:bCs/>
          <w:color w:val="000000" w:themeColor="text1"/>
        </w:rPr>
        <w:t>(AC-S12) Semana 12 - Tema 01: Tarea - Tarea Académica 2 (TA2)</w:t>
      </w:r>
    </w:p>
    <w:p w14:paraId="03CBD517" w14:textId="1356FD5E" w:rsidR="0F67CD74" w:rsidRPr="009A6A72" w:rsidRDefault="2A212F57" w:rsidP="009A6A72">
      <w:pPr>
        <w:spacing w:line="360" w:lineRule="auto"/>
        <w:jc w:val="center"/>
        <w:rPr>
          <w:rFonts w:ascii="Arial" w:hAnsi="Arial" w:cs="Arial"/>
          <w:b/>
          <w:bCs/>
          <w:color w:val="000000" w:themeColor="text1"/>
        </w:rPr>
      </w:pPr>
      <w:r w:rsidRPr="009A6A72">
        <w:rPr>
          <w:rFonts w:ascii="Arial" w:hAnsi="Arial" w:cs="Arial"/>
          <w:b/>
          <w:bCs/>
          <w:color w:val="000000" w:themeColor="text1"/>
        </w:rPr>
        <w:t>Integran</w:t>
      </w:r>
    </w:p>
    <w:p w14:paraId="364901B5" w14:textId="1D0DF121" w:rsidR="2A212F57" w:rsidRPr="009A6A72" w:rsidRDefault="32E9635C" w:rsidP="009A6A72">
      <w:pPr>
        <w:spacing w:line="360" w:lineRule="auto"/>
        <w:jc w:val="center"/>
        <w:rPr>
          <w:rFonts w:ascii="Arial" w:hAnsi="Arial" w:cs="Arial"/>
        </w:rPr>
      </w:pPr>
      <w:r w:rsidRPr="009A6A72">
        <w:rPr>
          <w:rFonts w:ascii="Arial" w:hAnsi="Arial" w:cs="Arial"/>
          <w:b/>
          <w:bCs/>
        </w:rPr>
        <w:t>-</w:t>
      </w:r>
      <w:r w:rsidRPr="009A6A72">
        <w:rPr>
          <w:rFonts w:ascii="Arial" w:hAnsi="Arial" w:cs="Arial"/>
        </w:rPr>
        <w:t xml:space="preserve"> Vanesa </w:t>
      </w:r>
      <w:proofErr w:type="spellStart"/>
      <w:r w:rsidRPr="009A6A72">
        <w:rPr>
          <w:rFonts w:ascii="Arial" w:hAnsi="Arial" w:cs="Arial"/>
        </w:rPr>
        <w:t>Gutierres</w:t>
      </w:r>
      <w:proofErr w:type="spellEnd"/>
      <w:r w:rsidRPr="009A6A72">
        <w:rPr>
          <w:rFonts w:ascii="Arial" w:hAnsi="Arial" w:cs="Arial"/>
        </w:rPr>
        <w:t xml:space="preserve"> </w:t>
      </w:r>
      <w:proofErr w:type="spellStart"/>
      <w:r w:rsidRPr="009A6A72">
        <w:rPr>
          <w:rFonts w:ascii="Arial" w:hAnsi="Arial" w:cs="Arial"/>
        </w:rPr>
        <w:t>Cordova</w:t>
      </w:r>
      <w:proofErr w:type="spellEnd"/>
    </w:p>
    <w:p w14:paraId="07C2D6B9" w14:textId="77777777" w:rsidR="003A6CC6" w:rsidRPr="009A6A72" w:rsidRDefault="003A6CC6" w:rsidP="009A6A72">
      <w:pPr>
        <w:spacing w:line="360" w:lineRule="auto"/>
        <w:jc w:val="center"/>
        <w:rPr>
          <w:rFonts w:ascii="Arial" w:hAnsi="Arial" w:cs="Arial"/>
        </w:rPr>
      </w:pPr>
    </w:p>
    <w:p w14:paraId="581C0F99" w14:textId="56388799" w:rsidR="00D25BB1" w:rsidRPr="009A6A72" w:rsidRDefault="00A17571" w:rsidP="009A6A72">
      <w:pPr>
        <w:spacing w:line="360" w:lineRule="auto"/>
        <w:jc w:val="center"/>
        <w:rPr>
          <w:rFonts w:ascii="Arial" w:hAnsi="Arial" w:cs="Arial"/>
        </w:rPr>
      </w:pPr>
      <w:r w:rsidRPr="009A6A72">
        <w:rPr>
          <w:rFonts w:ascii="Arial" w:hAnsi="Arial" w:cs="Arial"/>
          <w:b/>
          <w:bCs/>
        </w:rPr>
        <w:t>-</w:t>
      </w:r>
      <w:r w:rsidRPr="009A6A72">
        <w:rPr>
          <w:rFonts w:ascii="Arial" w:hAnsi="Arial" w:cs="Arial"/>
        </w:rPr>
        <w:t xml:space="preserve"> Emanuel Guerra </w:t>
      </w:r>
      <w:proofErr w:type="spellStart"/>
      <w:r w:rsidRPr="009A6A72">
        <w:rPr>
          <w:rFonts w:ascii="Arial" w:hAnsi="Arial" w:cs="Arial"/>
        </w:rPr>
        <w:t>Orday</w:t>
      </w:r>
      <w:r w:rsidR="00D25BB1" w:rsidRPr="009A6A72">
        <w:rPr>
          <w:rFonts w:ascii="Arial" w:hAnsi="Arial" w:cs="Arial"/>
        </w:rPr>
        <w:t>a</w:t>
      </w:r>
      <w:proofErr w:type="spellEnd"/>
    </w:p>
    <w:p w14:paraId="19E3D011" w14:textId="77777777" w:rsidR="00442264" w:rsidRPr="009A6A72" w:rsidRDefault="00442264" w:rsidP="009A6A72">
      <w:pPr>
        <w:spacing w:line="360" w:lineRule="auto"/>
        <w:jc w:val="center"/>
        <w:rPr>
          <w:rFonts w:ascii="Arial" w:hAnsi="Arial" w:cs="Arial"/>
        </w:rPr>
      </w:pPr>
    </w:p>
    <w:p w14:paraId="22724C8F" w14:textId="51B6D6B1" w:rsidR="00844BAA" w:rsidRPr="009A6A72" w:rsidRDefault="12271A98" w:rsidP="009A6A72">
      <w:pPr>
        <w:spacing w:line="360" w:lineRule="auto"/>
        <w:jc w:val="center"/>
        <w:rPr>
          <w:rFonts w:ascii="Arial" w:hAnsi="Arial" w:cs="Arial"/>
          <w:b/>
          <w:bCs/>
          <w:color w:val="000000" w:themeColor="text1"/>
        </w:rPr>
      </w:pPr>
      <w:r w:rsidRPr="009A6A72">
        <w:rPr>
          <w:rFonts w:ascii="Arial" w:hAnsi="Arial" w:cs="Arial"/>
          <w:b/>
          <w:bCs/>
          <w:color w:val="000000" w:themeColor="text1"/>
        </w:rPr>
        <w:t>Profesora</w:t>
      </w:r>
      <w:r w:rsidR="38997379" w:rsidRPr="009A6A72">
        <w:rPr>
          <w:rFonts w:ascii="Arial" w:hAnsi="Arial" w:cs="Arial"/>
          <w:b/>
          <w:bCs/>
          <w:color w:val="000000" w:themeColor="text1"/>
        </w:rPr>
        <w:t>:</w:t>
      </w:r>
    </w:p>
    <w:p w14:paraId="15C76B5E" w14:textId="77777777" w:rsidR="003A6CC6" w:rsidRPr="009A6A72" w:rsidRDefault="003A6CC6" w:rsidP="009A6A72">
      <w:pPr>
        <w:spacing w:line="360" w:lineRule="auto"/>
        <w:jc w:val="center"/>
        <w:rPr>
          <w:rFonts w:ascii="Arial" w:hAnsi="Arial" w:cs="Arial"/>
        </w:rPr>
      </w:pPr>
    </w:p>
    <w:p w14:paraId="2E3F0882" w14:textId="6E572388" w:rsidR="5C182741" w:rsidRPr="009A6A72" w:rsidRDefault="5906EE20" w:rsidP="009A6A72">
      <w:pPr>
        <w:spacing w:line="360" w:lineRule="auto"/>
        <w:jc w:val="center"/>
        <w:rPr>
          <w:rFonts w:ascii="Arial" w:eastAsia="Arial" w:hAnsi="Arial" w:cs="Arial"/>
          <w:color w:val="000000" w:themeColor="text1"/>
        </w:rPr>
      </w:pPr>
      <w:r w:rsidRPr="009A6A72">
        <w:rPr>
          <w:rFonts w:ascii="Arial" w:hAnsi="Arial" w:cs="Arial"/>
        </w:rPr>
        <w:t>-</w:t>
      </w:r>
      <w:r w:rsidRPr="009A6A72">
        <w:rPr>
          <w:rFonts w:ascii="Arial" w:eastAsia="Lato" w:hAnsi="Arial" w:cs="Arial"/>
          <w:color w:val="4A4F55"/>
        </w:rPr>
        <w:t xml:space="preserve"> </w:t>
      </w:r>
      <w:proofErr w:type="spellStart"/>
      <w:r w:rsidRPr="009A6A72">
        <w:rPr>
          <w:rFonts w:ascii="Arial" w:eastAsia="Lato" w:hAnsi="Arial" w:cs="Arial"/>
          <w:color w:val="000000" w:themeColor="text1"/>
        </w:rPr>
        <w:t>Gilsa</w:t>
      </w:r>
      <w:proofErr w:type="spellEnd"/>
      <w:r w:rsidRPr="009A6A72">
        <w:rPr>
          <w:rFonts w:ascii="Arial" w:eastAsia="Lato" w:hAnsi="Arial" w:cs="Arial"/>
          <w:color w:val="000000" w:themeColor="text1"/>
        </w:rPr>
        <w:t xml:space="preserve"> Carolina Lisboa </w:t>
      </w:r>
      <w:proofErr w:type="spellStart"/>
      <w:r w:rsidRPr="009A6A72">
        <w:rPr>
          <w:rFonts w:ascii="Arial" w:eastAsia="Lato" w:hAnsi="Arial" w:cs="Arial"/>
          <w:color w:val="000000" w:themeColor="text1"/>
        </w:rPr>
        <w:t>Echeverre</w:t>
      </w:r>
      <w:proofErr w:type="spellEnd"/>
    </w:p>
    <w:p w14:paraId="29FDA7DD" w14:textId="45B7B834" w:rsidR="00844BAA" w:rsidRPr="009A6A72" w:rsidRDefault="00844BAA" w:rsidP="009A6A72">
      <w:pPr>
        <w:spacing w:line="360" w:lineRule="auto"/>
        <w:jc w:val="center"/>
        <w:rPr>
          <w:rFonts w:ascii="Arial" w:hAnsi="Arial" w:cs="Arial"/>
          <w:color w:val="EE0000"/>
        </w:rPr>
      </w:pPr>
    </w:p>
    <w:p w14:paraId="136E95F5" w14:textId="77777777" w:rsidR="004F66A8" w:rsidRPr="009A6A72" w:rsidRDefault="48B1945D" w:rsidP="009A6A72">
      <w:pPr>
        <w:spacing w:line="360" w:lineRule="auto"/>
        <w:jc w:val="center"/>
        <w:rPr>
          <w:rFonts w:ascii="Arial" w:hAnsi="Arial" w:cs="Arial"/>
          <w:b/>
          <w:bCs/>
          <w:color w:val="000000" w:themeColor="text1"/>
        </w:rPr>
      </w:pPr>
      <w:r w:rsidRPr="009A6A72">
        <w:rPr>
          <w:rFonts w:ascii="Arial" w:hAnsi="Arial" w:cs="Arial"/>
          <w:b/>
          <w:bCs/>
          <w:color w:val="000000" w:themeColor="text1"/>
        </w:rPr>
        <w:t>Sección:</w:t>
      </w:r>
      <w:r w:rsidR="004F66A8" w:rsidRPr="009A6A72">
        <w:rPr>
          <w:rFonts w:ascii="Arial" w:hAnsi="Arial" w:cs="Arial"/>
          <w:b/>
          <w:bCs/>
          <w:color w:val="000000" w:themeColor="text1"/>
        </w:rPr>
        <w:t xml:space="preserve"> </w:t>
      </w:r>
      <w:r w:rsidR="26EE9EA1" w:rsidRPr="009A6A72">
        <w:rPr>
          <w:rFonts w:ascii="Arial" w:eastAsia="Lato" w:hAnsi="Arial" w:cs="Arial"/>
          <w:b/>
          <w:color w:val="000000" w:themeColor="text1"/>
        </w:rPr>
        <w:t>38957</w:t>
      </w:r>
    </w:p>
    <w:p w14:paraId="4933DB52" w14:textId="77777777" w:rsidR="00CC79BB" w:rsidRPr="009A6A72" w:rsidRDefault="00187F9F" w:rsidP="009A6A72">
      <w:pPr>
        <w:spacing w:line="360" w:lineRule="auto"/>
        <w:jc w:val="center"/>
        <w:rPr>
          <w:rFonts w:ascii="Arial" w:hAnsi="Arial" w:cs="Arial"/>
          <w:b/>
          <w:bCs/>
          <w:color w:val="000000" w:themeColor="text1"/>
        </w:rPr>
      </w:pPr>
      <w:r w:rsidRPr="009A6A72">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2025</w:t>
      </w:r>
    </w:p>
    <w:p w14:paraId="16467127" w14:textId="5B50E37B" w:rsidR="00903076" w:rsidRPr="009A6A72" w:rsidRDefault="00C97656" w:rsidP="009A6A72">
      <w:pPr>
        <w:spacing w:line="360" w:lineRule="auto"/>
        <w:jc w:val="center"/>
        <w:rPr>
          <w:rFonts w:ascii="Arial" w:hAnsi="Arial" w:cs="Arial"/>
          <w:b/>
          <w:bCs/>
          <w:color w:val="000000" w:themeColor="text1"/>
        </w:rPr>
      </w:pPr>
      <w:r w:rsidRPr="009A6A72">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Perú</w:t>
      </w:r>
    </w:p>
    <w:p w14:paraId="23A11D2A" w14:textId="77777777" w:rsidR="00CC79BB" w:rsidRPr="009A6A72" w:rsidRDefault="00CC79BB" w:rsidP="009A6A72">
      <w:pPr>
        <w:spacing w:line="360" w:lineRule="auto"/>
        <w:jc w:val="both"/>
        <w:rPr>
          <w:rFonts w:ascii="Arial" w:hAnsi="Arial" w:cs="Arial"/>
          <w:b/>
          <w:bCs/>
        </w:rPr>
      </w:pPr>
    </w:p>
    <w:p w14:paraId="3E666896" w14:textId="77777777" w:rsidR="009A6A72" w:rsidRDefault="009A6A72" w:rsidP="009A6A72">
      <w:pPr>
        <w:spacing w:line="360" w:lineRule="auto"/>
        <w:jc w:val="both"/>
        <w:rPr>
          <w:rFonts w:ascii="Arial" w:hAnsi="Arial" w:cs="Arial"/>
          <w:b/>
          <w:bCs/>
        </w:rPr>
      </w:pPr>
    </w:p>
    <w:p w14:paraId="7CFE01B2" w14:textId="77777777" w:rsidR="009A6A72" w:rsidRDefault="009A6A72" w:rsidP="009A6A72">
      <w:pPr>
        <w:spacing w:line="360" w:lineRule="auto"/>
        <w:jc w:val="both"/>
        <w:rPr>
          <w:rFonts w:ascii="Arial" w:hAnsi="Arial" w:cs="Arial"/>
          <w:b/>
          <w:bCs/>
        </w:rPr>
      </w:pPr>
    </w:p>
    <w:p w14:paraId="44068A16" w14:textId="77777777" w:rsidR="009A6A72" w:rsidRDefault="009A6A72" w:rsidP="009A6A72">
      <w:pPr>
        <w:spacing w:line="360" w:lineRule="auto"/>
        <w:jc w:val="both"/>
        <w:rPr>
          <w:rFonts w:ascii="Arial" w:hAnsi="Arial" w:cs="Arial"/>
          <w:b/>
          <w:bCs/>
        </w:rPr>
      </w:pPr>
    </w:p>
    <w:p w14:paraId="059E49CF" w14:textId="77777777" w:rsidR="009A6A72" w:rsidRDefault="009A6A72" w:rsidP="009A6A72">
      <w:pPr>
        <w:spacing w:line="360" w:lineRule="auto"/>
        <w:jc w:val="both"/>
        <w:rPr>
          <w:rFonts w:ascii="Arial" w:hAnsi="Arial" w:cs="Arial"/>
          <w:b/>
          <w:bCs/>
        </w:rPr>
      </w:pPr>
    </w:p>
    <w:p w14:paraId="33AA45D7" w14:textId="77777777" w:rsidR="009A6A72" w:rsidRDefault="009A6A72" w:rsidP="009A6A72">
      <w:pPr>
        <w:spacing w:line="360" w:lineRule="auto"/>
        <w:jc w:val="both"/>
        <w:rPr>
          <w:rFonts w:ascii="Arial" w:hAnsi="Arial" w:cs="Arial"/>
          <w:b/>
          <w:bCs/>
        </w:rPr>
      </w:pPr>
    </w:p>
    <w:p w14:paraId="695EAA9D" w14:textId="77777777" w:rsidR="009A6A72" w:rsidRDefault="009A6A72" w:rsidP="009A6A72">
      <w:pPr>
        <w:spacing w:line="360" w:lineRule="auto"/>
        <w:jc w:val="both"/>
        <w:rPr>
          <w:rFonts w:ascii="Arial" w:hAnsi="Arial" w:cs="Arial"/>
          <w:b/>
          <w:bCs/>
        </w:rPr>
      </w:pPr>
    </w:p>
    <w:p w14:paraId="540A8DAE" w14:textId="48429BF9" w:rsidR="00CC79BB" w:rsidRPr="009A6A72" w:rsidRDefault="00CC79BB" w:rsidP="009A6A72">
      <w:pPr>
        <w:spacing w:line="360" w:lineRule="auto"/>
        <w:jc w:val="both"/>
        <w:rPr>
          <w:rFonts w:ascii="Arial" w:hAnsi="Arial" w:cs="Arial"/>
          <w:b/>
          <w:bCs/>
        </w:rPr>
      </w:pPr>
      <w:r w:rsidRPr="009A6A72">
        <w:rPr>
          <w:rFonts w:ascii="Arial" w:hAnsi="Arial" w:cs="Arial"/>
          <w:b/>
          <w:bCs/>
        </w:rPr>
        <w:lastRenderedPageBreak/>
        <w:t>Red Conceptual del Tema: Impuesto del 18% a Servicios Digitales en Perú</w:t>
      </w:r>
    </w:p>
    <w:p w14:paraId="3FC01135" w14:textId="0F8534A1" w:rsidR="00CC79BB" w:rsidRPr="009A6A72" w:rsidRDefault="00CC79BB" w:rsidP="009A6A72">
      <w:pPr>
        <w:spacing w:line="360" w:lineRule="auto"/>
        <w:jc w:val="both"/>
        <w:rPr>
          <w:rFonts w:ascii="Arial" w:hAnsi="Arial" w:cs="Arial"/>
          <w:b/>
          <w:bCs/>
        </w:rPr>
      </w:pPr>
      <w:r w:rsidRPr="009A6A72">
        <w:rPr>
          <w:rFonts w:ascii="Arial" w:hAnsi="Arial" w:cs="Arial"/>
          <w:b/>
          <w:bCs/>
          <w:noProof/>
        </w:rPr>
        <w:drawing>
          <wp:inline distT="0" distB="0" distL="0" distR="0" wp14:anchorId="0440BD23" wp14:editId="59F09CE0">
            <wp:extent cx="4937760" cy="7406640"/>
            <wp:effectExtent l="0" t="0" r="0" b="3810"/>
            <wp:docPr id="147826402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264021" name="Imagen 1478264021"/>
                    <pic:cNvPicPr/>
                  </pic:nvPicPr>
                  <pic:blipFill>
                    <a:blip r:embed="rId11"/>
                    <a:stretch>
                      <a:fillRect/>
                    </a:stretch>
                  </pic:blipFill>
                  <pic:spPr>
                    <a:xfrm>
                      <a:off x="0" y="0"/>
                      <a:ext cx="4939685" cy="7409528"/>
                    </a:xfrm>
                    <a:prstGeom prst="rect">
                      <a:avLst/>
                    </a:prstGeom>
                  </pic:spPr>
                </pic:pic>
              </a:graphicData>
            </a:graphic>
          </wp:inline>
        </w:drawing>
      </w:r>
    </w:p>
    <w:p w14:paraId="0763A4A5" w14:textId="77777777" w:rsidR="00CC79BB" w:rsidRPr="009A6A72" w:rsidRDefault="00CC79BB" w:rsidP="009A6A72">
      <w:pPr>
        <w:spacing w:line="360" w:lineRule="auto"/>
        <w:jc w:val="both"/>
        <w:rPr>
          <w:rFonts w:ascii="Arial" w:hAnsi="Arial" w:cs="Arial"/>
          <w:b/>
          <w:bCs/>
        </w:rPr>
      </w:pPr>
    </w:p>
    <w:p w14:paraId="066E4DB0" w14:textId="77777777" w:rsidR="00CC79BB" w:rsidRPr="009A6A72" w:rsidRDefault="00CC79BB" w:rsidP="009A6A72">
      <w:pPr>
        <w:spacing w:line="360" w:lineRule="auto"/>
        <w:jc w:val="both"/>
        <w:rPr>
          <w:rFonts w:ascii="Arial" w:hAnsi="Arial" w:cs="Arial"/>
          <w:b/>
          <w:bCs/>
        </w:rPr>
      </w:pPr>
    </w:p>
    <w:p w14:paraId="403DBFDB" w14:textId="76E8978A" w:rsidR="008B071A" w:rsidRPr="009A6A72" w:rsidRDefault="00670F7C" w:rsidP="009A6A72">
      <w:pPr>
        <w:spacing w:line="360" w:lineRule="auto"/>
        <w:jc w:val="both"/>
        <w:rPr>
          <w:rFonts w:ascii="Arial" w:hAnsi="Arial" w:cs="Arial"/>
          <w:b/>
          <w:bCs/>
        </w:rPr>
      </w:pPr>
      <w:r w:rsidRPr="009A6A72">
        <w:rPr>
          <w:rFonts w:ascii="Arial" w:hAnsi="Arial" w:cs="Arial"/>
          <w:b/>
          <w:bCs/>
        </w:rPr>
        <w:t xml:space="preserve">Esquema de producción </w:t>
      </w:r>
    </w:p>
    <w:p w14:paraId="2D429C03" w14:textId="77777777" w:rsidR="0061158B" w:rsidRPr="009A6A72" w:rsidRDefault="0061158B" w:rsidP="009A6A72">
      <w:pPr>
        <w:spacing w:line="360" w:lineRule="auto"/>
        <w:jc w:val="both"/>
        <w:rPr>
          <w:rFonts w:ascii="Arial" w:hAnsi="Arial" w:cs="Arial"/>
          <w:b/>
          <w:bCs/>
        </w:rPr>
      </w:pPr>
      <w:r w:rsidRPr="009A6A72">
        <w:rPr>
          <w:rFonts w:ascii="Arial" w:hAnsi="Arial" w:cs="Arial"/>
          <w:b/>
          <w:bCs/>
        </w:rPr>
        <w:lastRenderedPageBreak/>
        <w:t>I. Introducción</w:t>
      </w:r>
    </w:p>
    <w:p w14:paraId="6F67D902" w14:textId="77777777" w:rsidR="0061158B" w:rsidRPr="009A6A72" w:rsidRDefault="0061158B" w:rsidP="009A6A72">
      <w:pPr>
        <w:numPr>
          <w:ilvl w:val="0"/>
          <w:numId w:val="7"/>
        </w:numPr>
        <w:spacing w:line="360" w:lineRule="auto"/>
        <w:jc w:val="both"/>
        <w:rPr>
          <w:rFonts w:ascii="Arial" w:hAnsi="Arial" w:cs="Arial"/>
        </w:rPr>
      </w:pPr>
      <w:r w:rsidRPr="009A6A72">
        <w:rPr>
          <w:rFonts w:ascii="Arial" w:hAnsi="Arial" w:cs="Arial"/>
          <w:b/>
          <w:bCs/>
        </w:rPr>
        <w:t>1. Contextualización:</w:t>
      </w:r>
      <w:r w:rsidRPr="009A6A72">
        <w:rPr>
          <w:rFonts w:ascii="Arial" w:hAnsi="Arial" w:cs="Arial"/>
        </w:rPr>
        <w:t xml:space="preserve"> Implementación del IGV (18%) a servicios digitales de empresas no domiciliadas (octubre 2024).</w:t>
      </w:r>
    </w:p>
    <w:p w14:paraId="7DFD0B39" w14:textId="77777777" w:rsidR="0061158B" w:rsidRPr="009A6A72" w:rsidRDefault="0061158B" w:rsidP="009A6A72">
      <w:pPr>
        <w:numPr>
          <w:ilvl w:val="0"/>
          <w:numId w:val="7"/>
        </w:numPr>
        <w:spacing w:line="360" w:lineRule="auto"/>
        <w:jc w:val="both"/>
        <w:rPr>
          <w:rFonts w:ascii="Arial" w:hAnsi="Arial" w:cs="Arial"/>
        </w:rPr>
      </w:pPr>
      <w:r w:rsidRPr="009A6A72">
        <w:rPr>
          <w:rFonts w:ascii="Arial" w:hAnsi="Arial" w:cs="Arial"/>
        </w:rPr>
        <w:t xml:space="preserve">2. </w:t>
      </w:r>
      <w:r w:rsidRPr="009A6A72">
        <w:rPr>
          <w:rFonts w:ascii="Arial" w:hAnsi="Arial" w:cs="Arial"/>
          <w:b/>
          <w:bCs/>
        </w:rPr>
        <w:t xml:space="preserve">Controversia: </w:t>
      </w:r>
      <w:r w:rsidRPr="009A6A72">
        <w:rPr>
          <w:rFonts w:ascii="Arial" w:hAnsi="Arial" w:cs="Arial"/>
        </w:rPr>
        <w:t>¿Está de acuerdo con este nuevo impuesto a este tipo de servicios?</w:t>
      </w:r>
    </w:p>
    <w:p w14:paraId="6FA48051" w14:textId="77777777" w:rsidR="0061158B" w:rsidRPr="009A6A72" w:rsidRDefault="0061158B" w:rsidP="009A6A72">
      <w:pPr>
        <w:numPr>
          <w:ilvl w:val="0"/>
          <w:numId w:val="7"/>
        </w:numPr>
        <w:spacing w:line="360" w:lineRule="auto"/>
        <w:jc w:val="both"/>
        <w:rPr>
          <w:rFonts w:ascii="Arial" w:hAnsi="Arial" w:cs="Arial"/>
        </w:rPr>
      </w:pPr>
      <w:r w:rsidRPr="009A6A72">
        <w:rPr>
          <w:rFonts w:ascii="Arial" w:hAnsi="Arial" w:cs="Arial"/>
          <w:b/>
          <w:bCs/>
        </w:rPr>
        <w:t>3. Tesis</w:t>
      </w:r>
      <w:r w:rsidRPr="009A6A72">
        <w:rPr>
          <w:rFonts w:ascii="Arial" w:hAnsi="Arial" w:cs="Arial"/>
        </w:rPr>
        <w:t xml:space="preserve"> (Postura): No estoy de acuerdo con la implementación de este nuevo impuesto a los servicios digitales.</w:t>
      </w:r>
    </w:p>
    <w:p w14:paraId="14DB91F3" w14:textId="77777777" w:rsidR="0061158B" w:rsidRPr="009A6A72" w:rsidRDefault="0061158B" w:rsidP="009A6A72">
      <w:pPr>
        <w:numPr>
          <w:ilvl w:val="0"/>
          <w:numId w:val="7"/>
        </w:numPr>
        <w:spacing w:line="360" w:lineRule="auto"/>
        <w:jc w:val="both"/>
        <w:rPr>
          <w:rFonts w:ascii="Arial" w:hAnsi="Arial" w:cs="Arial"/>
        </w:rPr>
      </w:pPr>
      <w:r w:rsidRPr="009A6A72">
        <w:rPr>
          <w:rFonts w:ascii="Arial" w:hAnsi="Arial" w:cs="Arial"/>
          <w:b/>
          <w:bCs/>
        </w:rPr>
        <w:t>4. Anticipación:</w:t>
      </w:r>
      <w:r w:rsidRPr="009A6A72">
        <w:rPr>
          <w:rFonts w:ascii="Arial" w:hAnsi="Arial" w:cs="Arial"/>
        </w:rPr>
        <w:t xml:space="preserve"> Se sustentará la postura en dos argumentos.</w:t>
      </w:r>
    </w:p>
    <w:p w14:paraId="467AC7C2" w14:textId="77777777" w:rsidR="0061158B" w:rsidRPr="009A6A72" w:rsidRDefault="0061158B" w:rsidP="009A6A72">
      <w:pPr>
        <w:spacing w:line="360" w:lineRule="auto"/>
        <w:jc w:val="both"/>
        <w:rPr>
          <w:rFonts w:ascii="Arial" w:hAnsi="Arial" w:cs="Arial"/>
          <w:b/>
          <w:bCs/>
        </w:rPr>
      </w:pPr>
      <w:r w:rsidRPr="009A6A72">
        <w:rPr>
          <w:rFonts w:ascii="Arial" w:hAnsi="Arial" w:cs="Arial"/>
          <w:b/>
          <w:bCs/>
        </w:rPr>
        <w:t xml:space="preserve">II. Desarrollo 1: </w:t>
      </w:r>
      <w:r w:rsidRPr="009A6A72">
        <w:rPr>
          <w:rFonts w:ascii="Arial" w:hAnsi="Arial" w:cs="Arial"/>
        </w:rPr>
        <w:t>Argumento de Causalidad</w:t>
      </w:r>
    </w:p>
    <w:p w14:paraId="6F4E24F5" w14:textId="77777777" w:rsidR="0061158B" w:rsidRPr="009A6A72" w:rsidRDefault="0061158B" w:rsidP="009A6A72">
      <w:pPr>
        <w:numPr>
          <w:ilvl w:val="0"/>
          <w:numId w:val="8"/>
        </w:numPr>
        <w:spacing w:line="360" w:lineRule="auto"/>
        <w:jc w:val="both"/>
        <w:rPr>
          <w:rFonts w:ascii="Arial" w:hAnsi="Arial" w:cs="Arial"/>
        </w:rPr>
      </w:pPr>
      <w:r w:rsidRPr="009A6A72">
        <w:rPr>
          <w:rFonts w:ascii="Arial" w:hAnsi="Arial" w:cs="Arial"/>
        </w:rPr>
        <w:t xml:space="preserve">1. Idea Principal (Tesis + </w:t>
      </w:r>
      <w:proofErr w:type="spellStart"/>
      <w:r w:rsidRPr="009A6A72">
        <w:rPr>
          <w:rFonts w:ascii="Arial" w:hAnsi="Arial" w:cs="Arial"/>
        </w:rPr>
        <w:t>Arg</w:t>
      </w:r>
      <w:proofErr w:type="spellEnd"/>
      <w:r w:rsidRPr="009A6A72">
        <w:rPr>
          <w:rFonts w:ascii="Arial" w:hAnsi="Arial" w:cs="Arial"/>
        </w:rPr>
        <w:t xml:space="preserve"> 1): No estoy de acuerdo, ya que la medida trasladará el costo del impuesto directamente al consumidor, perjudicando a la ciudadanía.</w:t>
      </w:r>
    </w:p>
    <w:p w14:paraId="23ECAFC9" w14:textId="74237878" w:rsidR="0061158B" w:rsidRPr="009A6A72" w:rsidRDefault="0061158B" w:rsidP="009A6A72">
      <w:pPr>
        <w:numPr>
          <w:ilvl w:val="1"/>
          <w:numId w:val="8"/>
        </w:numPr>
        <w:spacing w:line="360" w:lineRule="auto"/>
        <w:jc w:val="both"/>
        <w:rPr>
          <w:rFonts w:ascii="Arial" w:hAnsi="Arial" w:cs="Arial"/>
        </w:rPr>
      </w:pPr>
      <w:r w:rsidRPr="009A6A72">
        <w:rPr>
          <w:rFonts w:ascii="Arial" w:hAnsi="Arial" w:cs="Arial"/>
        </w:rPr>
        <w:t xml:space="preserve">1.1. Cadena Causal: Impuesto (18%) </w:t>
      </w:r>
      <w:r w:rsidR="0084117E" w:rsidRPr="009A6A72">
        <w:rPr>
          <w:rFonts w:ascii="Arial" w:hAnsi="Arial" w:cs="Arial"/>
        </w:rPr>
        <w:t>--</w:t>
      </w:r>
      <w:r w:rsidRPr="009A6A72">
        <w:rPr>
          <w:rFonts w:ascii="Arial" w:hAnsi="Arial" w:cs="Arial"/>
        </w:rPr>
        <w:t xml:space="preserve">Empresas trasladan costo </w:t>
      </w:r>
      <w:r w:rsidR="0084117E" w:rsidRPr="009A6A72">
        <w:rPr>
          <w:rFonts w:ascii="Arial" w:hAnsi="Arial" w:cs="Arial"/>
        </w:rPr>
        <w:t>--</w:t>
      </w:r>
      <w:r w:rsidRPr="009A6A72">
        <w:rPr>
          <w:rFonts w:ascii="Arial" w:hAnsi="Arial" w:cs="Arial"/>
        </w:rPr>
        <w:t>Incremento de tarifas.</w:t>
      </w:r>
    </w:p>
    <w:p w14:paraId="4A207155" w14:textId="77777777" w:rsidR="0061158B" w:rsidRPr="009A6A72" w:rsidRDefault="0061158B" w:rsidP="009A6A72">
      <w:pPr>
        <w:numPr>
          <w:ilvl w:val="1"/>
          <w:numId w:val="8"/>
        </w:numPr>
        <w:spacing w:line="360" w:lineRule="auto"/>
        <w:jc w:val="both"/>
        <w:rPr>
          <w:rFonts w:ascii="Arial" w:hAnsi="Arial" w:cs="Arial"/>
        </w:rPr>
      </w:pPr>
      <w:r w:rsidRPr="009A6A72">
        <w:rPr>
          <w:rFonts w:ascii="Arial" w:hAnsi="Arial" w:cs="Arial"/>
        </w:rPr>
        <w:t>1.2. Reafirmación: La medida sacrifica el poder adquisitivo del usuario.</w:t>
      </w:r>
    </w:p>
    <w:p w14:paraId="59A8B660" w14:textId="77777777" w:rsidR="0061158B" w:rsidRPr="009A6A72" w:rsidRDefault="0061158B" w:rsidP="009A6A72">
      <w:pPr>
        <w:spacing w:line="360" w:lineRule="auto"/>
        <w:jc w:val="both"/>
        <w:rPr>
          <w:rFonts w:ascii="Arial" w:hAnsi="Arial" w:cs="Arial"/>
          <w:b/>
          <w:bCs/>
        </w:rPr>
      </w:pPr>
      <w:r w:rsidRPr="009A6A72">
        <w:rPr>
          <w:rFonts w:ascii="Arial" w:hAnsi="Arial" w:cs="Arial"/>
          <w:b/>
          <w:bCs/>
        </w:rPr>
        <w:t>III. Desarrollo 2: Argumento de Crítica al Enfoque (Generalización)</w:t>
      </w:r>
    </w:p>
    <w:p w14:paraId="38695B50" w14:textId="77777777" w:rsidR="0061158B" w:rsidRPr="009A6A72" w:rsidRDefault="0061158B" w:rsidP="009A6A72">
      <w:pPr>
        <w:numPr>
          <w:ilvl w:val="0"/>
          <w:numId w:val="9"/>
        </w:numPr>
        <w:spacing w:line="360" w:lineRule="auto"/>
        <w:jc w:val="both"/>
        <w:rPr>
          <w:rFonts w:ascii="Arial" w:hAnsi="Arial" w:cs="Arial"/>
        </w:rPr>
      </w:pPr>
      <w:r w:rsidRPr="009A6A72">
        <w:rPr>
          <w:rFonts w:ascii="Arial" w:hAnsi="Arial" w:cs="Arial"/>
        </w:rPr>
        <w:t xml:space="preserve">1. Idea Principal (Tesis + </w:t>
      </w:r>
      <w:proofErr w:type="spellStart"/>
      <w:r w:rsidRPr="009A6A72">
        <w:rPr>
          <w:rFonts w:ascii="Arial" w:hAnsi="Arial" w:cs="Arial"/>
        </w:rPr>
        <w:t>Arg</w:t>
      </w:r>
      <w:proofErr w:type="spellEnd"/>
      <w:r w:rsidRPr="009A6A72">
        <w:rPr>
          <w:rFonts w:ascii="Arial" w:hAnsi="Arial" w:cs="Arial"/>
        </w:rPr>
        <w:t xml:space="preserve"> 2): No estoy de acuerdo, puesto que la focalización en el IGV es una solución simplista que ignora las causas estructurales de la baja recaudación.</w:t>
      </w:r>
    </w:p>
    <w:p w14:paraId="3CE0EF1E" w14:textId="77777777" w:rsidR="0061158B" w:rsidRPr="009A6A72" w:rsidRDefault="0061158B" w:rsidP="009A6A72">
      <w:pPr>
        <w:numPr>
          <w:ilvl w:val="1"/>
          <w:numId w:val="9"/>
        </w:numPr>
        <w:spacing w:line="360" w:lineRule="auto"/>
        <w:jc w:val="both"/>
        <w:rPr>
          <w:rFonts w:ascii="Arial" w:hAnsi="Arial" w:cs="Arial"/>
        </w:rPr>
      </w:pPr>
      <w:r w:rsidRPr="009A6A72">
        <w:rPr>
          <w:rFonts w:ascii="Arial" w:hAnsi="Arial" w:cs="Arial"/>
          <w:b/>
          <w:bCs/>
        </w:rPr>
        <w:t>1.1. Argumento Clave</w:t>
      </w:r>
      <w:r w:rsidRPr="009A6A72">
        <w:rPr>
          <w:rFonts w:ascii="Arial" w:hAnsi="Arial" w:cs="Arial"/>
        </w:rPr>
        <w:t>: El IGV es un impuesto regresivo que no combate la evasión y elusión fiscal de grandes corporaciones nacionales, que es el verdadero problema fiscal.</w:t>
      </w:r>
    </w:p>
    <w:p w14:paraId="1C4230AF" w14:textId="77777777" w:rsidR="0061158B" w:rsidRPr="009A6A72" w:rsidRDefault="0061158B" w:rsidP="009A6A72">
      <w:pPr>
        <w:numPr>
          <w:ilvl w:val="1"/>
          <w:numId w:val="9"/>
        </w:numPr>
        <w:spacing w:line="360" w:lineRule="auto"/>
        <w:jc w:val="both"/>
        <w:rPr>
          <w:rFonts w:ascii="Arial" w:hAnsi="Arial" w:cs="Arial"/>
        </w:rPr>
      </w:pPr>
      <w:r w:rsidRPr="009A6A72">
        <w:rPr>
          <w:rFonts w:ascii="Arial" w:hAnsi="Arial" w:cs="Arial"/>
        </w:rPr>
        <w:t>1.2. Reafirmación: Recaer el peso en el consumo digital es un paliativo ineficaz.</w:t>
      </w:r>
    </w:p>
    <w:p w14:paraId="32527ACC" w14:textId="77777777" w:rsidR="0061158B" w:rsidRPr="009A6A72" w:rsidRDefault="0061158B" w:rsidP="009A6A72">
      <w:pPr>
        <w:spacing w:line="360" w:lineRule="auto"/>
        <w:jc w:val="both"/>
        <w:rPr>
          <w:rFonts w:ascii="Arial" w:hAnsi="Arial" w:cs="Arial"/>
          <w:b/>
          <w:bCs/>
        </w:rPr>
      </w:pPr>
      <w:r w:rsidRPr="009A6A72">
        <w:rPr>
          <w:rFonts w:ascii="Arial" w:hAnsi="Arial" w:cs="Arial"/>
          <w:b/>
          <w:bCs/>
        </w:rPr>
        <w:t>IV. Cierre</w:t>
      </w:r>
    </w:p>
    <w:p w14:paraId="213DBA0E" w14:textId="77777777" w:rsidR="0061158B" w:rsidRPr="009A6A72" w:rsidRDefault="0061158B" w:rsidP="009A6A72">
      <w:pPr>
        <w:numPr>
          <w:ilvl w:val="0"/>
          <w:numId w:val="10"/>
        </w:numPr>
        <w:spacing w:line="360" w:lineRule="auto"/>
        <w:jc w:val="both"/>
        <w:rPr>
          <w:rFonts w:ascii="Arial" w:hAnsi="Arial" w:cs="Arial"/>
        </w:rPr>
      </w:pPr>
      <w:r w:rsidRPr="009A6A72">
        <w:rPr>
          <w:rFonts w:ascii="Arial" w:hAnsi="Arial" w:cs="Arial"/>
          <w:b/>
          <w:bCs/>
        </w:rPr>
        <w:t xml:space="preserve">1. Conector: </w:t>
      </w:r>
      <w:r w:rsidRPr="009A6A72">
        <w:rPr>
          <w:rFonts w:ascii="Arial" w:hAnsi="Arial" w:cs="Arial"/>
        </w:rPr>
        <w:t>En síntesis.</w:t>
      </w:r>
    </w:p>
    <w:p w14:paraId="58176BAC" w14:textId="77777777" w:rsidR="0061158B" w:rsidRPr="009A6A72" w:rsidRDefault="0061158B" w:rsidP="009A6A72">
      <w:pPr>
        <w:numPr>
          <w:ilvl w:val="0"/>
          <w:numId w:val="10"/>
        </w:numPr>
        <w:spacing w:line="360" w:lineRule="auto"/>
        <w:jc w:val="both"/>
        <w:rPr>
          <w:rFonts w:ascii="Arial" w:hAnsi="Arial" w:cs="Arial"/>
        </w:rPr>
      </w:pPr>
      <w:r w:rsidRPr="009A6A72">
        <w:rPr>
          <w:rFonts w:ascii="Arial" w:hAnsi="Arial" w:cs="Arial"/>
          <w:b/>
          <w:bCs/>
        </w:rPr>
        <w:t>2. Reafirmación de Tesis</w:t>
      </w:r>
      <w:r w:rsidRPr="009A6A72">
        <w:rPr>
          <w:rFonts w:ascii="Arial" w:hAnsi="Arial" w:cs="Arial"/>
        </w:rPr>
        <w:t>: El impuesto es inadecuado por encarecer el servicio y no ser una solución de fondo.</w:t>
      </w:r>
    </w:p>
    <w:p w14:paraId="158A955B" w14:textId="77777777" w:rsidR="0061158B" w:rsidRPr="009A6A72" w:rsidRDefault="0061158B" w:rsidP="009A6A72">
      <w:pPr>
        <w:numPr>
          <w:ilvl w:val="0"/>
          <w:numId w:val="10"/>
        </w:numPr>
        <w:spacing w:line="360" w:lineRule="auto"/>
        <w:jc w:val="both"/>
        <w:rPr>
          <w:rFonts w:ascii="Arial" w:hAnsi="Arial" w:cs="Arial"/>
          <w:b/>
          <w:bCs/>
        </w:rPr>
      </w:pPr>
      <w:r w:rsidRPr="009A6A72">
        <w:rPr>
          <w:rFonts w:ascii="Arial" w:hAnsi="Arial" w:cs="Arial"/>
          <w:b/>
          <w:bCs/>
        </w:rPr>
        <w:t>3. Propuestas de Solución:</w:t>
      </w:r>
    </w:p>
    <w:p w14:paraId="00907ECE" w14:textId="77777777" w:rsidR="0061158B" w:rsidRPr="009A6A72" w:rsidRDefault="0061158B" w:rsidP="009A6A72">
      <w:pPr>
        <w:numPr>
          <w:ilvl w:val="1"/>
          <w:numId w:val="10"/>
        </w:numPr>
        <w:spacing w:line="360" w:lineRule="auto"/>
        <w:jc w:val="both"/>
        <w:rPr>
          <w:rFonts w:ascii="Arial" w:hAnsi="Arial" w:cs="Arial"/>
        </w:rPr>
      </w:pPr>
      <w:r w:rsidRPr="009A6A72">
        <w:rPr>
          <w:rFonts w:ascii="Arial" w:hAnsi="Arial" w:cs="Arial"/>
        </w:rPr>
        <w:lastRenderedPageBreak/>
        <w:t>3.1. Priorizar la fiscalización y persecución de la evasión de grandes empresas.</w:t>
      </w:r>
    </w:p>
    <w:p w14:paraId="425D67E6" w14:textId="77777777" w:rsidR="0061158B" w:rsidRPr="009A6A72" w:rsidRDefault="0061158B" w:rsidP="009A6A72">
      <w:pPr>
        <w:numPr>
          <w:ilvl w:val="1"/>
          <w:numId w:val="10"/>
        </w:numPr>
        <w:spacing w:line="360" w:lineRule="auto"/>
        <w:jc w:val="both"/>
        <w:rPr>
          <w:rFonts w:ascii="Arial" w:hAnsi="Arial" w:cs="Arial"/>
        </w:rPr>
      </w:pPr>
      <w:r w:rsidRPr="009A6A72">
        <w:rPr>
          <w:rFonts w:ascii="Arial" w:hAnsi="Arial" w:cs="Arial"/>
        </w:rPr>
        <w:t>3.2. Garantizar una transición responsable sin trasladar el 100% del costo al consumidor.</w:t>
      </w:r>
    </w:p>
    <w:p w14:paraId="5C940D50" w14:textId="72525B55" w:rsidR="0061158B" w:rsidRPr="009A6A72" w:rsidRDefault="0061158B" w:rsidP="009A6A72">
      <w:pPr>
        <w:spacing w:line="360" w:lineRule="auto"/>
        <w:jc w:val="both"/>
        <w:rPr>
          <w:rFonts w:ascii="Arial" w:hAnsi="Arial" w:cs="Arial"/>
          <w:b/>
          <w:bCs/>
        </w:rPr>
      </w:pPr>
      <w:r w:rsidRPr="009A6A72">
        <w:rPr>
          <w:rFonts w:ascii="Arial" w:hAnsi="Arial" w:cs="Arial"/>
          <w:b/>
          <w:bCs/>
        </w:rPr>
        <w:t xml:space="preserve">Texto Argumentativo </w:t>
      </w:r>
    </w:p>
    <w:p w14:paraId="36CF9645" w14:textId="5C86CE8D" w:rsidR="0061158B" w:rsidRPr="009A6A72" w:rsidRDefault="0061158B" w:rsidP="009A6A72">
      <w:pPr>
        <w:spacing w:line="360" w:lineRule="auto"/>
        <w:jc w:val="both"/>
        <w:rPr>
          <w:rFonts w:ascii="Arial" w:hAnsi="Arial" w:cs="Arial"/>
          <w:b/>
          <w:bCs/>
        </w:rPr>
      </w:pPr>
      <w:r w:rsidRPr="009A6A72">
        <w:rPr>
          <w:rFonts w:ascii="Arial" w:hAnsi="Arial" w:cs="Arial"/>
          <w:b/>
          <w:bCs/>
        </w:rPr>
        <w:t>IGV Digital: Un Impuesto que Prioriza la Recaudación Fácil y Somete al Consumidor Peruano</w:t>
      </w:r>
    </w:p>
    <w:p w14:paraId="20DFFF32" w14:textId="008F3DF1" w:rsidR="009A6A72" w:rsidRPr="009A6A72" w:rsidRDefault="009A6A72" w:rsidP="009A6A72">
      <w:pPr>
        <w:spacing w:line="360" w:lineRule="auto"/>
        <w:jc w:val="both"/>
        <w:rPr>
          <w:rFonts w:ascii="Arial" w:hAnsi="Arial" w:cs="Arial"/>
        </w:rPr>
      </w:pPr>
      <w:r w:rsidRPr="009A6A72">
        <w:rPr>
          <w:rFonts w:ascii="Arial" w:hAnsi="Arial" w:cs="Arial"/>
        </w:rPr>
        <w:t xml:space="preserve">El contexto económico y fiscal del Perú experimentó una sacudida significativa en 2024 cuando el gobierno anunció, a través del </w:t>
      </w:r>
      <w:r w:rsidRPr="009A6A72">
        <w:rPr>
          <w:rFonts w:ascii="Arial" w:hAnsi="Arial" w:cs="Arial"/>
          <w:i/>
          <w:iCs/>
        </w:rPr>
        <w:t>Decreto Legislativo N.º 1623</w:t>
      </w:r>
      <w:r w:rsidRPr="009A6A72">
        <w:rPr>
          <w:rFonts w:ascii="Arial" w:hAnsi="Arial" w:cs="Arial"/>
        </w:rPr>
        <w:t>, la implementación del Impuesto General a las Ventas (IGV) del 18% sobre los servicios digitales ofrecidos por empresas no domiciliadas</w:t>
      </w:r>
      <w:r>
        <w:rPr>
          <w:rFonts w:ascii="Arial" w:hAnsi="Arial" w:cs="Arial"/>
        </w:rPr>
        <w:t>, e</w:t>
      </w:r>
      <w:r w:rsidRPr="009A6A72">
        <w:rPr>
          <w:rFonts w:ascii="Arial" w:hAnsi="Arial" w:cs="Arial"/>
        </w:rPr>
        <w:t xml:space="preserve">sta medida, que se estima comenzará a regir en octubre, tiene como objetivo principal ampliar la base tributaria y generar una recaudación adicional, ya que plataformas de consumo masivo como Netflix, Spotify y los servicios de </w:t>
      </w:r>
      <w:proofErr w:type="spellStart"/>
      <w:r w:rsidRPr="009A6A72">
        <w:rPr>
          <w:rFonts w:ascii="Arial" w:hAnsi="Arial" w:cs="Arial"/>
          <w:i/>
          <w:iCs/>
        </w:rPr>
        <w:t>gaming</w:t>
      </w:r>
      <w:proofErr w:type="spellEnd"/>
      <w:r w:rsidRPr="009A6A72">
        <w:rPr>
          <w:rFonts w:ascii="Arial" w:hAnsi="Arial" w:cs="Arial"/>
        </w:rPr>
        <w:t xml:space="preserve"> son las principales afectadas</w:t>
      </w:r>
      <w:r>
        <w:rPr>
          <w:rFonts w:ascii="Arial" w:hAnsi="Arial" w:cs="Arial"/>
        </w:rPr>
        <w:t>; n</w:t>
      </w:r>
      <w:r w:rsidRPr="009A6A72">
        <w:rPr>
          <w:rFonts w:ascii="Arial" w:hAnsi="Arial" w:cs="Arial"/>
        </w:rPr>
        <w:t>o obstante, la promesa de una supuesta “nivelación” con las empresas nacionales se ve opacada por la inminente preocupación: el posible y casi inevitable incremento de las tarifas para los usuarios peruanos</w:t>
      </w:r>
      <w:r>
        <w:rPr>
          <w:rFonts w:ascii="Arial" w:hAnsi="Arial" w:cs="Arial"/>
        </w:rPr>
        <w:t>, e</w:t>
      </w:r>
      <w:r w:rsidRPr="009A6A72">
        <w:rPr>
          <w:rFonts w:ascii="Arial" w:hAnsi="Arial" w:cs="Arial"/>
        </w:rPr>
        <w:t>n este marco de tensiones entre la necesidad fiscal y el bienestar ciudadano, se plantea la controversia: ¿está usted de acuerdo con este nuevo impuesto a este tipo de servicios? En cuanto a esta compleja situación, mi postura es de absoluto desacuerdo con la implementación de este nuevo impuesto a los servicios digitales. A continuación, desarrollaré los argumentos que demuestran la ineficacia y el perjuicio de esta medida.</w:t>
      </w:r>
    </w:p>
    <w:p w14:paraId="4C4DF708" w14:textId="1A87E82D" w:rsidR="009A6A72" w:rsidRPr="009A6A72" w:rsidRDefault="009A6A72" w:rsidP="009A6A72">
      <w:pPr>
        <w:spacing w:line="360" w:lineRule="auto"/>
        <w:jc w:val="both"/>
        <w:rPr>
          <w:rFonts w:ascii="Arial" w:hAnsi="Arial" w:cs="Arial"/>
        </w:rPr>
      </w:pPr>
      <w:r w:rsidRPr="009A6A72">
        <w:rPr>
          <w:rFonts w:ascii="Arial" w:hAnsi="Arial" w:cs="Arial"/>
        </w:rPr>
        <w:t>Por un lado, no estoy de acuerdo con este impuesto, ya que la aplicación del IGV del 18% generará una cadena causal cuyo eslabón final y más afectado será el consumidor peruano, trasladando el costo fiscal directamente a su bolsillo</w:t>
      </w:r>
      <w:r>
        <w:rPr>
          <w:rFonts w:ascii="Arial" w:hAnsi="Arial" w:cs="Arial"/>
        </w:rPr>
        <w:t>, s</w:t>
      </w:r>
      <w:r w:rsidRPr="009A6A72">
        <w:rPr>
          <w:rFonts w:ascii="Arial" w:hAnsi="Arial" w:cs="Arial"/>
        </w:rPr>
        <w:t>i bien la norma impone el tributo a la empresa extranjera no domiciliada, la realidad del mercado global dicta que las grandes plataformas priorizarán la uniformidad de sus márgenes de ganancia, por lo tanto, el proceso es simple y directo: el Estado peruano exige el IGV, la empresa transnacional lo incluye como un sobrecosto en la tarifa local y, en consecuencia, el precio final del servicio se incrementa. Por ejemplo, una suscripción de S/30.00 pasaría a costar aproximadamente S/35.40, un salto que, aunque parezca pequeño, representa una presión adicional en un entorno económico de lenta recuperación y alta inflación</w:t>
      </w:r>
      <w:r>
        <w:rPr>
          <w:rFonts w:ascii="Arial" w:hAnsi="Arial" w:cs="Arial"/>
        </w:rPr>
        <w:t>, el</w:t>
      </w:r>
      <w:r w:rsidRPr="009A6A72">
        <w:rPr>
          <w:rFonts w:ascii="Arial" w:hAnsi="Arial" w:cs="Arial"/>
        </w:rPr>
        <w:t xml:space="preserve"> impacto es particularmente duro para los jóvenes y estudiantes, quienes son los principales consumidores de estos servicios y cuyo presupuesto suele ser más ajustado</w:t>
      </w:r>
      <w:r>
        <w:rPr>
          <w:rFonts w:ascii="Arial" w:hAnsi="Arial" w:cs="Arial"/>
        </w:rPr>
        <w:t>; e</w:t>
      </w:r>
      <w:r w:rsidRPr="009A6A72">
        <w:rPr>
          <w:rFonts w:ascii="Arial" w:hAnsi="Arial" w:cs="Arial"/>
        </w:rPr>
        <w:t xml:space="preserve">n consecuencia, esta medida podría incluso ser inconstitucional en su efecto, pues </w:t>
      </w:r>
      <w:r w:rsidRPr="009A6A72">
        <w:rPr>
          <w:rFonts w:ascii="Arial" w:hAnsi="Arial" w:cs="Arial"/>
        </w:rPr>
        <w:lastRenderedPageBreak/>
        <w:t xml:space="preserve">contradice lo dispuesto en el </w:t>
      </w:r>
      <w:r w:rsidRPr="009A6A72">
        <w:rPr>
          <w:rFonts w:ascii="Arial" w:hAnsi="Arial" w:cs="Arial"/>
          <w:i/>
          <w:iCs/>
        </w:rPr>
        <w:t>Artículo 65 de la Constitución Política del Perú</w:t>
      </w:r>
      <w:r w:rsidRPr="009A6A72">
        <w:rPr>
          <w:rFonts w:ascii="Arial" w:hAnsi="Arial" w:cs="Arial"/>
        </w:rPr>
        <w:t>, el cual establece la defensa del consumidor como una política de interés nacional, siendo este incremento de costos un claro perjuicio a sus intereses económicos (Espinoza, 2024).</w:t>
      </w:r>
    </w:p>
    <w:p w14:paraId="660ACDE3" w14:textId="0620EE73" w:rsidR="009A6A72" w:rsidRPr="009A6A72" w:rsidRDefault="009A6A72" w:rsidP="009A6A72">
      <w:pPr>
        <w:spacing w:line="360" w:lineRule="auto"/>
        <w:jc w:val="both"/>
        <w:rPr>
          <w:rFonts w:ascii="Arial" w:hAnsi="Arial" w:cs="Arial"/>
        </w:rPr>
      </w:pPr>
      <w:r w:rsidRPr="009A6A72">
        <w:rPr>
          <w:rFonts w:ascii="Arial" w:hAnsi="Arial" w:cs="Arial"/>
        </w:rPr>
        <w:t>Por otro lado, mi desacuerdo también se basa en que la focalización en el IGV a servicios digitales constituye una solución fiscal simplista que ignora la raíz de la baja recaudación y la ineficacia tributaria estructural que aquejan al país</w:t>
      </w:r>
      <w:r>
        <w:rPr>
          <w:rFonts w:ascii="Arial" w:hAnsi="Arial" w:cs="Arial"/>
        </w:rPr>
        <w:t>, l</w:t>
      </w:r>
      <w:r w:rsidRPr="009A6A72">
        <w:rPr>
          <w:rFonts w:ascii="Arial" w:hAnsi="Arial" w:cs="Arial"/>
        </w:rPr>
        <w:t>a medida se enmarca en la necesidad de ampliar la base fiscal y se justifica bajo el argumento de la “equidad” o “nivelación” con las empresas nacionales, sin embargo, al centrarse en un impuesto regresivo como el IGV, se está recurriendo a la vía fácil</w:t>
      </w:r>
      <w:r>
        <w:rPr>
          <w:rFonts w:ascii="Arial" w:hAnsi="Arial" w:cs="Arial"/>
        </w:rPr>
        <w:t>, e</w:t>
      </w:r>
      <w:r w:rsidRPr="009A6A72">
        <w:rPr>
          <w:rFonts w:ascii="Arial" w:hAnsi="Arial" w:cs="Arial"/>
        </w:rPr>
        <w:t>sto se debe a que el IGV es un impuesto al consumo, el cual afecta a la totalidad de la población por igual, independientemente de su nivel de ingresos. En general, la verdadera hemorragia fiscal del Perú no proviene de la falta de impuestos a Netflix, sino de la evasión y elusión fiscal de grandes contribuyentes y corporaciones nacionales, una problemática que asciende a millones de soles y que requiere una fiscalización más robusta y compleja que la simple imposición de un IGV</w:t>
      </w:r>
      <w:r>
        <w:rPr>
          <w:rFonts w:ascii="Arial" w:hAnsi="Arial" w:cs="Arial"/>
        </w:rPr>
        <w:t>, a</w:t>
      </w:r>
      <w:r w:rsidRPr="009A6A72">
        <w:rPr>
          <w:rFonts w:ascii="Arial" w:hAnsi="Arial" w:cs="Arial"/>
        </w:rPr>
        <w:t>l promover esta norma, el gobierno desvía la atención de la necesidad urgente de modernizar la SUNAT para combatir la elusión a gran escala y mejorar la eficiencia del gasto público</w:t>
      </w:r>
      <w:r>
        <w:rPr>
          <w:rFonts w:ascii="Arial" w:hAnsi="Arial" w:cs="Arial"/>
        </w:rPr>
        <w:t>; p</w:t>
      </w:r>
      <w:r w:rsidRPr="009A6A72">
        <w:rPr>
          <w:rFonts w:ascii="Arial" w:hAnsi="Arial" w:cs="Arial"/>
        </w:rPr>
        <w:t>or consiguiente, recaer el peso de la recaudación en el consumo digital es un paliativo ineficaz que no ataca el verdadero problema.</w:t>
      </w:r>
    </w:p>
    <w:p w14:paraId="47897174" w14:textId="1DD85754" w:rsidR="009A6A72" w:rsidRPr="009A6A72" w:rsidRDefault="009A6A72" w:rsidP="009A6A72">
      <w:pPr>
        <w:spacing w:line="360" w:lineRule="auto"/>
        <w:jc w:val="both"/>
        <w:rPr>
          <w:rFonts w:ascii="Arial" w:hAnsi="Arial" w:cs="Arial"/>
        </w:rPr>
      </w:pPr>
      <w:r w:rsidRPr="009A6A72">
        <w:rPr>
          <w:rFonts w:ascii="Arial" w:hAnsi="Arial" w:cs="Arial"/>
        </w:rPr>
        <w:t>Finalmente, la imposición del IGV a los servicios digitales, a pesar de sus nobles intenciones recaudatorias, es una medida profundamente inadecuada debido a su efecto directo en el encarecimiento del servicio para el usuario final y porque representa una solución superficial que elude la reforma fiscal de fondo. Por lo expuesto, la vía más responsable para incrementar la recaudación debe ser la implementación de un enfoque estratégico y ético</w:t>
      </w:r>
      <w:r>
        <w:rPr>
          <w:rFonts w:ascii="Arial" w:hAnsi="Arial" w:cs="Arial"/>
        </w:rPr>
        <w:t>; e</w:t>
      </w:r>
      <w:r w:rsidRPr="009A6A72">
        <w:rPr>
          <w:rFonts w:ascii="Arial" w:hAnsi="Arial" w:cs="Arial"/>
        </w:rPr>
        <w:t>n primer lugar, es imperativo que el Estado peruano intensifique la fiscalización y la persecución a la evasión y elusión fiscal de las grandes corporaciones con presencia física en el país, un esfuerzo que, si se realiza con transparencia, tendría un impacto económico superior al estimado por el impuesto digital</w:t>
      </w:r>
      <w:r>
        <w:rPr>
          <w:rFonts w:ascii="Arial" w:hAnsi="Arial" w:cs="Arial"/>
        </w:rPr>
        <w:t>; e</w:t>
      </w:r>
      <w:r w:rsidRPr="009A6A72">
        <w:rPr>
          <w:rFonts w:ascii="Arial" w:hAnsi="Arial" w:cs="Arial"/>
        </w:rPr>
        <w:t>n segundo lugar, se debe garantizar una transición responsable, estableciendo mecanismos que obliguen a las empresas extranjeras a absorber parte del costo inicial en lugar de trasladar el 100% del impuesto al consumidor, cumpliendo así con el mandato constitucional de defensa del ciudadano. En síntesis, solo mediante el ataque a los problemas estructurales y la protección de los intereses ciudadanos se logrará una verdadera equidad tributaria en la era digital.</w:t>
      </w:r>
    </w:p>
    <w:p w14:paraId="2210A4E1" w14:textId="2A3EDA1F" w:rsidR="0061158B" w:rsidRPr="009A6A72" w:rsidRDefault="0061158B" w:rsidP="009A6A72">
      <w:pPr>
        <w:spacing w:line="360" w:lineRule="auto"/>
        <w:jc w:val="both"/>
        <w:rPr>
          <w:rFonts w:ascii="Arial" w:hAnsi="Arial" w:cs="Arial"/>
          <w:b/>
          <w:bCs/>
        </w:rPr>
      </w:pPr>
    </w:p>
    <w:p w14:paraId="1DCEB160" w14:textId="77777777" w:rsidR="009A6A72" w:rsidRDefault="009A6A72" w:rsidP="009A6A72">
      <w:pPr>
        <w:spacing w:line="360" w:lineRule="auto"/>
        <w:jc w:val="both"/>
        <w:rPr>
          <w:rFonts w:ascii="Arial" w:hAnsi="Arial" w:cs="Arial"/>
          <w:b/>
          <w:bCs/>
        </w:rPr>
      </w:pPr>
    </w:p>
    <w:p w14:paraId="09089B6A" w14:textId="77777777" w:rsidR="009A6A72" w:rsidRDefault="009A6A72" w:rsidP="009A6A72">
      <w:pPr>
        <w:spacing w:line="360" w:lineRule="auto"/>
        <w:jc w:val="both"/>
        <w:rPr>
          <w:rFonts w:ascii="Arial" w:hAnsi="Arial" w:cs="Arial"/>
          <w:b/>
          <w:bCs/>
        </w:rPr>
      </w:pPr>
    </w:p>
    <w:p w14:paraId="485994B4" w14:textId="1D77691F" w:rsidR="009A6A72" w:rsidRDefault="0061158B" w:rsidP="009A6A72">
      <w:pPr>
        <w:spacing w:line="360" w:lineRule="auto"/>
        <w:jc w:val="both"/>
        <w:rPr>
          <w:rFonts w:ascii="Arial" w:hAnsi="Arial" w:cs="Arial"/>
          <w:b/>
          <w:bCs/>
        </w:rPr>
      </w:pPr>
      <w:r w:rsidRPr="009A6A72">
        <w:rPr>
          <w:rFonts w:ascii="Arial" w:hAnsi="Arial" w:cs="Arial"/>
          <w:b/>
          <w:bCs/>
        </w:rPr>
        <w:t>4. Fuentes de Información</w:t>
      </w:r>
    </w:p>
    <w:p w14:paraId="038F9761" w14:textId="77777777" w:rsidR="009A6A72" w:rsidRPr="009A6A72" w:rsidRDefault="009A6A72" w:rsidP="009A6A72">
      <w:pPr>
        <w:spacing w:line="360" w:lineRule="auto"/>
        <w:jc w:val="both"/>
        <w:rPr>
          <w:rFonts w:ascii="Arial" w:hAnsi="Arial" w:cs="Arial"/>
        </w:rPr>
      </w:pPr>
      <w:r w:rsidRPr="009A6A72">
        <w:rPr>
          <w:rFonts w:ascii="Arial" w:hAnsi="Arial" w:cs="Arial"/>
        </w:rPr>
        <w:t xml:space="preserve">Espinoza, A. (2024). </w:t>
      </w:r>
      <w:r w:rsidRPr="009A6A72">
        <w:rPr>
          <w:rFonts w:ascii="Arial" w:hAnsi="Arial" w:cs="Arial"/>
          <w:i/>
          <w:iCs/>
        </w:rPr>
        <w:t xml:space="preserve">Impuesto Netflix: ¿Cuáles son las plataformas digitales a las que la </w:t>
      </w:r>
      <w:proofErr w:type="spellStart"/>
      <w:r w:rsidRPr="009A6A72">
        <w:rPr>
          <w:rFonts w:ascii="Arial" w:hAnsi="Arial" w:cs="Arial"/>
          <w:i/>
          <w:iCs/>
        </w:rPr>
        <w:t>Sunat</w:t>
      </w:r>
      <w:proofErr w:type="spellEnd"/>
      <w:r w:rsidRPr="009A6A72">
        <w:rPr>
          <w:rFonts w:ascii="Arial" w:hAnsi="Arial" w:cs="Arial"/>
          <w:i/>
          <w:iCs/>
        </w:rPr>
        <w:t xml:space="preserve"> aplicará el cobro del IGV?</w:t>
      </w:r>
      <w:r w:rsidRPr="009A6A72">
        <w:rPr>
          <w:rFonts w:ascii="Arial" w:hAnsi="Arial" w:cs="Arial"/>
        </w:rPr>
        <w:t xml:space="preserve"> </w:t>
      </w:r>
      <w:r w:rsidRPr="009A6A72">
        <w:rPr>
          <w:rFonts w:ascii="Arial" w:hAnsi="Arial" w:cs="Arial"/>
          <w:i/>
          <w:iCs/>
        </w:rPr>
        <w:t>La República.</w:t>
      </w:r>
      <w:r w:rsidRPr="009A6A72">
        <w:rPr>
          <w:rFonts w:ascii="Arial" w:hAnsi="Arial" w:cs="Arial"/>
        </w:rPr>
        <w:t xml:space="preserve"> </w:t>
      </w:r>
      <w:hyperlink r:id="rId12" w:tgtFrame="_new" w:history="1">
        <w:r w:rsidRPr="009A6A72">
          <w:rPr>
            <w:rStyle w:val="Hipervnculo"/>
            <w:rFonts w:ascii="Arial" w:hAnsi="Arial" w:cs="Arial"/>
          </w:rPr>
          <w:t>https://tinyurl.com/28vr6w2z</w:t>
        </w:r>
      </w:hyperlink>
    </w:p>
    <w:p w14:paraId="36AF1039" w14:textId="77777777" w:rsidR="009A6A72" w:rsidRPr="009A6A72" w:rsidRDefault="009A6A72" w:rsidP="009A6A72">
      <w:pPr>
        <w:spacing w:line="360" w:lineRule="auto"/>
        <w:jc w:val="both"/>
        <w:rPr>
          <w:rFonts w:ascii="Arial" w:hAnsi="Arial" w:cs="Arial"/>
        </w:rPr>
      </w:pPr>
      <w:r w:rsidRPr="009A6A72">
        <w:rPr>
          <w:rFonts w:ascii="Arial" w:hAnsi="Arial" w:cs="Arial"/>
          <w:i/>
          <w:iCs/>
        </w:rPr>
        <w:t>Impuestos a servicios digitales desatan polémica.</w:t>
      </w:r>
      <w:r w:rsidRPr="009A6A72">
        <w:rPr>
          <w:rFonts w:ascii="Arial" w:hAnsi="Arial" w:cs="Arial"/>
        </w:rPr>
        <w:t xml:space="preserve"> (2024). </w:t>
      </w:r>
      <w:r w:rsidRPr="009A6A72">
        <w:rPr>
          <w:rFonts w:ascii="Arial" w:hAnsi="Arial" w:cs="Arial"/>
          <w:i/>
          <w:iCs/>
        </w:rPr>
        <w:t>La República.</w:t>
      </w:r>
      <w:r w:rsidRPr="009A6A72">
        <w:rPr>
          <w:rFonts w:ascii="Arial" w:hAnsi="Arial" w:cs="Arial"/>
        </w:rPr>
        <w:t xml:space="preserve"> Fragmento analizado en clase.</w:t>
      </w:r>
    </w:p>
    <w:p w14:paraId="750E2615" w14:textId="77777777" w:rsidR="009A6A72" w:rsidRPr="009A6A72" w:rsidRDefault="009A6A72" w:rsidP="009A6A72">
      <w:pPr>
        <w:spacing w:line="360" w:lineRule="auto"/>
        <w:jc w:val="both"/>
        <w:rPr>
          <w:rFonts w:ascii="Arial" w:hAnsi="Arial" w:cs="Arial"/>
        </w:rPr>
      </w:pPr>
      <w:r w:rsidRPr="009A6A72">
        <w:rPr>
          <w:rFonts w:ascii="Arial" w:hAnsi="Arial" w:cs="Arial"/>
          <w:i/>
          <w:iCs/>
        </w:rPr>
        <w:t xml:space="preserve">Impuestos a </w:t>
      </w:r>
      <w:proofErr w:type="spellStart"/>
      <w:r w:rsidRPr="009A6A72">
        <w:rPr>
          <w:rFonts w:ascii="Arial" w:hAnsi="Arial" w:cs="Arial"/>
          <w:i/>
          <w:iCs/>
        </w:rPr>
        <w:t>streaming</w:t>
      </w:r>
      <w:proofErr w:type="spellEnd"/>
      <w:r w:rsidRPr="009A6A72">
        <w:rPr>
          <w:rFonts w:ascii="Arial" w:hAnsi="Arial" w:cs="Arial"/>
          <w:i/>
          <w:iCs/>
        </w:rPr>
        <w:t xml:space="preserve"> (Netflix) y plataformas digitales en Perú: ¡Todo súper caro!</w:t>
      </w:r>
      <w:r w:rsidRPr="009A6A72">
        <w:rPr>
          <w:rFonts w:ascii="Arial" w:hAnsi="Arial" w:cs="Arial"/>
        </w:rPr>
        <w:t xml:space="preserve"> [Video]. (2024). </w:t>
      </w:r>
      <w:r w:rsidRPr="009A6A72">
        <w:rPr>
          <w:rFonts w:ascii="Arial" w:hAnsi="Arial" w:cs="Arial"/>
          <w:i/>
          <w:iCs/>
        </w:rPr>
        <w:t>YouTube.</w:t>
      </w:r>
      <w:r w:rsidRPr="009A6A72">
        <w:rPr>
          <w:rFonts w:ascii="Arial" w:hAnsi="Arial" w:cs="Arial"/>
        </w:rPr>
        <w:t xml:space="preserve"> </w:t>
      </w:r>
      <w:hyperlink r:id="rId13" w:tgtFrame="_new" w:history="1">
        <w:r w:rsidRPr="009A6A72">
          <w:rPr>
            <w:rStyle w:val="Hipervnculo"/>
            <w:rFonts w:ascii="Arial" w:hAnsi="Arial" w:cs="Arial"/>
          </w:rPr>
          <w:t>https://www.youtube.com/watch?v=N6c9Pbvwqd4</w:t>
        </w:r>
      </w:hyperlink>
    </w:p>
    <w:p w14:paraId="379849DF" w14:textId="77777777" w:rsidR="009A6A72" w:rsidRPr="009A6A72" w:rsidRDefault="009A6A72" w:rsidP="009A6A72">
      <w:pPr>
        <w:rPr>
          <w:rFonts w:ascii="Arial" w:hAnsi="Arial" w:cs="Arial"/>
        </w:rPr>
      </w:pPr>
    </w:p>
    <w:p w14:paraId="41BE3792" w14:textId="47D36D77" w:rsidR="008B071A" w:rsidRPr="009A6A72" w:rsidRDefault="008B071A" w:rsidP="009A6A72">
      <w:pPr>
        <w:rPr>
          <w:rFonts w:ascii="Arial" w:hAnsi="Arial" w:cs="Arial"/>
        </w:rPr>
      </w:pPr>
    </w:p>
    <w:sectPr w:rsidR="008B071A" w:rsidRPr="009A6A72">
      <w:headerReference w:type="default" r:id="rId14"/>
      <w:footerReference w:type="default" r:id="rId15"/>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468FC4" w14:textId="77777777" w:rsidR="00C91F66" w:rsidRDefault="00C91F66" w:rsidP="000407B9">
      <w:pPr>
        <w:spacing w:after="0" w:line="240" w:lineRule="auto"/>
      </w:pPr>
      <w:r>
        <w:separator/>
      </w:r>
    </w:p>
  </w:endnote>
  <w:endnote w:type="continuationSeparator" w:id="0">
    <w:p w14:paraId="211C24ED" w14:textId="77777777" w:rsidR="00C91F66" w:rsidRDefault="00C91F66" w:rsidP="000407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Lato">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30"/>
      <w:gridCol w:w="2830"/>
      <w:gridCol w:w="2830"/>
    </w:tblGrid>
    <w:tr w:rsidR="28CCE70A" w14:paraId="76D239D3" w14:textId="77777777" w:rsidTr="28CCE70A">
      <w:trPr>
        <w:trHeight w:val="300"/>
      </w:trPr>
      <w:tc>
        <w:tcPr>
          <w:tcW w:w="2830" w:type="dxa"/>
        </w:tcPr>
        <w:p w14:paraId="586651AC" w14:textId="0B7C7B4C" w:rsidR="28CCE70A" w:rsidRDefault="28CCE70A" w:rsidP="28CCE70A">
          <w:pPr>
            <w:pStyle w:val="Encabezado"/>
            <w:ind w:left="-115"/>
          </w:pPr>
        </w:p>
      </w:tc>
      <w:tc>
        <w:tcPr>
          <w:tcW w:w="2830" w:type="dxa"/>
        </w:tcPr>
        <w:p w14:paraId="328E73CC" w14:textId="4BD72D4A" w:rsidR="28CCE70A" w:rsidRDefault="28CCE70A" w:rsidP="28CCE70A">
          <w:pPr>
            <w:pStyle w:val="Encabezado"/>
            <w:jc w:val="center"/>
          </w:pPr>
        </w:p>
      </w:tc>
      <w:tc>
        <w:tcPr>
          <w:tcW w:w="2830" w:type="dxa"/>
        </w:tcPr>
        <w:p w14:paraId="4CB3EF4D" w14:textId="2A25838F" w:rsidR="28CCE70A" w:rsidRDefault="28CCE70A" w:rsidP="28CCE70A">
          <w:pPr>
            <w:pStyle w:val="Encabezado"/>
            <w:ind w:right="-115"/>
            <w:jc w:val="right"/>
          </w:pPr>
        </w:p>
      </w:tc>
    </w:tr>
  </w:tbl>
  <w:p w14:paraId="7E0CAB6B" w14:textId="681E6EEF" w:rsidR="000407B9" w:rsidRDefault="000407B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3F452B" w14:textId="77777777" w:rsidR="00C91F66" w:rsidRDefault="00C91F66" w:rsidP="000407B9">
      <w:pPr>
        <w:spacing w:after="0" w:line="240" w:lineRule="auto"/>
      </w:pPr>
      <w:r>
        <w:separator/>
      </w:r>
    </w:p>
  </w:footnote>
  <w:footnote w:type="continuationSeparator" w:id="0">
    <w:p w14:paraId="14513302" w14:textId="77777777" w:rsidR="00C91F66" w:rsidRDefault="00C91F66" w:rsidP="000407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30"/>
      <w:gridCol w:w="2830"/>
      <w:gridCol w:w="2830"/>
    </w:tblGrid>
    <w:tr w:rsidR="28CCE70A" w14:paraId="79D6A43A" w14:textId="77777777" w:rsidTr="28CCE70A">
      <w:trPr>
        <w:trHeight w:val="300"/>
      </w:trPr>
      <w:tc>
        <w:tcPr>
          <w:tcW w:w="2830" w:type="dxa"/>
        </w:tcPr>
        <w:p w14:paraId="4C7C1F59" w14:textId="2BB08C3C" w:rsidR="28CCE70A" w:rsidRDefault="28CCE70A" w:rsidP="28CCE70A">
          <w:pPr>
            <w:pStyle w:val="Encabezado"/>
            <w:ind w:left="-115"/>
          </w:pPr>
        </w:p>
      </w:tc>
      <w:tc>
        <w:tcPr>
          <w:tcW w:w="2830" w:type="dxa"/>
        </w:tcPr>
        <w:p w14:paraId="2E82F61A" w14:textId="27BF0802" w:rsidR="28CCE70A" w:rsidRDefault="28CCE70A" w:rsidP="28CCE70A">
          <w:pPr>
            <w:pStyle w:val="Encabezado"/>
            <w:jc w:val="center"/>
          </w:pPr>
        </w:p>
      </w:tc>
      <w:tc>
        <w:tcPr>
          <w:tcW w:w="2830" w:type="dxa"/>
        </w:tcPr>
        <w:p w14:paraId="5545FC17" w14:textId="5FEF8AE6" w:rsidR="28CCE70A" w:rsidRDefault="28CCE70A" w:rsidP="28CCE70A">
          <w:pPr>
            <w:pStyle w:val="Encabezado"/>
            <w:ind w:right="-115"/>
            <w:jc w:val="right"/>
          </w:pPr>
        </w:p>
      </w:tc>
    </w:tr>
  </w:tbl>
  <w:p w14:paraId="32ACC928" w14:textId="0D82EB8D" w:rsidR="000407B9" w:rsidRDefault="000407B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112AFCE2"/>
    <w:lvl w:ilvl="0">
      <w:start w:val="1"/>
      <w:numFmt w:val="decimal"/>
      <w:pStyle w:val="Listaconnmeros"/>
      <w:lvlText w:val="%1."/>
      <w:lvlJc w:val="left"/>
      <w:pPr>
        <w:tabs>
          <w:tab w:val="num" w:pos="360"/>
        </w:tabs>
        <w:ind w:left="360" w:hanging="360"/>
      </w:pPr>
    </w:lvl>
  </w:abstractNum>
  <w:abstractNum w:abstractNumId="1" w15:restartNumberingAfterBreak="0">
    <w:nsid w:val="FFFFFF89"/>
    <w:multiLevelType w:val="singleLevel"/>
    <w:tmpl w:val="F5625634"/>
    <w:lvl w:ilvl="0">
      <w:start w:val="1"/>
      <w:numFmt w:val="bullet"/>
      <w:pStyle w:val="Listaconvietas"/>
      <w:lvlText w:val=""/>
      <w:lvlJc w:val="left"/>
      <w:pPr>
        <w:tabs>
          <w:tab w:val="num" w:pos="360"/>
        </w:tabs>
        <w:ind w:left="360" w:hanging="360"/>
      </w:pPr>
      <w:rPr>
        <w:rFonts w:ascii="Symbol" w:hAnsi="Symbol" w:hint="default"/>
      </w:rPr>
    </w:lvl>
  </w:abstractNum>
  <w:abstractNum w:abstractNumId="2" w15:restartNumberingAfterBreak="0">
    <w:nsid w:val="1FFE1450"/>
    <w:multiLevelType w:val="multilevel"/>
    <w:tmpl w:val="D92AD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CC5E94"/>
    <w:multiLevelType w:val="multilevel"/>
    <w:tmpl w:val="2982E0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0B4BFD"/>
    <w:multiLevelType w:val="multilevel"/>
    <w:tmpl w:val="D13C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C21F47"/>
    <w:multiLevelType w:val="multilevel"/>
    <w:tmpl w:val="36864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F23760"/>
    <w:multiLevelType w:val="multilevel"/>
    <w:tmpl w:val="57B8BA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F440CF"/>
    <w:multiLevelType w:val="multilevel"/>
    <w:tmpl w:val="14124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67211B"/>
    <w:multiLevelType w:val="multilevel"/>
    <w:tmpl w:val="97005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3D2872"/>
    <w:multiLevelType w:val="multilevel"/>
    <w:tmpl w:val="9D381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7263B8"/>
    <w:multiLevelType w:val="multilevel"/>
    <w:tmpl w:val="B22613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1446239">
    <w:abstractNumId w:val="9"/>
  </w:num>
  <w:num w:numId="2" w16cid:durableId="823938397">
    <w:abstractNumId w:val="7"/>
  </w:num>
  <w:num w:numId="3" w16cid:durableId="465202408">
    <w:abstractNumId w:val="2"/>
  </w:num>
  <w:num w:numId="4" w16cid:durableId="256065295">
    <w:abstractNumId w:val="4"/>
  </w:num>
  <w:num w:numId="5" w16cid:durableId="563640418">
    <w:abstractNumId w:val="1"/>
  </w:num>
  <w:num w:numId="6" w16cid:durableId="2042826986">
    <w:abstractNumId w:val="0"/>
  </w:num>
  <w:num w:numId="7" w16cid:durableId="806820234">
    <w:abstractNumId w:val="8"/>
  </w:num>
  <w:num w:numId="8" w16cid:durableId="930092122">
    <w:abstractNumId w:val="6"/>
  </w:num>
  <w:num w:numId="9" w16cid:durableId="1999192719">
    <w:abstractNumId w:val="10"/>
  </w:num>
  <w:num w:numId="10" w16cid:durableId="1672368708">
    <w:abstractNumId w:val="3"/>
  </w:num>
  <w:num w:numId="11" w16cid:durableId="13009197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55A"/>
    <w:rsid w:val="0001008E"/>
    <w:rsid w:val="00023ED8"/>
    <w:rsid w:val="000246E4"/>
    <w:rsid w:val="000274D4"/>
    <w:rsid w:val="00031D66"/>
    <w:rsid w:val="000407B9"/>
    <w:rsid w:val="00040DDE"/>
    <w:rsid w:val="000438A5"/>
    <w:rsid w:val="00057380"/>
    <w:rsid w:val="0006092C"/>
    <w:rsid w:val="00061200"/>
    <w:rsid w:val="0006257A"/>
    <w:rsid w:val="00067644"/>
    <w:rsid w:val="0006797F"/>
    <w:rsid w:val="000703BD"/>
    <w:rsid w:val="00071302"/>
    <w:rsid w:val="000723E3"/>
    <w:rsid w:val="00073CAD"/>
    <w:rsid w:val="00074866"/>
    <w:rsid w:val="00076F72"/>
    <w:rsid w:val="000827EF"/>
    <w:rsid w:val="00092F1B"/>
    <w:rsid w:val="00094D22"/>
    <w:rsid w:val="00097188"/>
    <w:rsid w:val="000A5772"/>
    <w:rsid w:val="000B4968"/>
    <w:rsid w:val="000C0ABC"/>
    <w:rsid w:val="000D025C"/>
    <w:rsid w:val="000E3905"/>
    <w:rsid w:val="000F48E0"/>
    <w:rsid w:val="000F7738"/>
    <w:rsid w:val="000F7DE0"/>
    <w:rsid w:val="000F7F66"/>
    <w:rsid w:val="00106047"/>
    <w:rsid w:val="00115918"/>
    <w:rsid w:val="00117369"/>
    <w:rsid w:val="001239DE"/>
    <w:rsid w:val="00133B99"/>
    <w:rsid w:val="00147D4B"/>
    <w:rsid w:val="00151D37"/>
    <w:rsid w:val="001532EF"/>
    <w:rsid w:val="00161369"/>
    <w:rsid w:val="001650E5"/>
    <w:rsid w:val="00166338"/>
    <w:rsid w:val="00171F1A"/>
    <w:rsid w:val="00171FDB"/>
    <w:rsid w:val="00187F9F"/>
    <w:rsid w:val="001961CA"/>
    <w:rsid w:val="001A33F7"/>
    <w:rsid w:val="001C429B"/>
    <w:rsid w:val="00204A8F"/>
    <w:rsid w:val="00205685"/>
    <w:rsid w:val="00245295"/>
    <w:rsid w:val="00251E58"/>
    <w:rsid w:val="00257470"/>
    <w:rsid w:val="002622E2"/>
    <w:rsid w:val="00264EE7"/>
    <w:rsid w:val="00265936"/>
    <w:rsid w:val="00265D4F"/>
    <w:rsid w:val="00267765"/>
    <w:rsid w:val="00284452"/>
    <w:rsid w:val="00292CBA"/>
    <w:rsid w:val="002B4004"/>
    <w:rsid w:val="002B4E03"/>
    <w:rsid w:val="002B5BFF"/>
    <w:rsid w:val="002D3D2D"/>
    <w:rsid w:val="002D760C"/>
    <w:rsid w:val="002E72D2"/>
    <w:rsid w:val="002F33C0"/>
    <w:rsid w:val="003146DB"/>
    <w:rsid w:val="00317566"/>
    <w:rsid w:val="00321618"/>
    <w:rsid w:val="00321DDA"/>
    <w:rsid w:val="00322326"/>
    <w:rsid w:val="003249B5"/>
    <w:rsid w:val="00327FE5"/>
    <w:rsid w:val="00330274"/>
    <w:rsid w:val="00332E49"/>
    <w:rsid w:val="003620AA"/>
    <w:rsid w:val="003671DD"/>
    <w:rsid w:val="00367AC9"/>
    <w:rsid w:val="0037292D"/>
    <w:rsid w:val="003832A4"/>
    <w:rsid w:val="00383B31"/>
    <w:rsid w:val="0038667F"/>
    <w:rsid w:val="003A6CC6"/>
    <w:rsid w:val="003B1B32"/>
    <w:rsid w:val="003B5683"/>
    <w:rsid w:val="003C0AB5"/>
    <w:rsid w:val="003C1340"/>
    <w:rsid w:val="003C52F1"/>
    <w:rsid w:val="003D253E"/>
    <w:rsid w:val="003E0DD9"/>
    <w:rsid w:val="003E6099"/>
    <w:rsid w:val="003F6790"/>
    <w:rsid w:val="00420947"/>
    <w:rsid w:val="00424904"/>
    <w:rsid w:val="00442264"/>
    <w:rsid w:val="0044624C"/>
    <w:rsid w:val="00452687"/>
    <w:rsid w:val="00474536"/>
    <w:rsid w:val="004767AA"/>
    <w:rsid w:val="0049485D"/>
    <w:rsid w:val="004A2AA7"/>
    <w:rsid w:val="004B5555"/>
    <w:rsid w:val="004C3A5E"/>
    <w:rsid w:val="004C7948"/>
    <w:rsid w:val="004D4119"/>
    <w:rsid w:val="004E47C2"/>
    <w:rsid w:val="004F1ECA"/>
    <w:rsid w:val="004F44D4"/>
    <w:rsid w:val="004F49DB"/>
    <w:rsid w:val="004F52A6"/>
    <w:rsid w:val="004F561E"/>
    <w:rsid w:val="004F66A8"/>
    <w:rsid w:val="004F6BC4"/>
    <w:rsid w:val="004F7A0B"/>
    <w:rsid w:val="00507D6B"/>
    <w:rsid w:val="00512370"/>
    <w:rsid w:val="00513B7F"/>
    <w:rsid w:val="00561959"/>
    <w:rsid w:val="00562E67"/>
    <w:rsid w:val="00592616"/>
    <w:rsid w:val="00592866"/>
    <w:rsid w:val="00596832"/>
    <w:rsid w:val="005A2AFD"/>
    <w:rsid w:val="005B120E"/>
    <w:rsid w:val="005B5A95"/>
    <w:rsid w:val="005C4D87"/>
    <w:rsid w:val="005C77FE"/>
    <w:rsid w:val="005D258B"/>
    <w:rsid w:val="005D6D0F"/>
    <w:rsid w:val="005E592F"/>
    <w:rsid w:val="005E6089"/>
    <w:rsid w:val="005E6096"/>
    <w:rsid w:val="006051E5"/>
    <w:rsid w:val="006066FA"/>
    <w:rsid w:val="00610DFD"/>
    <w:rsid w:val="0061158B"/>
    <w:rsid w:val="006272C4"/>
    <w:rsid w:val="00633BE8"/>
    <w:rsid w:val="00634C2A"/>
    <w:rsid w:val="00640FC2"/>
    <w:rsid w:val="00643F99"/>
    <w:rsid w:val="0065155A"/>
    <w:rsid w:val="00663AE1"/>
    <w:rsid w:val="00670F7C"/>
    <w:rsid w:val="0067275A"/>
    <w:rsid w:val="00676C5D"/>
    <w:rsid w:val="00685B13"/>
    <w:rsid w:val="00692DA7"/>
    <w:rsid w:val="00694FD1"/>
    <w:rsid w:val="006B3F82"/>
    <w:rsid w:val="006D0308"/>
    <w:rsid w:val="006D31B4"/>
    <w:rsid w:val="006E1686"/>
    <w:rsid w:val="006F4D34"/>
    <w:rsid w:val="006F671C"/>
    <w:rsid w:val="00702FA4"/>
    <w:rsid w:val="0070602D"/>
    <w:rsid w:val="00706960"/>
    <w:rsid w:val="0071054E"/>
    <w:rsid w:val="007238F8"/>
    <w:rsid w:val="007279B9"/>
    <w:rsid w:val="00727F1E"/>
    <w:rsid w:val="00733156"/>
    <w:rsid w:val="00736262"/>
    <w:rsid w:val="0074028A"/>
    <w:rsid w:val="00740934"/>
    <w:rsid w:val="00741BA6"/>
    <w:rsid w:val="00741DAC"/>
    <w:rsid w:val="00741EFB"/>
    <w:rsid w:val="00742CBE"/>
    <w:rsid w:val="007524C8"/>
    <w:rsid w:val="00753764"/>
    <w:rsid w:val="0075747E"/>
    <w:rsid w:val="00772441"/>
    <w:rsid w:val="007735B3"/>
    <w:rsid w:val="007B13CD"/>
    <w:rsid w:val="007B5D68"/>
    <w:rsid w:val="007C1BCA"/>
    <w:rsid w:val="007C5C39"/>
    <w:rsid w:val="007F6601"/>
    <w:rsid w:val="00810B34"/>
    <w:rsid w:val="008217E8"/>
    <w:rsid w:val="0082469D"/>
    <w:rsid w:val="0084117E"/>
    <w:rsid w:val="00843A63"/>
    <w:rsid w:val="00843EB0"/>
    <w:rsid w:val="00844BAA"/>
    <w:rsid w:val="00852AB9"/>
    <w:rsid w:val="00867DF4"/>
    <w:rsid w:val="00876C9F"/>
    <w:rsid w:val="008770AA"/>
    <w:rsid w:val="00885A35"/>
    <w:rsid w:val="00895CA8"/>
    <w:rsid w:val="008962A7"/>
    <w:rsid w:val="0089700C"/>
    <w:rsid w:val="008A0B28"/>
    <w:rsid w:val="008B071A"/>
    <w:rsid w:val="008B79A0"/>
    <w:rsid w:val="008C1719"/>
    <w:rsid w:val="008C7C8E"/>
    <w:rsid w:val="008E3384"/>
    <w:rsid w:val="008E7BC0"/>
    <w:rsid w:val="008F3C57"/>
    <w:rsid w:val="008F55A2"/>
    <w:rsid w:val="00903076"/>
    <w:rsid w:val="00904EDF"/>
    <w:rsid w:val="00906CE9"/>
    <w:rsid w:val="00923C41"/>
    <w:rsid w:val="009249F9"/>
    <w:rsid w:val="009256B6"/>
    <w:rsid w:val="009413BE"/>
    <w:rsid w:val="009520B9"/>
    <w:rsid w:val="00955AAE"/>
    <w:rsid w:val="009568DC"/>
    <w:rsid w:val="00956CE0"/>
    <w:rsid w:val="00971237"/>
    <w:rsid w:val="0097225E"/>
    <w:rsid w:val="00972E49"/>
    <w:rsid w:val="00983924"/>
    <w:rsid w:val="00984D85"/>
    <w:rsid w:val="0098589B"/>
    <w:rsid w:val="00991950"/>
    <w:rsid w:val="00991D6A"/>
    <w:rsid w:val="009978C6"/>
    <w:rsid w:val="009A02A9"/>
    <w:rsid w:val="009A2547"/>
    <w:rsid w:val="009A27E4"/>
    <w:rsid w:val="009A6A72"/>
    <w:rsid w:val="009D3FC6"/>
    <w:rsid w:val="009E2703"/>
    <w:rsid w:val="009E7C53"/>
    <w:rsid w:val="009F441E"/>
    <w:rsid w:val="009F79FF"/>
    <w:rsid w:val="00A017DB"/>
    <w:rsid w:val="00A07847"/>
    <w:rsid w:val="00A12CD0"/>
    <w:rsid w:val="00A137EA"/>
    <w:rsid w:val="00A15B80"/>
    <w:rsid w:val="00A16CA4"/>
    <w:rsid w:val="00A17571"/>
    <w:rsid w:val="00A463B5"/>
    <w:rsid w:val="00A467F8"/>
    <w:rsid w:val="00A52D2F"/>
    <w:rsid w:val="00A7564B"/>
    <w:rsid w:val="00A7788C"/>
    <w:rsid w:val="00A914FA"/>
    <w:rsid w:val="00A97D8F"/>
    <w:rsid w:val="00AC3AB2"/>
    <w:rsid w:val="00AE2002"/>
    <w:rsid w:val="00AE4787"/>
    <w:rsid w:val="00AF6F80"/>
    <w:rsid w:val="00B219D2"/>
    <w:rsid w:val="00B23C3C"/>
    <w:rsid w:val="00B27040"/>
    <w:rsid w:val="00B33EA2"/>
    <w:rsid w:val="00B55B0F"/>
    <w:rsid w:val="00B5784D"/>
    <w:rsid w:val="00B60655"/>
    <w:rsid w:val="00B61343"/>
    <w:rsid w:val="00B619D6"/>
    <w:rsid w:val="00B62FE4"/>
    <w:rsid w:val="00B650CE"/>
    <w:rsid w:val="00B77EB1"/>
    <w:rsid w:val="00B86483"/>
    <w:rsid w:val="00BA1C41"/>
    <w:rsid w:val="00BA251E"/>
    <w:rsid w:val="00BB502D"/>
    <w:rsid w:val="00BB7861"/>
    <w:rsid w:val="00BC683C"/>
    <w:rsid w:val="00BD3B59"/>
    <w:rsid w:val="00BF2095"/>
    <w:rsid w:val="00C01CC2"/>
    <w:rsid w:val="00C02B03"/>
    <w:rsid w:val="00C02BEE"/>
    <w:rsid w:val="00C136BB"/>
    <w:rsid w:val="00C414B4"/>
    <w:rsid w:val="00C44F5B"/>
    <w:rsid w:val="00C56E2F"/>
    <w:rsid w:val="00C70D48"/>
    <w:rsid w:val="00C82DF9"/>
    <w:rsid w:val="00C91F66"/>
    <w:rsid w:val="00C97656"/>
    <w:rsid w:val="00CB0B4A"/>
    <w:rsid w:val="00CB7675"/>
    <w:rsid w:val="00CC5E3E"/>
    <w:rsid w:val="00CC62EC"/>
    <w:rsid w:val="00CC79BB"/>
    <w:rsid w:val="00CC7D33"/>
    <w:rsid w:val="00CD0D30"/>
    <w:rsid w:val="00CD79B7"/>
    <w:rsid w:val="00CF304D"/>
    <w:rsid w:val="00D02B78"/>
    <w:rsid w:val="00D143CD"/>
    <w:rsid w:val="00D16B28"/>
    <w:rsid w:val="00D1776A"/>
    <w:rsid w:val="00D21893"/>
    <w:rsid w:val="00D22D3D"/>
    <w:rsid w:val="00D25BB1"/>
    <w:rsid w:val="00D25C9A"/>
    <w:rsid w:val="00D519A1"/>
    <w:rsid w:val="00D602DB"/>
    <w:rsid w:val="00D60672"/>
    <w:rsid w:val="00D67DFA"/>
    <w:rsid w:val="00D70727"/>
    <w:rsid w:val="00D86A1E"/>
    <w:rsid w:val="00DA281A"/>
    <w:rsid w:val="00DA616F"/>
    <w:rsid w:val="00DB0B0E"/>
    <w:rsid w:val="00DB2B83"/>
    <w:rsid w:val="00DB5540"/>
    <w:rsid w:val="00DE60DD"/>
    <w:rsid w:val="00DE7107"/>
    <w:rsid w:val="00DF0517"/>
    <w:rsid w:val="00DF3A63"/>
    <w:rsid w:val="00E048AB"/>
    <w:rsid w:val="00E07BA8"/>
    <w:rsid w:val="00E3174A"/>
    <w:rsid w:val="00E33F10"/>
    <w:rsid w:val="00E34A44"/>
    <w:rsid w:val="00E4449D"/>
    <w:rsid w:val="00E52E00"/>
    <w:rsid w:val="00E640E4"/>
    <w:rsid w:val="00E670FF"/>
    <w:rsid w:val="00E7114C"/>
    <w:rsid w:val="00E73C64"/>
    <w:rsid w:val="00E83FAA"/>
    <w:rsid w:val="00E85115"/>
    <w:rsid w:val="00EA44F1"/>
    <w:rsid w:val="00EB2E06"/>
    <w:rsid w:val="00EB6E26"/>
    <w:rsid w:val="00EC3408"/>
    <w:rsid w:val="00ED3114"/>
    <w:rsid w:val="00ED3E7F"/>
    <w:rsid w:val="00ED5699"/>
    <w:rsid w:val="00EE29A9"/>
    <w:rsid w:val="00EF07CE"/>
    <w:rsid w:val="00F11917"/>
    <w:rsid w:val="00F22284"/>
    <w:rsid w:val="00F26C5B"/>
    <w:rsid w:val="00F31723"/>
    <w:rsid w:val="00F3362E"/>
    <w:rsid w:val="00F4597C"/>
    <w:rsid w:val="00F46B15"/>
    <w:rsid w:val="00F66BCB"/>
    <w:rsid w:val="00F71E8B"/>
    <w:rsid w:val="00F8166D"/>
    <w:rsid w:val="00F867D7"/>
    <w:rsid w:val="00F91B14"/>
    <w:rsid w:val="00F968F2"/>
    <w:rsid w:val="00F9695F"/>
    <w:rsid w:val="00FA0C2D"/>
    <w:rsid w:val="00FA14FB"/>
    <w:rsid w:val="00FA44FC"/>
    <w:rsid w:val="00FA4FFF"/>
    <w:rsid w:val="00FA5E96"/>
    <w:rsid w:val="00FB036F"/>
    <w:rsid w:val="00FB6DE4"/>
    <w:rsid w:val="00FE2C69"/>
    <w:rsid w:val="00FF00A2"/>
    <w:rsid w:val="00FF4E36"/>
    <w:rsid w:val="03345DA3"/>
    <w:rsid w:val="0475804A"/>
    <w:rsid w:val="055B79BC"/>
    <w:rsid w:val="06908167"/>
    <w:rsid w:val="08333754"/>
    <w:rsid w:val="086D3A09"/>
    <w:rsid w:val="08C95612"/>
    <w:rsid w:val="0EB659AD"/>
    <w:rsid w:val="0F2259DE"/>
    <w:rsid w:val="0F57020C"/>
    <w:rsid w:val="0F67CD74"/>
    <w:rsid w:val="0FB496E1"/>
    <w:rsid w:val="10A381F4"/>
    <w:rsid w:val="12271A98"/>
    <w:rsid w:val="141F26D1"/>
    <w:rsid w:val="15B9FEDB"/>
    <w:rsid w:val="16478823"/>
    <w:rsid w:val="17672941"/>
    <w:rsid w:val="18A789C0"/>
    <w:rsid w:val="18B9F5C2"/>
    <w:rsid w:val="1A4EDAA6"/>
    <w:rsid w:val="1AF6BDBB"/>
    <w:rsid w:val="1B69044B"/>
    <w:rsid w:val="1C0572DB"/>
    <w:rsid w:val="1C067D72"/>
    <w:rsid w:val="1D253EBF"/>
    <w:rsid w:val="1E8CAC39"/>
    <w:rsid w:val="1F7FBC88"/>
    <w:rsid w:val="1FB4165F"/>
    <w:rsid w:val="212928B9"/>
    <w:rsid w:val="221549CF"/>
    <w:rsid w:val="229F9D7F"/>
    <w:rsid w:val="22A1B74A"/>
    <w:rsid w:val="23E12648"/>
    <w:rsid w:val="253D3DD2"/>
    <w:rsid w:val="26EE9EA1"/>
    <w:rsid w:val="281D0496"/>
    <w:rsid w:val="28CCE70A"/>
    <w:rsid w:val="293D23BB"/>
    <w:rsid w:val="2A212F57"/>
    <w:rsid w:val="32E9635C"/>
    <w:rsid w:val="33BD4FA5"/>
    <w:rsid w:val="34FB9EF2"/>
    <w:rsid w:val="3676A7CF"/>
    <w:rsid w:val="370E3314"/>
    <w:rsid w:val="38997379"/>
    <w:rsid w:val="3934FCC2"/>
    <w:rsid w:val="39B08F73"/>
    <w:rsid w:val="3A860147"/>
    <w:rsid w:val="3BC205E3"/>
    <w:rsid w:val="3CB0A851"/>
    <w:rsid w:val="3E4B7F8E"/>
    <w:rsid w:val="3F04EEC3"/>
    <w:rsid w:val="442B3DAE"/>
    <w:rsid w:val="468ED99A"/>
    <w:rsid w:val="46B7A981"/>
    <w:rsid w:val="48B1945D"/>
    <w:rsid w:val="496E5505"/>
    <w:rsid w:val="4A5436D5"/>
    <w:rsid w:val="51374AE6"/>
    <w:rsid w:val="5446A424"/>
    <w:rsid w:val="56933FF6"/>
    <w:rsid w:val="5906EE20"/>
    <w:rsid w:val="5C182741"/>
    <w:rsid w:val="5E740601"/>
    <w:rsid w:val="5ECC473F"/>
    <w:rsid w:val="5EE037C9"/>
    <w:rsid w:val="64A37DFB"/>
    <w:rsid w:val="64FEBB7E"/>
    <w:rsid w:val="6661407F"/>
    <w:rsid w:val="66CF23FB"/>
    <w:rsid w:val="67FC834A"/>
    <w:rsid w:val="68FE6798"/>
    <w:rsid w:val="6ADFE63E"/>
    <w:rsid w:val="6D2C1053"/>
    <w:rsid w:val="6E4A6BB1"/>
    <w:rsid w:val="6F3B2F4D"/>
    <w:rsid w:val="725FD280"/>
    <w:rsid w:val="739B5D24"/>
    <w:rsid w:val="739D2EBC"/>
    <w:rsid w:val="73AD70EB"/>
    <w:rsid w:val="7623C231"/>
    <w:rsid w:val="78071833"/>
    <w:rsid w:val="79B17D4E"/>
    <w:rsid w:val="7A916CA5"/>
    <w:rsid w:val="7A9F79A9"/>
    <w:rsid w:val="7AEB6DF7"/>
    <w:rsid w:val="7B57711A"/>
    <w:rsid w:val="7CDB4C9E"/>
    <w:rsid w:val="7CF4341F"/>
    <w:rsid w:val="7D55723E"/>
    <w:rsid w:val="7E868F8F"/>
    <w:rsid w:val="7F87E9A1"/>
  </w:rsids>
  <m:mathPr>
    <m:mathFont m:val="Cambria Math"/>
    <m:brkBin m:val="before"/>
    <m:brkBinSub m:val="--"/>
    <m:smallFrac m:val="0"/>
    <m:dispDef/>
    <m:lMargin m:val="0"/>
    <m:rMargin m:val="0"/>
    <m:defJc m:val="centerGroup"/>
    <m:wrapIndent m:val="1440"/>
    <m:intLim m:val="subSup"/>
    <m:naryLim m:val="undOvr"/>
  </m:mathPr>
  <w:themeFontLang w:val="es-P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89D47"/>
  <w15:chartTrackingRefBased/>
  <w15:docId w15:val="{3822C0D4-6300-4B02-86E6-D7A21D1D2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6E2F"/>
  </w:style>
  <w:style w:type="paragraph" w:styleId="Ttulo1">
    <w:name w:val="heading 1"/>
    <w:basedOn w:val="Normal"/>
    <w:next w:val="Normal"/>
    <w:link w:val="Ttulo1Car"/>
    <w:uiPriority w:val="9"/>
    <w:qFormat/>
    <w:rsid w:val="00C56E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56E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56E2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56E2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56E2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56E2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56E2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56E2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56E2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56E2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56E2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56E2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56E2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56E2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56E2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56E2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56E2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56E2F"/>
    <w:rPr>
      <w:rFonts w:eastAsiaTheme="majorEastAsia" w:cstheme="majorBidi"/>
      <w:color w:val="272727" w:themeColor="text1" w:themeTint="D8"/>
    </w:rPr>
  </w:style>
  <w:style w:type="paragraph" w:styleId="Descripcin">
    <w:name w:val="caption"/>
    <w:basedOn w:val="Normal"/>
    <w:next w:val="Normal"/>
    <w:uiPriority w:val="35"/>
    <w:semiHidden/>
    <w:unhideWhenUsed/>
    <w:qFormat/>
    <w:rsid w:val="00C56E2F"/>
    <w:pPr>
      <w:spacing w:after="200" w:line="240" w:lineRule="auto"/>
    </w:pPr>
    <w:rPr>
      <w:i/>
      <w:iCs/>
      <w:color w:val="0E2841" w:themeColor="text2"/>
      <w:sz w:val="18"/>
      <w:szCs w:val="18"/>
    </w:rPr>
  </w:style>
  <w:style w:type="paragraph" w:styleId="Ttulo">
    <w:name w:val="Title"/>
    <w:basedOn w:val="Normal"/>
    <w:next w:val="Normal"/>
    <w:link w:val="TtuloCar"/>
    <w:uiPriority w:val="10"/>
    <w:qFormat/>
    <w:rsid w:val="00C56E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56E2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56E2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56E2F"/>
    <w:rPr>
      <w:rFonts w:eastAsiaTheme="majorEastAsia" w:cstheme="majorBidi"/>
      <w:color w:val="595959" w:themeColor="text1" w:themeTint="A6"/>
      <w:spacing w:val="15"/>
      <w:sz w:val="28"/>
      <w:szCs w:val="28"/>
    </w:rPr>
  </w:style>
  <w:style w:type="character" w:styleId="Textoennegrita">
    <w:name w:val="Strong"/>
    <w:basedOn w:val="Fuentedeprrafopredeter"/>
    <w:uiPriority w:val="22"/>
    <w:qFormat/>
    <w:rsid w:val="00C56E2F"/>
    <w:rPr>
      <w:b/>
      <w:bCs/>
    </w:rPr>
  </w:style>
  <w:style w:type="character" w:styleId="nfasis">
    <w:name w:val="Emphasis"/>
    <w:basedOn w:val="Fuentedeprrafopredeter"/>
    <w:uiPriority w:val="20"/>
    <w:qFormat/>
    <w:rsid w:val="00C56E2F"/>
    <w:rPr>
      <w:i/>
      <w:iCs/>
    </w:rPr>
  </w:style>
  <w:style w:type="paragraph" w:styleId="Sinespaciado">
    <w:name w:val="No Spacing"/>
    <w:uiPriority w:val="1"/>
    <w:qFormat/>
    <w:rsid w:val="00C56E2F"/>
    <w:pPr>
      <w:spacing w:after="0" w:line="240" w:lineRule="auto"/>
    </w:pPr>
  </w:style>
  <w:style w:type="paragraph" w:styleId="Prrafodelista">
    <w:name w:val="List Paragraph"/>
    <w:basedOn w:val="Normal"/>
    <w:uiPriority w:val="34"/>
    <w:qFormat/>
    <w:rsid w:val="00C56E2F"/>
    <w:pPr>
      <w:ind w:left="720"/>
      <w:contextualSpacing/>
    </w:pPr>
  </w:style>
  <w:style w:type="paragraph" w:styleId="Cita">
    <w:name w:val="Quote"/>
    <w:basedOn w:val="Normal"/>
    <w:next w:val="Normal"/>
    <w:link w:val="CitaCar"/>
    <w:uiPriority w:val="29"/>
    <w:qFormat/>
    <w:rsid w:val="00C56E2F"/>
    <w:pPr>
      <w:spacing w:before="160"/>
      <w:jc w:val="center"/>
    </w:pPr>
    <w:rPr>
      <w:i/>
      <w:iCs/>
      <w:color w:val="404040" w:themeColor="text1" w:themeTint="BF"/>
    </w:rPr>
  </w:style>
  <w:style w:type="character" w:customStyle="1" w:styleId="CitaCar">
    <w:name w:val="Cita Car"/>
    <w:basedOn w:val="Fuentedeprrafopredeter"/>
    <w:link w:val="Cita"/>
    <w:uiPriority w:val="29"/>
    <w:rsid w:val="00C56E2F"/>
    <w:rPr>
      <w:i/>
      <w:iCs/>
      <w:color w:val="404040" w:themeColor="text1" w:themeTint="BF"/>
    </w:rPr>
  </w:style>
  <w:style w:type="paragraph" w:styleId="Citadestacada">
    <w:name w:val="Intense Quote"/>
    <w:basedOn w:val="Normal"/>
    <w:next w:val="Normal"/>
    <w:link w:val="CitadestacadaCar"/>
    <w:uiPriority w:val="30"/>
    <w:qFormat/>
    <w:rsid w:val="00C56E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56E2F"/>
    <w:rPr>
      <w:i/>
      <w:iCs/>
      <w:color w:val="0F4761" w:themeColor="accent1" w:themeShade="BF"/>
    </w:rPr>
  </w:style>
  <w:style w:type="character" w:styleId="nfasissutil">
    <w:name w:val="Subtle Emphasis"/>
    <w:basedOn w:val="Fuentedeprrafopredeter"/>
    <w:uiPriority w:val="19"/>
    <w:qFormat/>
    <w:rsid w:val="00C56E2F"/>
    <w:rPr>
      <w:i/>
      <w:iCs/>
      <w:color w:val="404040" w:themeColor="text1" w:themeTint="BF"/>
    </w:rPr>
  </w:style>
  <w:style w:type="character" w:styleId="nfasisintenso">
    <w:name w:val="Intense Emphasis"/>
    <w:basedOn w:val="Fuentedeprrafopredeter"/>
    <w:uiPriority w:val="21"/>
    <w:qFormat/>
    <w:rsid w:val="00C56E2F"/>
    <w:rPr>
      <w:i/>
      <w:iCs/>
      <w:color w:val="0F4761" w:themeColor="accent1" w:themeShade="BF"/>
    </w:rPr>
  </w:style>
  <w:style w:type="character" w:styleId="Referenciasutil">
    <w:name w:val="Subtle Reference"/>
    <w:basedOn w:val="Fuentedeprrafopredeter"/>
    <w:uiPriority w:val="31"/>
    <w:qFormat/>
    <w:rsid w:val="00C56E2F"/>
    <w:rPr>
      <w:smallCaps/>
      <w:color w:val="5A5A5A" w:themeColor="text1" w:themeTint="A5"/>
    </w:rPr>
  </w:style>
  <w:style w:type="character" w:styleId="Referenciaintensa">
    <w:name w:val="Intense Reference"/>
    <w:basedOn w:val="Fuentedeprrafopredeter"/>
    <w:uiPriority w:val="32"/>
    <w:qFormat/>
    <w:rsid w:val="00C56E2F"/>
    <w:rPr>
      <w:b/>
      <w:bCs/>
      <w:smallCaps/>
      <w:color w:val="0F4761" w:themeColor="accent1" w:themeShade="BF"/>
      <w:spacing w:val="5"/>
    </w:rPr>
  </w:style>
  <w:style w:type="character" w:styleId="Ttulodellibro">
    <w:name w:val="Book Title"/>
    <w:basedOn w:val="Fuentedeprrafopredeter"/>
    <w:uiPriority w:val="33"/>
    <w:qFormat/>
    <w:rsid w:val="00C56E2F"/>
    <w:rPr>
      <w:b/>
      <w:bCs/>
      <w:i/>
      <w:iCs/>
      <w:spacing w:val="5"/>
    </w:rPr>
  </w:style>
  <w:style w:type="paragraph" w:styleId="TtuloTDC">
    <w:name w:val="TOC Heading"/>
    <w:basedOn w:val="Ttulo1"/>
    <w:next w:val="Normal"/>
    <w:uiPriority w:val="39"/>
    <w:semiHidden/>
    <w:unhideWhenUsed/>
    <w:qFormat/>
    <w:rsid w:val="00C56E2F"/>
    <w:pPr>
      <w:spacing w:before="240" w:after="0"/>
      <w:outlineLvl w:val="9"/>
    </w:pPr>
    <w:rPr>
      <w:sz w:val="32"/>
      <w:szCs w:val="32"/>
    </w:rPr>
  </w:style>
  <w:style w:type="character" w:styleId="Hipervnculo">
    <w:name w:val="Hyperlink"/>
    <w:basedOn w:val="Fuentedeprrafopredeter"/>
    <w:uiPriority w:val="99"/>
    <w:unhideWhenUsed/>
    <w:rsid w:val="0065155A"/>
    <w:rPr>
      <w:color w:val="467886" w:themeColor="hyperlink"/>
      <w:u w:val="single"/>
    </w:rPr>
  </w:style>
  <w:style w:type="character" w:styleId="Mencinsinresolver">
    <w:name w:val="Unresolved Mention"/>
    <w:basedOn w:val="Fuentedeprrafopredeter"/>
    <w:uiPriority w:val="99"/>
    <w:semiHidden/>
    <w:unhideWhenUsed/>
    <w:rsid w:val="0065155A"/>
    <w:rPr>
      <w:color w:val="605E5C"/>
      <w:shd w:val="clear" w:color="auto" w:fill="E1DFDD"/>
    </w:rPr>
  </w:style>
  <w:style w:type="paragraph" w:styleId="Encabezado">
    <w:name w:val="header"/>
    <w:basedOn w:val="Normal"/>
    <w:link w:val="EncabezadoCar"/>
    <w:uiPriority w:val="99"/>
    <w:unhideWhenUsed/>
    <w:rsid w:val="000407B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407B9"/>
  </w:style>
  <w:style w:type="paragraph" w:styleId="Piedepgina">
    <w:name w:val="footer"/>
    <w:basedOn w:val="Normal"/>
    <w:link w:val="PiedepginaCar"/>
    <w:uiPriority w:val="99"/>
    <w:unhideWhenUsed/>
    <w:rsid w:val="000407B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407B9"/>
  </w:style>
  <w:style w:type="table" w:styleId="Tablaconcuadrcula">
    <w:name w:val="Table Grid"/>
    <w:basedOn w:val="Tablanormal"/>
    <w:uiPriority w:val="59"/>
    <w:rsid w:val="000407B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aconvietas">
    <w:name w:val="List Bullet"/>
    <w:basedOn w:val="Normal"/>
    <w:uiPriority w:val="99"/>
    <w:unhideWhenUsed/>
    <w:rsid w:val="008B071A"/>
    <w:pPr>
      <w:numPr>
        <w:numId w:val="5"/>
      </w:numPr>
      <w:tabs>
        <w:tab w:val="clear" w:pos="360"/>
      </w:tabs>
      <w:spacing w:after="200" w:line="276" w:lineRule="auto"/>
      <w:ind w:left="0" w:firstLine="0"/>
      <w:contextualSpacing/>
    </w:pPr>
    <w:rPr>
      <w:rFonts w:eastAsiaTheme="minorEastAsia"/>
      <w:kern w:val="0"/>
      <w:lang w:val="en-US"/>
      <w14:ligatures w14:val="none"/>
    </w:rPr>
  </w:style>
  <w:style w:type="paragraph" w:styleId="Listaconnmeros">
    <w:name w:val="List Number"/>
    <w:basedOn w:val="Normal"/>
    <w:uiPriority w:val="99"/>
    <w:unhideWhenUsed/>
    <w:rsid w:val="008B071A"/>
    <w:pPr>
      <w:numPr>
        <w:numId w:val="6"/>
      </w:numPr>
      <w:tabs>
        <w:tab w:val="clear" w:pos="360"/>
      </w:tabs>
      <w:spacing w:after="200" w:line="276" w:lineRule="auto"/>
      <w:ind w:left="0" w:firstLine="0"/>
      <w:contextualSpacing/>
    </w:pPr>
    <w:rPr>
      <w:rFonts w:eastAsiaTheme="minorEastAsia"/>
      <w:kern w:val="0"/>
      <w:lang w:val="en-US"/>
      <w14:ligatures w14:val="none"/>
    </w:rPr>
  </w:style>
  <w:style w:type="paragraph" w:styleId="NormalWeb">
    <w:name w:val="Normal (Web)"/>
    <w:basedOn w:val="Normal"/>
    <w:uiPriority w:val="99"/>
    <w:semiHidden/>
    <w:unhideWhenUsed/>
    <w:rsid w:val="00C136BB"/>
    <w:rPr>
      <w:rFonts w:ascii="Times New Roman" w:hAnsi="Times New Roman" w:cs="Times New Roman"/>
      <w:sz w:val="24"/>
      <w:szCs w:val="24"/>
    </w:rPr>
  </w:style>
  <w:style w:type="table" w:styleId="Tablaconcuadrculaclara">
    <w:name w:val="Grid Table Light"/>
    <w:basedOn w:val="Tablanormal"/>
    <w:uiPriority w:val="40"/>
    <w:rsid w:val="00885A3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youtube.com/watch?v=N6c9Pbvwqd4"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tinyurl.com/28vr6w2z"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92035260-d5ef-4a71-8121-bda8bada8068"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637DAEF67B5E24BA4E2088281EE88F4" ma:contentTypeVersion="5" ma:contentTypeDescription="Create a new document." ma:contentTypeScope="" ma:versionID="b7e37ff413d80330996a3bc3bfc1f5ba">
  <xsd:schema xmlns:xsd="http://www.w3.org/2001/XMLSchema" xmlns:xs="http://www.w3.org/2001/XMLSchema" xmlns:p="http://schemas.microsoft.com/office/2006/metadata/properties" xmlns:ns3="92035260-d5ef-4a71-8121-bda8bada8068" targetNamespace="http://schemas.microsoft.com/office/2006/metadata/properties" ma:root="true" ma:fieldsID="294824a63cd3947addf007671db097c2" ns3:_="">
    <xsd:import namespace="92035260-d5ef-4a71-8121-bda8bada806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035260-d5ef-4a71-8121-bda8bada806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765FA11-125A-4690-8F18-F9DA2F543659}">
  <ds:schemaRefs>
    <ds:schemaRef ds:uri="http://schemas.microsoft.com/sharepoint/v3/contenttype/forms"/>
  </ds:schemaRefs>
</ds:datastoreItem>
</file>

<file path=customXml/itemProps2.xml><?xml version="1.0" encoding="utf-8"?>
<ds:datastoreItem xmlns:ds="http://schemas.openxmlformats.org/officeDocument/2006/customXml" ds:itemID="{27754979-60C7-4A25-A78F-D0F18E83B5F0}">
  <ds:schemaRefs>
    <ds:schemaRef ds:uri="http://schemas.microsoft.com/office/2006/metadata/properties"/>
    <ds:schemaRef ds:uri="http://schemas.microsoft.com/office/infopath/2007/PartnerControls"/>
    <ds:schemaRef ds:uri="92035260-d5ef-4a71-8121-bda8bada8068"/>
  </ds:schemaRefs>
</ds:datastoreItem>
</file>

<file path=customXml/itemProps3.xml><?xml version="1.0" encoding="utf-8"?>
<ds:datastoreItem xmlns:ds="http://schemas.openxmlformats.org/officeDocument/2006/customXml" ds:itemID="{82D58946-8BB4-4F68-9F2D-9F15188C0B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035260-d5ef-4a71-8121-bda8bada806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6</Pages>
  <Words>1206</Words>
  <Characters>6566</Characters>
  <Application>Microsoft Office Word</Application>
  <DocSecurity>0</DocSecurity>
  <Lines>136</Lines>
  <Paragraphs>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7719</CharactersWithSpaces>
  <SharedDoc>false</SharedDoc>
  <HLinks>
    <vt:vector size="12" baseType="variant">
      <vt:variant>
        <vt:i4>1900578</vt:i4>
      </vt:variant>
      <vt:variant>
        <vt:i4>3</vt:i4>
      </vt:variant>
      <vt:variant>
        <vt:i4>0</vt:i4>
      </vt:variant>
      <vt:variant>
        <vt:i4>5</vt:i4>
      </vt:variant>
      <vt:variant>
        <vt:lpwstr>mailto:ltorres@viajeseguro.pe</vt:lpwstr>
      </vt:variant>
      <vt:variant>
        <vt:lpwstr/>
      </vt:variant>
      <vt:variant>
        <vt:i4>7733317</vt:i4>
      </vt:variant>
      <vt:variant>
        <vt:i4>0</vt:i4>
      </vt:variant>
      <vt:variant>
        <vt:i4>0</vt:i4>
      </vt:variant>
      <vt:variant>
        <vt:i4>5</vt:i4>
      </vt:variant>
      <vt:variant>
        <vt:lpwstr>mailto:aviera@viajeseguro.pe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ALUMNO - VANESA NOEMI GUTIERRES CORDOVA</dc:creator>
  <cp:keywords/>
  <dc:description/>
  <cp:lastModifiedBy>ALUMNO - VANESA NOEMI GUTIERRES CORDOVA</cp:lastModifiedBy>
  <cp:revision>3</cp:revision>
  <dcterms:created xsi:type="dcterms:W3CDTF">2025-11-02T19:22:00Z</dcterms:created>
  <dcterms:modified xsi:type="dcterms:W3CDTF">2025-11-02T19:23:00Z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0x0101004637DAEF67B5E24BA4E2088281EE88F4</vt:lpwstr>
  </property>
</Properties>
</file>