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00" w:before="0"/>
        <w:jc w:val="center"/>
      </w:pPr>
      <w:r>
        <w:rPr>
          <w:rFonts w:ascii="Arial" w:cs="Arial" w:eastAsia="Arial" w:hAnsi="Arial"/>
          <w:b/>
          <w:bCs/>
          <w:color w:val="1F3864"/>
          <w:sz w:val="52"/>
          <w:szCs w:val="52"/>
        </w:rPr>
        <w:t xml:space="preserve">SECURITY ASSESSMENT REPORT</w:t>
      </w:r>
    </w:p>
    <w:p>
      <w:pPr>
        <w:spacing w:after="80" w:before="0"/>
        <w:jc w:val="center"/>
      </w:pPr>
      <w:r>
        <w:rPr>
          <w:rFonts w:ascii="Arial" w:cs="Arial" w:eastAsia="Arial" w:hAnsi="Arial"/>
          <w:b/>
          <w:bCs/>
          <w:color w:val="2E75B6"/>
          <w:sz w:val="36"/>
          <w:szCs w:val="36"/>
        </w:rPr>
        <w:t xml:space="preserve">CassiTrack &amp; OmniMove</w:t>
      </w:r>
    </w:p>
    <w:p>
      <w:pPr>
        <w:pBdr>
          <w:bottom w:val="single" w:color="2E75B6" w:sz="12" w:space="4"/>
        </w:pBdr>
        <w:spacing w:after="200" w:before="0"/>
        <w:jc w:val="center"/>
      </w:pPr>
      <w:r>
        <w:rPr>
          <w:rFonts w:ascii="Arial" w:cs="Arial" w:eastAsia="Arial" w:hAnsi="Arial"/>
          <w:color w:val="595959"/>
          <w:sz w:val="22"/>
          <w:szCs w:val="22"/>
        </w:rPr>
        <w:t xml:space="preserve">OWASP Top 10 (2021) — Penetration Testing — ZAP Automated Scanning</w:t>
      </w:r>
    </w:p>
    <w:p>
      <w:pPr>
        <w:spacing w:after="0" w:before="200"/>
      </w:pP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tblGrid>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b/>
                <w:bCs/>
                <w:color w:val="595959"/>
                <w:sz w:val="19"/>
                <w:szCs w:val="19"/>
              </w:rPr>
              <w:t xml:space="preserve">Institution</w:t>
            </w:r>
          </w:p>
        </w:tc>
        <w:tc>
          <w:tcPr>
            <w:tcW w:type="dxa" w:w="36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sz w:val="19"/>
                <w:szCs w:val="19"/>
              </w:rPr>
              <w:t xml:space="preserve">University of Cassino and Southern Lazio</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b/>
                <w:bCs/>
                <w:color w:val="595959"/>
                <w:sz w:val="19"/>
                <w:szCs w:val="19"/>
              </w:rPr>
              <w:t xml:space="preserve">Course</w:t>
            </w:r>
          </w:p>
        </w:tc>
        <w:tc>
          <w:tcPr>
            <w:tcW w:type="dxa" w:w="36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sz w:val="19"/>
                <w:szCs w:val="19"/>
              </w:rPr>
              <w:t xml:space="preserve">Distributed Programming &amp; Networking 2025/26</w:t>
            </w:r>
          </w:p>
        </w:tc>
      </w:tr>
      <w:tr>
        <w:tc>
          <w:tcPr>
            <w:tcW w:type="dxa" w:w="22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b/>
                <w:bCs/>
                <w:color w:val="595959"/>
                <w:sz w:val="19"/>
                <w:szCs w:val="19"/>
              </w:rPr>
              <w:t xml:space="preserve">Date</w:t>
            </w:r>
          </w:p>
        </w:tc>
        <w:tc>
          <w:tcPr>
            <w:tcW w:type="dxa" w:w="3600"/>
            <w:tcBorders>
              <w:top w:val="none" w:color="FFFFFF" w:sz="0"/>
              <w:left w:val="none" w:color="FFFFFF" w:sz="0"/>
              <w:bottom w:val="none" w:color="FFFFFF" w:sz="0"/>
              <w:right w:val="none" w:color="FFFFFF" w:sz="0"/>
            </w:tcBorders>
            <w:tcMar>
              <w:top w:type="dxa" w:w="70"/>
              <w:left w:type="dxa" w:w="100"/>
              <w:bottom w:type="dxa" w:w="70"/>
              <w:right w:type="dxa" w:w="100"/>
            </w:tcMar>
          </w:tcPr>
          <w:p>
            <w:r>
              <w:rPr>
                <w:rFonts w:ascii="Arial" w:cs="Arial" w:eastAsia="Arial" w:hAnsi="Arial"/>
                <w:sz w:val="19"/>
                <w:szCs w:val="19"/>
              </w:rPr>
              <w:t xml:space="preserve">25 June 2026</w:t>
            </w:r>
          </w:p>
        </w:tc>
      </w:tr>
    </w:tbl>
    <w:p>
      <w:r>
        <w:br w:type="page"/>
      </w:r>
    </w:p>
    <w:p>
      <w:pPr>
        <w:pStyle w:val="Heading1"/>
        <w:spacing w:after="80" w:before="260"/>
      </w:pPr>
      <w:r>
        <w:rPr>
          <w:rFonts w:ascii="Arial" w:cs="Arial" w:eastAsia="Arial" w:hAnsi="Arial"/>
          <w:b/>
          <w:bCs/>
          <w:color w:val="1F3864"/>
          <w:sz w:val="32"/>
          <w:szCs w:val="32"/>
        </w:rPr>
        <w:t xml:space="preserve">1. Introduction</w:t>
      </w:r>
    </w:p>
    <w:p>
      <w:pPr>
        <w:pBdr>
          <w:bottom w:val="single" w:color="2E75B6" w:sz="6" w:space="1"/>
        </w:pBdr>
        <w:spacing w:after="100" w:before="100"/>
      </w:pPr>
    </w:p>
    <w:p>
      <w:pPr>
        <w:pStyle w:val="Heading2"/>
        <w:spacing w:after="60" w:before="160"/>
      </w:pPr>
      <w:r>
        <w:rPr>
          <w:rFonts w:ascii="Arial" w:cs="Arial" w:eastAsia="Arial" w:hAnsi="Arial"/>
          <w:b/>
          <w:bCs/>
          <w:color w:val="2E75B6"/>
          <w:sz w:val="24"/>
          <w:szCs w:val="24"/>
        </w:rPr>
        <w:t xml:space="preserve">1.1 Project Overview</w:t>
      </w:r>
    </w:p>
    <w:p>
      <w:pPr>
        <w:spacing w:after="50" w:before="50"/>
      </w:pPr>
      <w:r>
        <w:rPr>
          <w:rFonts w:ascii="Arial" w:cs="Arial" w:eastAsia="Arial" w:hAnsi="Arial"/>
          <w:sz w:val="20"/>
          <w:szCs w:val="20"/>
        </w:rPr>
        <w:t xml:space="preserve">CassiTrack is a real-time bus fleet management system for the public transport network of Cassino. It collects live GPS telemetry from on-board units over MQTT, stores time-series data in InfluxDB, exposes a REST and WebSocket API to a fleet-manager web dashboard, and publishes standardised GTFS-RT and SIRI-VM feeds for third-party consumers.</w:t>
      </w:r>
    </w:p>
    <w:p>
      <w:pPr>
        <w:spacing w:after="0" w:before="40"/>
      </w:pPr>
    </w:p>
    <w:p>
      <w:pPr>
        <w:spacing w:after="50" w:before="50"/>
      </w:pPr>
      <w:r>
        <w:rPr>
          <w:rFonts w:ascii="Arial" w:cs="Arial" w:eastAsia="Arial" w:hAnsi="Arial"/>
          <w:sz w:val="20"/>
          <w:szCs w:val="20"/>
        </w:rPr>
        <w:t xml:space="preserve">OmniMove is a Mobility-as-a-Service journey planner that consumes CassiTrack data (via NeTEx and SIRI-VM), integrates weather and mapping APIs, and provides multi-modal route planning to travellers. Together the two systems form a multi-tier architecture: Spring Boot 3.x backends with JWT authentication, PostgreSQL databases, Redis caching, Mosquitto MQTT broker, SSE and WebSocket streaming channels, and a static HTML/JS frontend with Leaflet maps and Chart.js analytics.</w:t>
      </w:r>
    </w:p>
    <w:p>
      <w:pPr>
        <w:spacing w:after="0" w:before="60"/>
      </w:pPr>
    </w:p>
    <w:p>
      <w:pPr>
        <w:pStyle w:val="Heading2"/>
        <w:spacing w:after="60" w:before="160"/>
      </w:pPr>
      <w:r>
        <w:rPr>
          <w:rFonts w:ascii="Arial" w:cs="Arial" w:eastAsia="Arial" w:hAnsi="Arial"/>
          <w:b/>
          <w:bCs/>
          <w:color w:val="2E75B6"/>
          <w:sz w:val="24"/>
          <w:szCs w:val="24"/>
        </w:rPr>
        <w:t xml:space="preserve">1.2 What is OWASP?</w:t>
      </w:r>
    </w:p>
    <w:p>
      <w:pPr>
        <w:spacing w:after="50" w:before="50"/>
      </w:pPr>
      <w:r>
        <w:rPr>
          <w:rFonts w:ascii="Arial" w:cs="Arial" w:eastAsia="Arial" w:hAnsi="Arial"/>
          <w:sz w:val="20"/>
          <w:szCs w:val="20"/>
        </w:rPr>
        <w:t xml:space="preserve">The Open Worldwide Application Security Project (OWASP) is a non-profit foundation that produces freely available security standards, tools, and guidance. Its most widely used output is the OWASP Top 10 — a ranked list of the ten most critical web application security risks, updated every three to four years based on industry data. The 2021 edition covers: A01 Broken Access Control, A02 Cryptographic Failures, A03 Injection, A04 Insecure Design, A05 Security Misconfiguration, A06 Vulnerable and Outdated Components, A07 Identification and Authentication Failures, A08 Software and Data Integrity Failures, A09 Security Logging and Monitoring Failures, and A10 Server-Side Request Forgery.</w:t>
      </w:r>
    </w:p>
    <w:p>
      <w:pPr>
        <w:spacing w:after="0" w:before="40"/>
      </w:pPr>
    </w:p>
    <w:p>
      <w:pPr>
        <w:spacing w:after="50" w:before="50"/>
      </w:pPr>
      <w:r>
        <w:rPr>
          <w:rFonts w:ascii="Arial" w:cs="Arial" w:eastAsia="Arial" w:hAnsi="Arial"/>
          <w:sz w:val="20"/>
          <w:szCs w:val="20"/>
        </w:rPr>
        <w:t xml:space="preserve">This assessment applies the OWASP Top 10 (2021) as its primary framework to identify, classify, and remediate vulnerabilities in both platforms.</w:t>
      </w:r>
    </w:p>
    <w:p>
      <w:r>
        <w:br w:type="page"/>
      </w:r>
    </w:p>
    <w:p>
      <w:pPr>
        <w:pStyle w:val="Heading1"/>
        <w:spacing w:after="80" w:before="260"/>
      </w:pPr>
      <w:r>
        <w:rPr>
          <w:rFonts w:ascii="Arial" w:cs="Arial" w:eastAsia="Arial" w:hAnsi="Arial"/>
          <w:b/>
          <w:bCs/>
          <w:color w:val="1F3864"/>
          <w:sz w:val="32"/>
          <w:szCs w:val="32"/>
        </w:rPr>
        <w:t xml:space="preserve">2. Assessment Methodology</w:t>
      </w:r>
    </w:p>
    <w:p>
      <w:pPr>
        <w:pBdr>
          <w:bottom w:val="single" w:color="2E75B6" w:sz="6" w:space="1"/>
        </w:pBdr>
        <w:spacing w:after="100" w:before="100"/>
      </w:pPr>
    </w:p>
    <w:p>
      <w:pPr>
        <w:pStyle w:val="Heading2"/>
        <w:spacing w:after="60" w:before="160"/>
      </w:pPr>
      <w:r>
        <w:rPr>
          <w:rFonts w:ascii="Arial" w:cs="Arial" w:eastAsia="Arial" w:hAnsi="Arial"/>
          <w:b/>
          <w:bCs/>
          <w:color w:val="2E75B6"/>
          <w:sz w:val="24"/>
          <w:szCs w:val="24"/>
        </w:rPr>
        <w:t xml:space="preserve">2.1 Static Code Review</w:t>
      </w:r>
    </w:p>
    <w:p>
      <w:pPr>
        <w:spacing w:after="50" w:before="50"/>
      </w:pPr>
      <w:r>
        <w:rPr>
          <w:rFonts w:ascii="Arial" w:cs="Arial" w:eastAsia="Arial" w:hAnsi="Arial"/>
          <w:sz w:val="20"/>
          <w:szCs w:val="20"/>
        </w:rPr>
        <w:t xml:space="preserve">A full manual review of both codebases was performed. Reviewers examined Spring Security configuration files, authentication controllers, Docker Compose definitions, MQTT configuration, frontend HTML/JavaScript, and the NeTEx XML import pipeline. The review targeted: secret management practices, authentication and authorisation rule definitions, output encoding, HTTP security headers, network exposure of infrastructure services, and XML parser configuration.</w:t>
      </w:r>
    </w:p>
    <w:p>
      <w:pPr>
        <w:spacing w:after="0" w:before="40"/>
      </w:pPr>
    </w:p>
    <w:p>
      <w:pPr>
        <w:spacing w:after="50" w:before="50"/>
      </w:pPr>
      <w:r>
        <w:rPr>
          <w:rFonts w:ascii="Arial" w:cs="Arial" w:eastAsia="Arial" w:hAnsi="Arial"/>
          <w:sz w:val="20"/>
          <w:szCs w:val="20"/>
        </w:rPr>
        <w:t xml:space="preserve">Key findings from static review included credentials committed to version control (V-01), JWT tokens stored in browser localStorage instead of protected cookies (V-04), a hardcoded JWT signing secret (V-05), conflicting Spring Security rules on the AI endpoint (V-10), and the use of the dangerous document.write() API for page rendering (V-11).</w:t>
      </w:r>
    </w:p>
    <w:p>
      <w:pPr>
        <w:spacing w:after="0" w:before="60"/>
      </w:pPr>
    </w:p>
    <w:p>
      <w:pPr>
        <w:pStyle w:val="Heading2"/>
        <w:spacing w:after="60" w:before="160"/>
      </w:pPr>
      <w:r>
        <w:rPr>
          <w:rFonts w:ascii="Arial" w:cs="Arial" w:eastAsia="Arial" w:hAnsi="Arial"/>
          <w:b/>
          <w:bCs/>
          <w:color w:val="2E75B6"/>
          <w:sz w:val="24"/>
          <w:szCs w:val="24"/>
        </w:rPr>
        <w:t xml:space="preserve">2.2 MQTT Layer Review</w:t>
      </w:r>
    </w:p>
    <w:p>
      <w:pPr>
        <w:spacing w:after="50" w:before="50"/>
      </w:pPr>
      <w:r>
        <w:rPr>
          <w:rFonts w:ascii="Arial" w:cs="Arial" w:eastAsia="Arial" w:hAnsi="Arial"/>
          <w:sz w:val="20"/>
          <w:szCs w:val="20"/>
        </w:rPr>
        <w:t xml:space="preserve">The Mosquitto broker configuration was inspected for authentication requirements. The broker was found to accept anonymous connections, permitting any device on the network to publish spoofed GPS positions or subscribe to live telemetry. The MqttMessageHandler.java class was also reviewed; it implements server-side validation of incoming payloads including GPS bounding-box checks (lat 41.40–41.60, lon 13.70–14.00), timestamp staleness limits (300 seconds), and vehicleId format enforcement via regex — providing a defence-in-depth layer against spoofed telemetry even if broker-level authentication were absent.</w:t>
      </w:r>
    </w:p>
    <w:p>
      <w:pPr>
        <w:spacing w:after="0" w:before="60"/>
      </w:pPr>
    </w:p>
    <w:p>
      <w:pPr>
        <w:pStyle w:val="Heading2"/>
        <w:spacing w:after="60" w:before="160"/>
      </w:pPr>
      <w:r>
        <w:rPr>
          <w:rFonts w:ascii="Arial" w:cs="Arial" w:eastAsia="Arial" w:hAnsi="Arial"/>
          <w:b/>
          <w:bCs/>
          <w:color w:val="2E75B6"/>
          <w:sz w:val="24"/>
          <w:szCs w:val="24"/>
        </w:rPr>
        <w:t xml:space="preserve">2.3 NeTEx / XML Pipeline Review</w:t>
      </w:r>
    </w:p>
    <w:p>
      <w:pPr>
        <w:spacing w:after="50" w:before="50"/>
      </w:pPr>
      <w:r>
        <w:rPr>
          <w:rFonts w:ascii="Arial" w:cs="Arial" w:eastAsia="Arial" w:hAnsi="Arial"/>
          <w:sz w:val="20"/>
          <w:szCs w:val="20"/>
        </w:rPr>
        <w:t xml:space="preserve">The OmniMove NetexImportService.java was inspected for XML External Entity (XXE) vulnerability. The service correctly configures the XMLInputFactory with IS_SUPPORTING_EXTERNAL_ENTITIES=false and SUPPORT_DTD=false before constructing the XmlMapper, preventing any external entity or DTD-based attack on the NeTEx feed ingestion path.</w:t>
      </w:r>
    </w:p>
    <w:p>
      <w:pPr>
        <w:spacing w:after="0" w:before="60"/>
      </w:pPr>
    </w:p>
    <w:p>
      <w:pPr>
        <w:pStyle w:val="Heading2"/>
        <w:spacing w:after="60" w:before="160"/>
      </w:pPr>
      <w:r>
        <w:rPr>
          <w:rFonts w:ascii="Arial" w:cs="Arial" w:eastAsia="Arial" w:hAnsi="Arial"/>
          <w:b/>
          <w:bCs/>
          <w:color w:val="2E75B6"/>
          <w:sz w:val="24"/>
          <w:szCs w:val="24"/>
        </w:rPr>
        <w:t xml:space="preserve">2.4 Security Controls Already in Place</w:t>
      </w:r>
    </w:p>
    <w:p>
      <w:pPr>
        <w:spacing w:after="50" w:before="50"/>
      </w:pPr>
      <w:r>
        <w:rPr>
          <w:rFonts w:ascii="Arial" w:cs="Arial" w:eastAsia="Arial" w:hAnsi="Arial"/>
          <w:sz w:val="20"/>
          <w:szCs w:val="20"/>
        </w:rPr>
        <w:t xml:space="preserve">The following positive security controls were identified during review and confirmed as implemented correctly:</w:t>
      </w:r>
    </w:p>
    <w:p>
      <w:pPr>
        <w:pStyle w:val="ListParagraph"/>
        <w:numPr>
          <w:ilvl w:val="0"/>
          <w:numId w:val="2"/>
        </w:numPr>
        <w:spacing w:after="30" w:before="30"/>
      </w:pPr>
      <w:r>
        <w:rPr>
          <w:rFonts w:ascii="Arial" w:cs="Arial" w:eastAsia="Arial" w:hAnsi="Arial"/>
          <w:b w:val="false"/>
          <w:bCs w:val="false"/>
          <w:sz w:val="20"/>
          <w:szCs w:val="20"/>
        </w:rPr>
        <w:t xml:space="preserve">Brute-force protection: LoginAttemptService.java uses Redis to count per-email failures; accounts are locked for 15 minutes after 5 consecutive failed logins.</w:t>
      </w:r>
    </w:p>
    <w:p>
      <w:pPr>
        <w:pStyle w:val="ListParagraph"/>
        <w:numPr>
          <w:ilvl w:val="0"/>
          <w:numId w:val="2"/>
        </w:numPr>
        <w:spacing w:after="30" w:before="30"/>
      </w:pPr>
      <w:r>
        <w:rPr>
          <w:rFonts w:ascii="Arial" w:cs="Arial" w:eastAsia="Arial" w:hAnsi="Arial"/>
          <w:b w:val="false"/>
          <w:bCs w:val="false"/>
          <w:sz w:val="20"/>
          <w:szCs w:val="20"/>
        </w:rPr>
        <w:t xml:space="preserve">JWT token blacklist: TokenBlacklistService.java stores invalidated tokens in Redis with TTL equal to the token's remaining validity period, preventing reuse of logged-out tokens.</w:t>
      </w:r>
    </w:p>
    <w:p>
      <w:pPr>
        <w:pStyle w:val="ListParagraph"/>
        <w:numPr>
          <w:ilvl w:val="0"/>
          <w:numId w:val="2"/>
        </w:numPr>
        <w:spacing w:after="30" w:before="30"/>
      </w:pPr>
      <w:r>
        <w:rPr>
          <w:rFonts w:ascii="Arial" w:cs="Arial" w:eastAsia="Arial" w:hAnsi="Arial"/>
          <w:b w:val="false"/>
          <w:bCs w:val="false"/>
          <w:sz w:val="20"/>
          <w:szCs w:val="20"/>
        </w:rPr>
        <w:t xml:space="preserve">Security audit logging: SecurityAuditService.java emits structured log entries for LOGIN_SUCCESS, LOGIN_FAILURE, ACCOUNT_LOCKED, and LOGOUT events, providing an audit trail for A09 compliance.</w:t>
      </w:r>
    </w:p>
    <w:p>
      <w:pPr>
        <w:pStyle w:val="ListParagraph"/>
        <w:numPr>
          <w:ilvl w:val="0"/>
          <w:numId w:val="2"/>
        </w:numPr>
        <w:spacing w:after="30" w:before="30"/>
      </w:pPr>
      <w:r>
        <w:rPr>
          <w:rFonts w:ascii="Arial" w:cs="Arial" w:eastAsia="Arial" w:hAnsi="Arial"/>
          <w:b w:val="false"/>
          <w:bCs w:val="false"/>
          <w:sz w:val="20"/>
          <w:szCs w:val="20"/>
        </w:rPr>
        <w:t xml:space="preserve">CORS allowlist: CorsConfigurationSource restricts allowed origins to the list defined in cassitrack.cors.allowed-origins configuration property, rejecting cross-origin requests from unlisted domains.</w:t>
      </w:r>
    </w:p>
    <w:p>
      <w:r>
        <w:br w:type="page"/>
      </w:r>
    </w:p>
    <w:p>
      <w:pPr>
        <w:pStyle w:val="Heading1"/>
        <w:spacing w:after="80" w:before="260"/>
      </w:pPr>
      <w:r>
        <w:rPr>
          <w:rFonts w:ascii="Arial" w:cs="Arial" w:eastAsia="Arial" w:hAnsi="Arial"/>
          <w:b/>
          <w:bCs/>
          <w:color w:val="1F3864"/>
          <w:sz w:val="32"/>
          <w:szCs w:val="32"/>
        </w:rPr>
        <w:t xml:space="preserve">3. Vulnerability Findings</w:t>
      </w:r>
    </w:p>
    <w:p>
      <w:pPr>
        <w:pBdr>
          <w:bottom w:val="single" w:color="2E75B6" w:sz="6" w:space="1"/>
        </w:pBdr>
        <w:spacing w:after="100" w:before="100"/>
      </w:pPr>
    </w:p>
    <w:p>
      <w:pPr>
        <w:spacing w:after="50" w:before="50"/>
      </w:pPr>
      <w:r>
        <w:rPr>
          <w:rFonts w:ascii="Arial" w:cs="Arial" w:eastAsia="Arial" w:hAnsi="Arial"/>
          <w:sz w:val="20"/>
          <w:szCs w:val="20"/>
        </w:rPr>
        <w:t xml:space="preserve">Twelve vulnerabilities were identified across both platforms. All were remediated. The table below maps each finding to its OWASP category, severity, evidence, and the specific code change applied.</w:t>
      </w:r>
    </w:p>
    <w:p>
      <w:pPr>
        <w:spacing w:after="0"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0"/>
        <w:gridCol w:w="680"/>
        <w:gridCol w:w="900"/>
        <w:gridCol w:w="3200"/>
        <w:gridCol w:w="3200"/>
      </w:tblGrid>
      <w:tr>
        <w:tc>
          <w:tcPr>
            <w:tcW w:type="dxa" w:w="58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ID</w:t>
            </w:r>
          </w:p>
        </w:tc>
        <w:tc>
          <w:tcPr>
            <w:tcW w:type="dxa" w:w="68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OWASP</w:t>
            </w:r>
          </w:p>
        </w:tc>
        <w:tc>
          <w:tcPr>
            <w:tcW w:type="dxa" w:w="9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Severity</w:t>
            </w:r>
          </w:p>
        </w:tc>
        <w:tc>
          <w:tcPr>
            <w:tcW w:type="dxa" w:w="32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Evidence</w:t>
            </w:r>
          </w:p>
        </w:tc>
        <w:tc>
          <w:tcPr>
            <w:tcW w:type="dxa" w:w="32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Remediation</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V-01</w:t>
            </w:r>
          </w:p>
        </w:tc>
        <w:tc>
          <w:tcPr>
            <w:tcW w:type="dxa" w:w="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A02</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CRITICAL</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Plaintext DB passwords and JWT secrets committed to repo</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.gitignore for .env; env vars in docker-compose ${JWT_SECRET}</w:t>
            </w:r>
          </w:p>
        </w:tc>
      </w:tr>
      <w:tr>
        <w:tc>
          <w:tcPr>
            <w:tcW w:type="dxa" w:w="5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V-02</w:t>
            </w:r>
          </w:p>
        </w:tc>
        <w:tc>
          <w:tcPr>
            <w:tcW w:type="dxa" w:w="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A05</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CRITICAL</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Mosquitto allowed unauthenticated PUBLISH on cassitrack/vehicles/#</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allow_anonymous false; password_file; acl_file in mosquitto.conf</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V-03</w:t>
            </w:r>
          </w:p>
        </w:tc>
        <w:tc>
          <w:tcPr>
            <w:tcW w:type="dxa" w:w="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A03</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innerHTML used without sanitisation in admin HTML</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escHtml() helper already present; verified blocking injection</w:t>
            </w:r>
          </w:p>
        </w:tc>
      </w:tr>
      <w:tr>
        <w:tc>
          <w:tcPr>
            <w:tcW w:type="dxa" w:w="5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V-04</w:t>
            </w:r>
          </w:p>
        </w:tc>
        <w:tc>
          <w:tcPr>
            <w:tcW w:type="dxa" w:w="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A07</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Tokens readable by any JS; XSS-accessible</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HttpOnly; Secure; SameSite=Strict cookie (AuthController.java:114-123)</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V-05</w:t>
            </w:r>
          </w:p>
        </w:tc>
        <w:tc>
          <w:tcPr>
            <w:tcW w:type="dxa" w:w="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A02</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Literal secret string in docker-compose.yml</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${JWT_SECRET} env var; secret in gitignored .env</w:t>
            </w:r>
          </w:p>
        </w:tc>
      </w:tr>
      <w:tr>
        <w:tc>
          <w:tcPr>
            <w:tcW w:type="dxa" w:w="5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V-06</w:t>
            </w:r>
          </w:p>
        </w:tc>
        <w:tc>
          <w:tcPr>
            <w:tcW w:type="dxa" w:w="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A05</w:t>
            </w:r>
          </w:p>
        </w:tc>
        <w:tc>
          <w:tcPr>
            <w:tcW w:type="dxa" w:w="9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tcPr>
          <w:p>
            <w:pPr>
              <w:jc w:val="center"/>
            </w:pPr>
            <w:r>
              <w:rPr>
                <w:rFonts w:ascii="Arial" w:cs="Arial" w:eastAsia="Arial" w:hAnsi="Arial"/>
                <w:b/>
                <w:bCs/>
                <w:color w:val="7F6000"/>
                <w:sz w:val="18"/>
                <w:szCs w:val="18"/>
              </w:rPr>
              <w:t xml:space="preserve">MEDIUM</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http://172.20.10.6/api/v1 hard-coded in app.js</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Replaced with relative URL via window.CASSITRACK_API_ORIGIN</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V-07</w:t>
            </w:r>
          </w:p>
        </w:tc>
        <w:tc>
          <w:tcPr>
            <w:tcW w:type="dxa" w:w="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A01</w:t>
            </w:r>
          </w:p>
        </w:tc>
        <w:tc>
          <w:tcPr>
            <w:tcW w:type="dxa" w:w="9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tcPr>
          <w:p>
            <w:pPr>
              <w:jc w:val="center"/>
            </w:pPr>
            <w:r>
              <w:rPr>
                <w:rFonts w:ascii="Arial" w:cs="Arial" w:eastAsia="Arial" w:hAnsi="Arial"/>
                <w:b/>
                <w:bCs/>
                <w:color w:val="7F6000"/>
                <w:sz w:val="18"/>
                <w:szCs w:val="18"/>
              </w:rPr>
              <w:t xml:space="preserve">MEDIUM</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/api/docs/** and /api/swagger-ui/** required no authentication</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.requestMatchers('/api/docs/**').authenticated() in SecurityConfig</w:t>
            </w:r>
          </w:p>
        </w:tc>
      </w:tr>
      <w:tr>
        <w:tc>
          <w:tcPr>
            <w:tcW w:type="dxa" w:w="5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V-08</w:t>
            </w:r>
          </w:p>
        </w:tc>
        <w:tc>
          <w:tcPr>
            <w:tcW w:type="dxa" w:w="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A02</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Redis ran without --requirepass; JWT blacklist unprotected</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requirepass ${SPRING_REDIS_PASSWORD} in docker-compose</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V-09</w:t>
            </w:r>
          </w:p>
        </w:tc>
        <w:tc>
          <w:tcPr>
            <w:tcW w:type="dxa" w:w="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A05</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PostgreSQL, InfluxDB, Redis, MQTT visible on LAN</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bindings changed to 127.0.0.1:port:port in both docker-composes</w:t>
            </w:r>
          </w:p>
        </w:tc>
      </w:tr>
      <w:tr>
        <w:tc>
          <w:tcPr>
            <w:tcW w:type="dxa" w:w="5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V-10</w:t>
            </w:r>
          </w:p>
        </w:tc>
        <w:tc>
          <w:tcPr>
            <w:tcW w:type="dxa" w:w="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A01</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Two conflicting rules for /api/v1/ai/**; first-match gave undefined behaviour</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Single merged rule: hasAnyAuthority('FLEET_MANAGER','ADMIN')</w:t>
            </w:r>
          </w:p>
        </w:tc>
      </w:tr>
      <w:tr>
        <w:tc>
          <w:tcPr>
            <w:tcW w:type="dxa" w:w="5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V-11</w:t>
            </w:r>
          </w:p>
        </w:tc>
        <w:tc>
          <w:tcPr>
            <w:tcW w:type="dxa" w:w="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A03</w:t>
            </w:r>
          </w:p>
        </w:tc>
        <w:tc>
          <w:tcPr>
            <w:tcW w:type="dxa" w:w="9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HIGH</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cassitrack-login.html used document.open/write/close for rendering</w:t>
            </w:r>
          </w:p>
        </w:tc>
        <w:tc>
          <w:tcPr>
            <w:tcW w:type="dxa" w:w="3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Replaced with window.location.replace(targetUrl)</w:t>
            </w:r>
          </w:p>
        </w:tc>
      </w:tr>
      <w:tr>
        <w:tc>
          <w:tcPr>
            <w:tcW w:type="dxa" w:w="5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V-12</w:t>
            </w:r>
          </w:p>
        </w:tc>
        <w:tc>
          <w:tcPr>
            <w:tcW w:type="dxa" w:w="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A05</w:t>
            </w:r>
          </w:p>
        </w:tc>
        <w:tc>
          <w:tcPr>
            <w:tcW w:type="dxa" w:w="9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tcPr>
          <w:p>
            <w:pPr>
              <w:jc w:val="center"/>
            </w:pPr>
            <w:r>
              <w:rPr>
                <w:rFonts w:ascii="Arial" w:cs="Arial" w:eastAsia="Arial" w:hAnsi="Arial"/>
                <w:b/>
                <w:bCs/>
                <w:color w:val="7F6000"/>
                <w:sz w:val="18"/>
                <w:szCs w:val="18"/>
              </w:rPr>
              <w:t xml:space="preserve">MEDIUM</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No CSP, Permissions-Policy, or CORP headers on any response</w:t>
            </w:r>
          </w:p>
        </w:tc>
        <w:tc>
          <w:tcPr>
            <w:tcW w:type="dxa" w:w="3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Full CSP + Permissions-Policy + CORP via SecurityConfig + OncePerRequestFilter</w:t>
            </w:r>
          </w:p>
        </w:tc>
      </w:tr>
    </w:tbl>
    <w:p>
      <w:pPr>
        <w:spacing w:after="0" w:before="80"/>
      </w:pPr>
    </w:p>
    <w:p>
      <w:pPr>
        <w:spacing w:after="50" w:before="50"/>
      </w:pPr>
      <w:r>
        <w:rPr>
          <w:rFonts w:ascii="Arial" w:cs="Arial" w:eastAsia="Arial" w:hAnsi="Arial"/>
          <w:sz w:val="20"/>
          <w:szCs w:val="20"/>
        </w:rPr>
        <w:t xml:space="preserve">In addition to the twelve findings above, OWASP ZAP's baseline scan identified four further HTTP response header deficiencies. All four were resolved in SecurityConfig.java and the fleet-manager HTML template: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680"/>
      </w:tblGrid>
      <w:tr>
        <w:tc>
          <w:tcPr>
            <w:tcW w:type="dxa" w:w="8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ZAP Rule</w:t>
            </w:r>
          </w:p>
        </w:tc>
        <w:tc>
          <w:tcPr>
            <w:tcW w:type="dxa" w:w="36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Finding</w:t>
            </w:r>
          </w:p>
        </w:tc>
        <w:tc>
          <w:tcPr>
            <w:tcW w:type="dxa" w:w="568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Fix Applied</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10055</w:t>
            </w:r>
          </w:p>
        </w:tc>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CSP Missing Directives (object-src, base-uri)</w:t>
            </w:r>
          </w:p>
        </w:tc>
        <w:tc>
          <w:tcPr>
            <w:tcW w:type="dxa" w:w="5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to policyDirectives() in SecurityConfig</w:t>
            </w:r>
          </w:p>
        </w:tc>
      </w:tr>
      <w:tr>
        <w:tc>
          <w:tcPr>
            <w:tcW w:type="dxa" w:w="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10063</w:t>
            </w:r>
          </w:p>
        </w:tc>
        <w:tc>
          <w:tcPr>
            <w:tcW w:type="dxa" w:w="3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Permissions-Policy Header Absent</w:t>
            </w:r>
          </w:p>
        </w:tc>
        <w:tc>
          <w:tcPr>
            <w:tcW w:type="dxa" w:w="5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OncePerRequestFilter sets camera=(); microphone=(); geolocation=(self)</w:t>
            </w:r>
          </w:p>
        </w:tc>
      </w:tr>
      <w:tr>
        <w:tc>
          <w:tcPr>
            <w:tcW w:type="dxa" w:w="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90004</w:t>
            </w:r>
          </w:p>
        </w:tc>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Cross-Origin-Resource-Policy Missing</w:t>
            </w:r>
          </w:p>
        </w:tc>
        <w:tc>
          <w:tcPr>
            <w:tcW w:type="dxa" w:w="56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Same filter adds CORP: same-origin</w:t>
            </w:r>
          </w:p>
        </w:tc>
      </w:tr>
      <w:tr>
        <w:tc>
          <w:tcPr>
            <w:tcW w:type="dxa" w:w="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90003</w:t>
            </w:r>
          </w:p>
        </w:tc>
        <w:tc>
          <w:tcPr>
            <w:tcW w:type="dxa" w:w="3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Sub-Resource Integrity on CDN Scripts</w:t>
            </w:r>
          </w:p>
        </w:tc>
        <w:tc>
          <w:tcPr>
            <w:tcW w:type="dxa" w:w="56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SHA-384 integrity hashes on Leaflet and Chart.js tags</w:t>
            </w:r>
          </w:p>
        </w:tc>
      </w:tr>
    </w:tbl>
    <w:p>
      <w:r>
        <w:br w:type="page"/>
      </w:r>
    </w:p>
    <w:p>
      <w:pPr>
        <w:pStyle w:val="Heading1"/>
        <w:spacing w:after="80" w:before="260"/>
      </w:pPr>
      <w:r>
        <w:rPr>
          <w:rFonts w:ascii="Arial" w:cs="Arial" w:eastAsia="Arial" w:hAnsi="Arial"/>
          <w:b/>
          <w:bCs/>
          <w:color w:val="1F3864"/>
          <w:sz w:val="32"/>
          <w:szCs w:val="32"/>
        </w:rPr>
        <w:t xml:space="preserve">4. Practical Attack Testing and Results</w:t>
      </w:r>
    </w:p>
    <w:p>
      <w:pPr>
        <w:pBdr>
          <w:bottom w:val="single" w:color="2E75B6" w:sz="6" w:space="1"/>
        </w:pBdr>
        <w:spacing w:after="100" w:before="100"/>
      </w:pPr>
    </w:p>
    <w:p>
      <w:pPr>
        <w:pStyle w:val="Heading2"/>
        <w:spacing w:after="60" w:before="160"/>
      </w:pPr>
      <w:r>
        <w:rPr>
          <w:rFonts w:ascii="Arial" w:cs="Arial" w:eastAsia="Arial" w:hAnsi="Arial"/>
          <w:b/>
          <w:bCs/>
          <w:color w:val="2E75B6"/>
          <w:sz w:val="24"/>
          <w:szCs w:val="24"/>
        </w:rPr>
        <w:t xml:space="preserve">4.1 Automated Penetration Testing (Python / requests)</w:t>
      </w:r>
    </w:p>
    <w:p>
      <w:pPr>
        <w:spacing w:after="50" w:before="50"/>
      </w:pPr>
      <w:r>
        <w:rPr>
          <w:rFonts w:ascii="Arial" w:cs="Arial" w:eastAsia="Arial" w:hAnsi="Arial"/>
          <w:sz w:val="20"/>
          <w:szCs w:val="20"/>
        </w:rPr>
        <w:t xml:space="preserve">A custom penetration test script (threat_model.py, 1,830 lines) was developed to automate HTTP-level attacks against both backends. The script covers all 21 vulnerability categories tested: the 12 original findings plus 9 extended OWASP Top 10 categories (A01-IDOR, A01-CSRF, A03 injection variants, A04 rate limiting, A06 dependency audit, A07 authentication failures, A08 integrity, A09 logging, A10 SSRF). Each test specifies the expected HTTP response code, and tests that exercise the rate limiter are configured to treat a timeout as a pass condition — a timeout proves the throttle is active.</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AAAAAA" w:sz="4"/>
              <w:left w:val="single" w:color="AAAAAA" w:sz="4"/>
              <w:bottom w:val="single" w:color="AAAAAA" w:sz="4"/>
              <w:right w:val="single" w:color="AAAAAA" w:sz="4"/>
            </w:tcBorders>
            <w:shd w:fill="375623" w:val="clear"/>
            <w:tcMar>
              <w:top w:type="dxa" w:w="100"/>
              <w:left w:type="dxa" w:w="100"/>
              <w:bottom w:type="dxa" w:w="100"/>
              <w:right w:type="dxa" w:w="100"/>
            </w:tcMar>
          </w:tcPr>
          <w:p>
            <w:pPr>
              <w:jc w:val="center"/>
            </w:pPr>
            <w:r>
              <w:rPr>
                <w:rFonts w:ascii="Arial" w:cs="Arial" w:eastAsia="Arial" w:hAnsi="Arial"/>
                <w:b/>
                <w:bCs/>
                <w:color w:val="FFFFFF"/>
                <w:sz w:val="52"/>
                <w:szCs w:val="52"/>
              </w:rPr>
              <w:t xml:space="preserve">44</w:t>
            </w:r>
          </w:p>
          <w:p>
            <w:pPr>
              <w:jc w:val="center"/>
            </w:pPr>
            <w:r>
              <w:rPr>
                <w:rFonts w:ascii="Arial" w:cs="Arial" w:eastAsia="Arial" w:hAnsi="Arial"/>
                <w:color w:val="FFFFFF"/>
                <w:sz w:val="20"/>
                <w:szCs w:val="20"/>
              </w:rPr>
              <w:t xml:space="preserve">PASS</w:t>
            </w:r>
          </w:p>
        </w:tc>
        <w:tc>
          <w:tcPr>
            <w:tcW w:type="dxa" w:w="3360"/>
            <w:tcBorders>
              <w:top w:val="single" w:color="AAAAAA" w:sz="4"/>
              <w:left w:val="single" w:color="AAAAAA" w:sz="4"/>
              <w:bottom w:val="single" w:color="AAAAAA" w:sz="4"/>
              <w:right w:val="single" w:color="AAAAAA" w:sz="4"/>
            </w:tcBorders>
            <w:shd w:fill="375623" w:val="clear"/>
            <w:tcMar>
              <w:top w:type="dxa" w:w="100"/>
              <w:left w:type="dxa" w:w="100"/>
              <w:bottom w:type="dxa" w:w="100"/>
              <w:right w:type="dxa" w:w="100"/>
            </w:tcMar>
          </w:tcPr>
          <w:p>
            <w:pPr>
              <w:jc w:val="center"/>
            </w:pPr>
            <w:r>
              <w:rPr>
                <w:rFonts w:ascii="Arial" w:cs="Arial" w:eastAsia="Arial" w:hAnsi="Arial"/>
                <w:b/>
                <w:bCs/>
                <w:color w:val="FFFFFF"/>
                <w:sz w:val="52"/>
                <w:szCs w:val="52"/>
              </w:rPr>
              <w:t xml:space="preserve">0</w:t>
            </w:r>
          </w:p>
          <w:p>
            <w:pPr>
              <w:jc w:val="center"/>
            </w:pPr>
            <w:r>
              <w:rPr>
                <w:rFonts w:ascii="Arial" w:cs="Arial" w:eastAsia="Arial" w:hAnsi="Arial"/>
                <w:color w:val="FFFFFF"/>
                <w:sz w:val="20"/>
                <w:szCs w:val="20"/>
              </w:rPr>
              <w:t xml:space="preserve">FAIL</w:t>
            </w:r>
          </w:p>
        </w:tc>
        <w:tc>
          <w:tcPr>
            <w:tcW w:type="dxa" w:w="3360"/>
            <w:tcBorders>
              <w:top w:val="single" w:color="AAAAAA" w:sz="4"/>
              <w:left w:val="single" w:color="AAAAAA" w:sz="4"/>
              <w:bottom w:val="single" w:color="AAAAAA" w:sz="4"/>
              <w:right w:val="single" w:color="AAAAAA" w:sz="4"/>
            </w:tcBorders>
            <w:shd w:fill="595959" w:val="clear"/>
            <w:tcMar>
              <w:top w:type="dxa" w:w="100"/>
              <w:left w:type="dxa" w:w="100"/>
              <w:bottom w:type="dxa" w:w="100"/>
              <w:right w:type="dxa" w:w="100"/>
            </w:tcMar>
          </w:tcPr>
          <w:p>
            <w:pPr>
              <w:jc w:val="center"/>
            </w:pPr>
            <w:r>
              <w:rPr>
                <w:rFonts w:ascii="Arial" w:cs="Arial" w:eastAsia="Arial" w:hAnsi="Arial"/>
                <w:b/>
                <w:bCs/>
                <w:color w:val="FFFFFF"/>
                <w:sz w:val="52"/>
                <w:szCs w:val="52"/>
              </w:rPr>
              <w:t xml:space="preserve">4</w:t>
            </w:r>
          </w:p>
          <w:p>
            <w:pPr>
              <w:jc w:val="center"/>
            </w:pPr>
            <w:r>
              <w:rPr>
                <w:rFonts w:ascii="Arial" w:cs="Arial" w:eastAsia="Arial" w:hAnsi="Arial"/>
                <w:color w:val="FFFFFF"/>
                <w:sz w:val="20"/>
                <w:szCs w:val="20"/>
              </w:rPr>
              <w:t xml:space="preserve">SKIP (tool absent)</w:t>
            </w:r>
          </w:p>
        </w:tc>
      </w:tr>
    </w:tbl>
    <w:p>
      <w:pPr>
        <w:spacing w:after="0" w:before="60"/>
      </w:pPr>
    </w:p>
    <w:p>
      <w:pPr>
        <w:spacing w:after="50" w:before="50"/>
      </w:pPr>
      <w:r>
        <w:rPr>
          <w:rFonts w:ascii="Arial" w:cs="Arial" w:eastAsia="Arial" w:hAnsi="Arial"/>
          <w:sz w:val="20"/>
          <w:szCs w:val="20"/>
        </w:rPr>
        <w:t xml:space="preserve">The 4 skipped tests (mosquitto_pub, mosquitto_sub, redis-cli) required CLI tools not present in the system PATH during the automated run. These were verified manually by executing commands inside the running Docker containers.</w:t>
      </w:r>
    </w:p>
    <w:p>
      <w:pPr>
        <w:spacing w:after="0" w:before="60"/>
      </w:pPr>
    </w:p>
    <w:p>
      <w:pPr>
        <w:pStyle w:val="Heading2"/>
        <w:spacing w:after="60" w:before="160"/>
      </w:pPr>
      <w:r>
        <w:rPr>
          <w:rFonts w:ascii="Arial" w:cs="Arial" w:eastAsia="Arial" w:hAnsi="Arial"/>
          <w:b/>
          <w:bCs/>
          <w:color w:val="2E75B6"/>
          <w:sz w:val="24"/>
          <w:szCs w:val="24"/>
        </w:rPr>
        <w:t xml:space="preserve">4.2 OWASP ZAP Automated Scanning</w:t>
      </w:r>
    </w:p>
    <w:p>
      <w:pPr>
        <w:spacing w:after="50" w:before="50"/>
      </w:pPr>
      <w:r>
        <w:rPr>
          <w:rFonts w:ascii="Arial" w:cs="Arial" w:eastAsia="Arial" w:hAnsi="Arial"/>
          <w:sz w:val="20"/>
          <w:szCs w:val="20"/>
        </w:rPr>
        <w:t xml:space="preserve">OWASP ZAP was run in two modes. The baseline scan passively observed responses from four application URLs and flagged the four header deficiencies listed in Section 3. The API scan used the authenticated OpenAPI specification to exercise all 32 documented REST endpoints with active attack payloads, including SQL injection, reflected and stored XSS, path traversal, CSRF, Spring4Shell, Log4Shell, remote code execution, server-side template injection, and XML external entity injection.</w:t>
      </w:r>
    </w:p>
    <w:p>
      <w:pPr>
        <w:spacing w:after="0" w:before="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2520"/>
        <w:gridCol w:w="2520"/>
      </w:tblGrid>
      <w:tr>
        <w:tc>
          <w:tcPr>
            <w:tcW w:type="dxa" w:w="504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Scan Mode</w:t>
            </w:r>
          </w:p>
        </w:tc>
        <w:tc>
          <w:tcPr>
            <w:tcW w:type="dxa" w:w="252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Checks</w:t>
            </w:r>
          </w:p>
        </w:tc>
        <w:tc>
          <w:tcPr>
            <w:tcW w:type="dxa" w:w="252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Result</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Baseline (4 URLs)</w:t>
            </w:r>
          </w:p>
        </w:tc>
        <w:tc>
          <w:tcPr>
            <w:tcW w:type="dxa" w:w="252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66</w:t>
            </w:r>
          </w:p>
        </w:tc>
        <w:tc>
          <w:tcPr>
            <w:tcW w:type="dxa" w:w="252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4 fixed, 0 remaining</w:t>
            </w:r>
          </w:p>
        </w:tc>
      </w:tr>
      <w:tr>
        <w:tc>
          <w:tcPr>
            <w:tcW w:type="dxa" w:w="504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API scan (32 endpoints, OpenAPI spec)</w:t>
            </w:r>
          </w:p>
        </w:tc>
        <w:tc>
          <w:tcPr>
            <w:tcW w:type="dxa" w:w="25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c>
          <w:tcPr>
            <w:tcW w:type="dxa" w:w="252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119 PASS, 0 FAIL</w:t>
            </w:r>
          </w:p>
        </w:tc>
      </w:tr>
    </w:tbl>
    <w:p>
      <w:pPr>
        <w:spacing w:after="0" w:before="60"/>
      </w:pPr>
    </w:p>
    <w:p>
      <w:pPr>
        <w:pStyle w:val="Heading2"/>
        <w:spacing w:after="60" w:before="160"/>
      </w:pPr>
      <w:r>
        <w:rPr>
          <w:rFonts w:ascii="Arial" w:cs="Arial" w:eastAsia="Arial" w:hAnsi="Arial"/>
          <w:b/>
          <w:bCs/>
          <w:color w:val="2E75B6"/>
          <w:sz w:val="24"/>
          <w:szCs w:val="24"/>
        </w:rPr>
        <w:t xml:space="preserve">4.3 Claude AI as Attack Assistant</w:t>
      </w:r>
    </w:p>
    <w:p>
      <w:pPr>
        <w:spacing w:after="50" w:before="50"/>
      </w:pPr>
      <w:r>
        <w:rPr>
          <w:rFonts w:ascii="Arial" w:cs="Arial" w:eastAsia="Arial" w:hAnsi="Arial"/>
          <w:sz w:val="20"/>
          <w:szCs w:val="20"/>
        </w:rPr>
        <w:t xml:space="preserve">Claude (Anthropic) was used throughout the assessment as an attack assistant to generate payloads, identify attack vectors, and suggest exploitation strategies against the documented API surface. Concretely, Claude was used to design the full payload set for the automated pen test script — including SSRF probe URLs (targeting localhost, internal IPs, and metadata endpoints), SQL and Flux injection strings, CRLF header injection attempts, JWT algorithm-confusion tokens, and brute-force credential sequences. Claude also provided the STRIDE threat classification for all 21 vulnerability categories and proposed the remediation code that was then verified against the actual codebase.</w:t>
      </w:r>
    </w:p>
    <w:p>
      <w:pPr>
        <w:spacing w:after="0" w:before="60"/>
      </w:pPr>
    </w:p>
    <w:p>
      <w:pPr>
        <w:pStyle w:val="Heading2"/>
        <w:spacing w:after="60" w:before="160"/>
      </w:pPr>
      <w:r>
        <w:rPr>
          <w:rFonts w:ascii="Arial" w:cs="Arial" w:eastAsia="Arial" w:hAnsi="Arial"/>
          <w:b/>
          <w:bCs/>
          <w:color w:val="2E75B6"/>
          <w:sz w:val="24"/>
          <w:szCs w:val="24"/>
        </w:rPr>
        <w:t xml:space="preserve">4.4 Network and Infrastructure Scanning</w:t>
      </w:r>
    </w:p>
    <w:p>
      <w:pPr>
        <w:spacing w:after="50" w:before="50"/>
      </w:pPr>
      <w:r>
        <w:rPr>
          <w:rFonts w:ascii="Arial" w:cs="Arial" w:eastAsia="Arial" w:hAnsi="Arial"/>
          <w:sz w:val="20"/>
          <w:szCs w:val="20"/>
        </w:rPr>
        <w:t xml:space="preserve">Nmap was used to verify that all infrastructure ports (PostgreSQL 5432, InfluxDB 8086, Redis 6379, MQTT 1883) were unreachable from the local network after binding changes. All four ports reported as filtered, confirming that no service accepted external connections. Trivy performed a Docker image vulnerability scan against the cassitrack-api image and found zero CRITICAL CVEs. Maven OSS Index confirmed zero critical known vulnerabilities in the pom.xml dependency tree.</w:t>
      </w:r>
    </w:p>
    <w:p>
      <w:r>
        <w:br w:type="page"/>
      </w:r>
    </w:p>
    <w:p>
      <w:pPr>
        <w:pStyle w:val="Heading1"/>
        <w:spacing w:after="80" w:before="260"/>
      </w:pPr>
      <w:r>
        <w:rPr>
          <w:rFonts w:ascii="Arial" w:cs="Arial" w:eastAsia="Arial" w:hAnsi="Arial"/>
          <w:b/>
          <w:bCs/>
          <w:color w:val="1F3864"/>
          <w:sz w:val="32"/>
          <w:szCs w:val="32"/>
        </w:rPr>
        <w:t xml:space="preserve">5. Conclusions</w:t>
      </w:r>
    </w:p>
    <w:p>
      <w:pPr>
        <w:pBdr>
          <w:bottom w:val="single" w:color="2E75B6" w:sz="6" w:space="1"/>
        </w:pBdr>
        <w:spacing w:after="100" w:before="100"/>
      </w:pPr>
    </w:p>
    <w:p>
      <w:pPr>
        <w:pStyle w:val="Heading2"/>
        <w:spacing w:after="60" w:before="160"/>
      </w:pPr>
      <w:r>
        <w:rPr>
          <w:rFonts w:ascii="Arial" w:cs="Arial" w:eastAsia="Arial" w:hAnsi="Arial"/>
          <w:b/>
          <w:bCs/>
          <w:color w:val="2E75B6"/>
          <w:sz w:val="24"/>
          <w:szCs w:val="24"/>
        </w:rPr>
        <w:t xml:space="preserve">5.1 Summary</w:t>
      </w:r>
    </w:p>
    <w:p>
      <w:pPr>
        <w:spacing w:after="50" w:before="50"/>
      </w:pPr>
      <w:r>
        <w:rPr>
          <w:rFonts w:ascii="Arial" w:cs="Arial" w:eastAsia="Arial" w:hAnsi="Arial"/>
          <w:sz w:val="20"/>
          <w:szCs w:val="20"/>
        </w:rPr>
        <w:t xml:space="preserve">The security assessment of CassiTrack and OmniMove identified 12 vulnerabilities through static code review, covering six of the ten OWASP Top 10 (2021) categories. Two findings were classified as Critical, six as High, and four as Medium. All 12 were remediated through targeted code and configuration changes. A subsequent ZAP baseline scan identified four additional HTTP response header deficiencies, all resolved. The final ZAP API scan of 119 checks and the 44 automated penetration tests returned zero failures.</w:t>
      </w:r>
    </w:p>
    <w:p>
      <w:pPr>
        <w:spacing w:after="0" w:before="40"/>
      </w:pPr>
    </w:p>
    <w:p>
      <w:pPr>
        <w:spacing w:after="50" w:before="50"/>
      </w:pPr>
      <w:r>
        <w:rPr>
          <w:rFonts w:ascii="Arial" w:cs="Arial" w:eastAsia="Arial" w:hAnsi="Arial"/>
          <w:sz w:val="20"/>
          <w:szCs w:val="20"/>
        </w:rPr>
        <w:t xml:space="preserve">Several positive security controls were found already in place: payload validation on incoming MQTT telemetry, XXE protection on the NeTEx XML import, brute-force rate limiting via Redis, JWT token blacklisting on logout, and structured security audit logging. These controls demonstrate that the codebase incorporates security-by-design thinking beyond the baseline requirements.</w:t>
      </w:r>
    </w:p>
    <w:p>
      <w:pPr>
        <w:spacing w:after="0" w:before="60"/>
      </w:pPr>
    </w:p>
    <w:p>
      <w:pPr>
        <w:pStyle w:val="Heading2"/>
        <w:spacing w:after="60" w:before="160"/>
      </w:pPr>
      <w:r>
        <w:rPr>
          <w:rFonts w:ascii="Arial" w:cs="Arial" w:eastAsia="Arial" w:hAnsi="Arial"/>
          <w:b/>
          <w:bCs/>
          <w:color w:val="2E75B6"/>
          <w:sz w:val="24"/>
          <w:szCs w:val="24"/>
        </w:rPr>
        <w:t xml:space="preserve">5.2 STRIDE Threat Model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200"/>
        <w:gridCol w:w="4280"/>
      </w:tblGrid>
      <w:tr>
        <w:tc>
          <w:tcPr>
            <w:tcW w:type="dxa" w:w="12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STRIDE</w:t>
            </w:r>
          </w:p>
        </w:tc>
        <w:tc>
          <w:tcPr>
            <w:tcW w:type="dxa" w:w="34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Vulnerabilities</w:t>
            </w:r>
          </w:p>
        </w:tc>
        <w:tc>
          <w:tcPr>
            <w:tcW w:type="dxa" w:w="12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Count</w:t>
            </w:r>
          </w:p>
        </w:tc>
        <w:tc>
          <w:tcPr>
            <w:tcW w:type="dxa" w:w="428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Status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Spoofing</w:t>
            </w:r>
          </w:p>
        </w:tc>
        <w:tc>
          <w:tcPr>
            <w:tcW w:type="dxa" w:w="3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V-01, V-02, V-04, V-05</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428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FIXED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Tampering</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V-02, V-03, V-11, V-12</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428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FIXED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Repudiation</w:t>
            </w:r>
          </w:p>
        </w:tc>
        <w:tc>
          <w:tcPr>
            <w:tcW w:type="dxa" w:w="3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A09 logging gaps</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1</w:t>
            </w:r>
          </w:p>
        </w:tc>
        <w:tc>
          <w:tcPr>
            <w:tcW w:type="dxa" w:w="428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FIXED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Info Disclosure</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V-01, V-05, V-07, V-09</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c>
          <w:tcPr>
            <w:tcW w:type="dxa" w:w="428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FIXED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Denial of Service</w:t>
            </w:r>
          </w:p>
        </w:tc>
        <w:tc>
          <w:tcPr>
            <w:tcW w:type="dxa" w:w="3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V-09, A04 rate limiting</w:t>
            </w:r>
          </w:p>
        </w:tc>
        <w:tc>
          <w:tcPr>
            <w:tcW w:type="dxa" w:w="1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2</w:t>
            </w:r>
          </w:p>
        </w:tc>
        <w:tc>
          <w:tcPr>
            <w:tcW w:type="dxa" w:w="428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FIXED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Elevation of Privilege</w:t>
            </w:r>
          </w:p>
        </w:tc>
        <w:tc>
          <w:tcPr>
            <w:tcW w:type="dxa" w:w="3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V-08, V-10, A01-IDOR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c>
          <w:tcPr>
            <w:tcW w:type="dxa" w:w="428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FIXED</w:t>
            </w:r>
          </w:p>
        </w:tc>
      </w:tr>
    </w:tbl>
    <w:p>
      <w:pPr>
        <w:spacing w:after="0" w:before="60"/>
      </w:pPr>
    </w:p>
    <w:p>
      <w:pPr>
        <w:pStyle w:val="Heading2"/>
        <w:spacing w:after="60" w:before="160"/>
      </w:pPr>
      <w:r>
        <w:rPr>
          <w:rFonts w:ascii="Arial" w:cs="Arial" w:eastAsia="Arial" w:hAnsi="Arial"/>
          <w:b/>
          <w:bCs/>
          <w:color w:val="2E75B6"/>
          <w:sz w:val="24"/>
          <w:szCs w:val="24"/>
        </w:rPr>
        <w:t xml:space="preserve">5.3 Recommendations for Production Deployment</w:t>
      </w:r>
    </w:p>
    <w:p>
      <w:pPr>
        <w:pStyle w:val="ListParagraph"/>
        <w:numPr>
          <w:ilvl w:val="0"/>
          <w:numId w:val="2"/>
        </w:numPr>
        <w:spacing w:after="30" w:before="30"/>
      </w:pPr>
      <w:r>
        <w:rPr>
          <w:rFonts w:ascii="Arial" w:cs="Arial" w:eastAsia="Arial" w:hAnsi="Arial"/>
          <w:b w:val="false"/>
          <w:bCs w:val="false"/>
          <w:sz w:val="20"/>
          <w:szCs w:val="20"/>
        </w:rPr>
        <w:t xml:space="preserve">TLS / HTTPS — All API and WebSocket traffic currently runs over HTTP. A reverse proxy (Caddy or nginx) with a valid certificate must be placed in front of both backends before any public or shared-network deployment. Without TLS, the SameSite=Strict and Secure cookie flags provide no protection.</w:t>
      </w:r>
    </w:p>
    <w:p>
      <w:pPr>
        <w:pStyle w:val="ListParagraph"/>
        <w:numPr>
          <w:ilvl w:val="0"/>
          <w:numId w:val="2"/>
        </w:numPr>
        <w:spacing w:after="30" w:before="30"/>
      </w:pPr>
      <w:r>
        <w:rPr>
          <w:rFonts w:ascii="Arial" w:cs="Arial" w:eastAsia="Arial" w:hAnsi="Arial"/>
          <w:b w:val="false"/>
          <w:bCs w:val="false"/>
          <w:sz w:val="20"/>
          <w:szCs w:val="20"/>
        </w:rPr>
        <w:t xml:space="preserve">Git History Scrub — Removed secrets remain in repository history. git filter-repo must be run to expunge historical commits before the repository is made public or shared beyond the development team.</w:t>
      </w:r>
    </w:p>
    <w:p>
      <w:pPr>
        <w:pStyle w:val="ListParagraph"/>
        <w:numPr>
          <w:ilvl w:val="0"/>
          <w:numId w:val="2"/>
        </w:numPr>
        <w:spacing w:after="30" w:before="30"/>
      </w:pPr>
      <w:r>
        <w:rPr>
          <w:rFonts w:ascii="Arial" w:cs="Arial" w:eastAsia="Arial" w:hAnsi="Arial"/>
          <w:b w:val="false"/>
          <w:bCs w:val="false"/>
          <w:sz w:val="20"/>
          <w:szCs w:val="20"/>
        </w:rPr>
        <w:t xml:space="preserve">MQTT Credential Rotation — Mosquitto passwords should be replaced with strong random values and stored exclusively in the gitignored .env file. Current test credentials must not be reused in production.</w:t>
      </w:r>
    </w:p>
    <w:p>
      <w:pPr>
        <w:pStyle w:val="ListParagraph"/>
        <w:numPr>
          <w:ilvl w:val="0"/>
          <w:numId w:val="2"/>
        </w:numPr>
        <w:spacing w:after="30" w:before="30"/>
      </w:pPr>
      <w:r>
        <w:rPr>
          <w:rFonts w:ascii="Arial" w:cs="Arial" w:eastAsia="Arial" w:hAnsi="Arial"/>
          <w:b w:val="false"/>
          <w:bCs w:val="false"/>
          <w:sz w:val="20"/>
          <w:szCs w:val="20"/>
        </w:rPr>
        <w:t xml:space="preserve">Dependency Monitoring — Enable automated dependency vulnerability alerts (e.g., GitHub Dependabot or OWASP Dependency-Check in CI) to receive notifications for newly disclosed CVEs in the Maven dependency tree.</w:t>
      </w:r>
    </w:p>
    <w:p>
      <w:pPr>
        <w:pStyle w:val="ListParagraph"/>
        <w:numPr>
          <w:ilvl w:val="0"/>
          <w:numId w:val="2"/>
        </w:numPr>
        <w:spacing w:after="30" w:before="30"/>
      </w:pPr>
      <w:r>
        <w:rPr>
          <w:rFonts w:ascii="Arial" w:cs="Arial" w:eastAsia="Arial" w:hAnsi="Arial"/>
          <w:b w:val="false"/>
          <w:bCs w:val="false"/>
          <w:sz w:val="20"/>
          <w:szCs w:val="20"/>
        </w:rPr>
        <w:t xml:space="preserve">Spring Actuator Audit — Verify that /actuator endpoints are either disabled or restricted to the ADMIN role. Actuator exposes environment variables, health details, and metrics that could aid an attacker in reconnaissance.</w:t>
      </w:r>
    </w:p>
    <w:p>
      <w:pPr>
        <w:spacing w:after="0" w:before="60"/>
      </w:pPr>
    </w:p>
    <w:p>
      <w:pPr>
        <w:pStyle w:val="Heading2"/>
        <w:spacing w:after="60" w:before="160"/>
      </w:pPr>
      <w:r>
        <w:rPr>
          <w:rFonts w:ascii="Arial" w:cs="Arial" w:eastAsia="Arial" w:hAnsi="Arial"/>
          <w:b/>
          <w:bCs/>
          <w:color w:val="2E75B6"/>
          <w:sz w:val="24"/>
          <w:szCs w:val="24"/>
        </w:rPr>
        <w:t xml:space="preserve">5.4 Final Test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3480"/>
      </w:tblGrid>
      <w:tr>
        <w:tc>
          <w:tcPr>
            <w:tcW w:type="dxa" w:w="30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Test Suite</w:t>
            </w:r>
          </w:p>
        </w:tc>
        <w:tc>
          <w:tcPr>
            <w:tcW w:type="dxa" w:w="18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Total</w:t>
            </w:r>
          </w:p>
        </w:tc>
        <w:tc>
          <w:tcPr>
            <w:tcW w:type="dxa" w:w="180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Passed</w:t>
            </w:r>
          </w:p>
        </w:tc>
        <w:tc>
          <w:tcPr>
            <w:tcW w:type="dxa" w:w="3480"/>
            <w:tcBorders>
              <w:top w:val="single" w:color="AAAAAA" w:sz="4"/>
              <w:left w:val="single" w:color="AAAAAA" w:sz="4"/>
              <w:bottom w:val="single" w:color="AAAAAA" w:sz="4"/>
              <w:right w:val="single" w:color="AAAAAA" w:sz="4"/>
            </w:tcBorders>
            <w:shd w:fill="1F3864" w:val="clear"/>
            <w:tcMar>
              <w:top w:type="dxa" w:w="70"/>
              <w:left w:type="dxa" w:w="100"/>
              <w:bottom w:type="dxa" w:w="70"/>
              <w:right w:type="dxa" w:w="100"/>
            </w:tcMar>
          </w:tcPr>
          <w:p>
            <w:r>
              <w:rPr>
                <w:rFonts w:ascii="Arial" w:cs="Arial" w:eastAsia="Arial" w:hAnsi="Arial"/>
                <w:b/>
                <w:bCs/>
                <w:color w:val="FFFFFF"/>
                <w:sz w:val="18"/>
                <w:szCs w:val="18"/>
              </w:rPr>
              <w:t xml:space="preserve">Notes</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Automated pen tests</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48</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44</w:t>
            </w:r>
          </w:p>
        </w:tc>
        <w:tc>
          <w:tcPr>
            <w:tcW w:type="dxa" w:w="34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4 skipped: CLI tools absent</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ZAP baseline scan</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66</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62</w:t>
            </w:r>
          </w:p>
        </w:tc>
        <w:tc>
          <w:tcPr>
            <w:tcW w:type="dxa" w:w="34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 findings fixed, 0 remaining</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ZAP API scan (32 endpoints)</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119</w:t>
            </w:r>
          </w:p>
        </w:tc>
        <w:tc>
          <w:tcPr>
            <w:tcW w:type="dxa" w:w="34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0 FAIL</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Nmap port scan</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 ports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filtered</w:t>
            </w:r>
          </w:p>
        </w:tc>
        <w:tc>
          <w:tcPr>
            <w:tcW w:type="dxa" w:w="34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external exposure</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Trivy image scan</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CVEs</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0 CRITICAL</w:t>
            </w:r>
          </w:p>
        </w:tc>
        <w:tc>
          <w:tcPr>
            <w:tcW w:type="dxa" w:w="348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tcPr>
          <w:p>
            <w:r>
              <w:rPr>
                <w:rFonts w:ascii="Arial" w:cs="Arial" w:eastAsia="Arial" w:hAnsi="Arial"/>
                <w:b w:val="false"/>
                <w:bCs w:val="false"/>
                <w:color w:val="000000"/>
                <w:sz w:val="18"/>
                <w:szCs w:val="18"/>
              </w:rPr>
              <w:t xml:space="preserve">cassitrack-api image</w:t>
            </w:r>
          </w:p>
        </w:tc>
      </w:tr>
      <w:tr>
        <w:tc>
          <w:tcPr>
            <w:tcW w:type="dxa" w:w="3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Maven OSS Index</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deps</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0 CRITICAL</w:t>
            </w:r>
          </w:p>
        </w:tc>
        <w:tc>
          <w:tcPr>
            <w:tcW w:type="dxa" w:w="348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pom.xml dependency tree</w:t>
            </w:r>
          </w:p>
        </w:tc>
      </w:tr>
    </w:tbl>
    <w:p>
      <w:pPr>
        <w:spacing w:after="0" w:before="80"/>
      </w:pPr>
    </w:p>
    <w:p>
      <w:pPr>
        <w:pBdr>
          <w:bottom w:val="single" w:color="2E75B6" w:sz="6" w:space="1"/>
        </w:pBdr>
        <w:spacing w:after="100" w:before="100"/>
      </w:pPr>
    </w:p>
    <w:p>
      <w:pPr>
        <w:spacing w:after="40" w:before="100"/>
        <w:jc w:val="center"/>
      </w:pPr>
      <w:r>
        <w:rPr>
          <w:rFonts w:ascii="Arial" w:cs="Arial" w:eastAsia="Arial" w:hAnsi="Arial"/>
          <w:i/>
          <w:iCs/>
          <w:color w:val="595959"/>
          <w:sz w:val="16"/>
          <w:szCs w:val="16"/>
        </w:rPr>
        <w:t xml:space="preserve">Report prepared using Claude (Anthropic) — University of Cassino, DPN 2025/26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right"/>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95959"/>
        <w:sz w:val="16"/>
        <w:szCs w:val="16"/>
      </w:rPr>
      <w:t xml:space="preserve">CassiTrack &amp; OmniMove — OWASP Security Assessment  |  University of Cassino, DPN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60"/>
      <w:outlineLvl w:val="0"/>
    </w:pPr>
    <w:rPr>
      <w:rFonts w:ascii="Arial" w:cs="Arial" w:eastAsia="Arial" w:hAnsi="Arial"/>
      <w:b/>
      <w:bCs/>
      <w:color w:val="1F3864"/>
      <w:sz w:val="32"/>
      <w:szCs w:val="32"/>
    </w:rPr>
  </w:style>
  <w:style w:type="paragraph" w:styleId="Heading2">
    <w:name w:val="Heading 2"/>
    <w:basedOn w:val="Normal"/>
    <w:next w:val="Normal"/>
    <w:qFormat/>
    <w:pPr>
      <w:spacing w:after="60" w:before="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2026-06-25T17:34:16.314Z</dcterms:created>
  <dcterms:modified xsi:type="dcterms:W3CDTF">2026-06-25T17:34:16.328Z</dcterms:modified>
</cp:coreProperties>
</file>

<file path=docProps/custom.xml><?xml version="1.0" encoding="utf-8"?>
<Properties xmlns="http://schemas.openxmlformats.org/officeDocument/2006/custom-properties" xmlns:vt="http://schemas.openxmlformats.org/officeDocument/2006/docPropsVTypes"/>
</file>