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p>
    <w:p>
      <w:pPr>
        <w:spacing w:after="90" w:before="0"/>
        <w:jc w:val="center"/>
      </w:pPr>
      <w:r>
        <w:rPr>
          <w:rFonts w:ascii="Arial" w:cs="Arial" w:eastAsia="Arial" w:hAnsi="Arial"/>
          <w:b/>
          <w:bCs/>
          <w:color w:val="1F3864"/>
          <w:sz w:val="52"/>
          <w:szCs w:val="52"/>
        </w:rPr>
        <w:t xml:space="preserve">SECURITY ASSESSMENT REPORT</w:t>
      </w:r>
    </w:p>
    <w:p>
      <w:pPr>
        <w:spacing w:after="70" w:before="0"/>
        <w:jc w:val="center"/>
      </w:pPr>
      <w:r>
        <w:rPr>
          <w:rFonts w:ascii="Arial" w:cs="Arial" w:eastAsia="Arial" w:hAnsi="Arial"/>
          <w:b/>
          <w:bCs/>
          <w:color w:val="2E75B6"/>
          <w:sz w:val="34"/>
          <w:szCs w:val="34"/>
        </w:rPr>
        <w:t xml:space="preserve">CassiTrack &amp; OmniMove</w:t>
      </w:r>
    </w:p>
    <w:p>
      <w:pPr>
        <w:pBdr>
          <w:bottom w:val="single" w:color="2E75B6" w:sz="12" w:space="4"/>
        </w:pBdr>
        <w:spacing w:after="180" w:before="0"/>
        <w:jc w:val="center"/>
      </w:pPr>
      <w:r>
        <w:rPr>
          <w:rFonts w:ascii="Arial" w:cs="Arial" w:eastAsia="Arial" w:hAnsi="Arial"/>
          <w:color w:val="595959"/>
          <w:sz w:val="20"/>
          <w:szCs w:val="20"/>
        </w:rPr>
        <w:t xml:space="preserve">OWASP Top 10 (2021)  ·  STRIDE Threat Model  ·  Penetration Testing  ·  ZAP Automated Scanning</w:t>
      </w:r>
    </w:p>
    <w:p>
      <w:pPr>
        <w:spacing w:after="0" w:before="16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r>
              <w:rPr>
                <w:rFonts w:ascii="Arial" w:cs="Arial" w:eastAsia="Arial" w:hAnsi="Arial"/>
                <w:b/>
                <w:bCs/>
                <w:color w:val="595959"/>
                <w:sz w:val="18"/>
                <w:szCs w:val="18"/>
              </w:rPr>
              <w:t xml:space="preserve">Institution</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r>
              <w:rPr>
                <w:rFonts w:ascii="Arial" w:cs="Arial" w:eastAsia="Arial" w:hAnsi="Arial"/>
                <w:sz w:val="18"/>
                <w:szCs w:val="18"/>
              </w:rPr>
              <w:t xml:space="preserve">University of Cassino and Southern Lazio</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r>
              <w:rPr>
                <w:rFonts w:ascii="Arial" w:cs="Arial" w:eastAsia="Arial" w:hAnsi="Arial"/>
                <w:b/>
                <w:bCs/>
                <w:color w:val="595959"/>
                <w:sz w:val="18"/>
                <w:szCs w:val="18"/>
              </w:rPr>
              <w:t xml:space="preserve">Course</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r>
              <w:rPr>
                <w:rFonts w:ascii="Arial" w:cs="Arial" w:eastAsia="Arial" w:hAnsi="Arial"/>
                <w:sz w:val="18"/>
                <w:szCs w:val="18"/>
              </w:rPr>
              <w:t xml:space="preserve">Distributed Programming &amp; Networking 2025/26</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r>
              <w:rPr>
                <w:rFonts w:ascii="Arial" w:cs="Arial" w:eastAsia="Arial" w:hAnsi="Arial"/>
                <w:b/>
                <w:bCs/>
                <w:color w:val="595959"/>
                <w:sz w:val="18"/>
                <w:szCs w:val="18"/>
              </w:rPr>
              <w:t xml:space="preserve">Date</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r>
              <w:rPr>
                <w:rFonts w:ascii="Arial" w:cs="Arial" w:eastAsia="Arial" w:hAnsi="Arial"/>
                <w:sz w:val="18"/>
                <w:szCs w:val="18"/>
              </w:rPr>
              <w:t xml:space="preserve">25 June 2026</w:t>
            </w:r>
          </w:p>
        </w:tc>
      </w:tr>
    </w:tbl>
    <w:p>
      <w:r>
        <w:br w:type="page"/>
      </w:r>
    </w:p>
    <w:p>
      <w:pPr>
        <w:pStyle w:val="Heading1"/>
        <w:spacing w:after="60" w:before="220"/>
      </w:pPr>
      <w:r>
        <w:rPr>
          <w:rFonts w:ascii="Arial" w:cs="Arial" w:eastAsia="Arial" w:hAnsi="Arial"/>
          <w:b/>
          <w:bCs/>
          <w:color w:val="1F3864"/>
          <w:sz w:val="30"/>
          <w:szCs w:val="30"/>
        </w:rPr>
        <w:t xml:space="preserve">1. Introduction</w:t>
      </w:r>
    </w:p>
    <w:p>
      <w:pPr>
        <w:pBdr>
          <w:bottom w:val="single" w:color="2E75B6" w:sz="6" w:space="1"/>
        </w:pBdr>
        <w:spacing w:after="90" w:before="90"/>
      </w:pPr>
    </w:p>
    <w:p>
      <w:pPr>
        <w:pStyle w:val="Heading2"/>
        <w:spacing w:after="50" w:before="130"/>
      </w:pPr>
      <w:r>
        <w:rPr>
          <w:rFonts w:ascii="Arial" w:cs="Arial" w:eastAsia="Arial" w:hAnsi="Arial"/>
          <w:b/>
          <w:bCs/>
          <w:color w:val="2E75B6"/>
          <w:sz w:val="22"/>
          <w:szCs w:val="22"/>
        </w:rPr>
        <w:t xml:space="preserve">1.1 Project Overview</w:t>
      </w:r>
    </w:p>
    <w:p>
      <w:pPr>
        <w:spacing w:after="40" w:before="40"/>
      </w:pPr>
      <w:r>
        <w:rPr>
          <w:rFonts w:ascii="Arial" w:cs="Arial" w:eastAsia="Arial" w:hAnsi="Arial"/>
          <w:sz w:val="19"/>
          <w:szCs w:val="19"/>
        </w:rPr>
        <w:t xml:space="preserve">CassiTrack is a real-time bus fleet management system for the public transport network of Cassino. On-board units publish GPS telemetry as JSON over MQTT to a Mosquitto broker; the Spring Boot backend subscribes to these messages, validates each payload, stores time-series data in InfluxDB and relational data in PostgreSQL, and caches live vehicle positions in Redis. The REST API exposes fleet data and GTFS-RT / SIRI-VM feeds; a Server-Sent Events (SSE) endpoint pushes live telemetry to OmniMove. The frontend is a static HTML/JavaScript fleet-manager dashboard using Leaflet for maps and Chart.js for analytics.</w:t>
      </w:r>
    </w:p>
    <w:p>
      <w:pPr>
        <w:spacing w:after="0" w:before="40"/>
      </w:pPr>
    </w:p>
    <w:p>
      <w:pPr>
        <w:spacing w:after="40" w:before="40"/>
      </w:pPr>
      <w:r>
        <w:rPr>
          <w:rFonts w:ascii="Arial" w:cs="Arial" w:eastAsia="Arial" w:hAnsi="Arial"/>
          <w:sz w:val="19"/>
          <w:szCs w:val="19"/>
        </w:rPr>
        <w:t xml:space="preserve">OmniMove is a Mobility-as-a-Service journey planner that consumes CassiTrack data via NeTEx (XML) and the SSE stream, integrates weather and routing APIs, and provides multi-modal journey planning. Both backends share a Spring Boot 3.x + JWT authentication + Redis + PostgreSQL stack. NeTEx data exchange between the two systems uses an XML pipeline protected against XXE injection.</w:t>
      </w:r>
    </w:p>
    <w:p>
      <w:pPr>
        <w:spacing w:after="0" w:before="50"/>
      </w:pPr>
    </w:p>
    <w:p>
      <w:pPr>
        <w:pStyle w:val="Heading2"/>
        <w:spacing w:after="50" w:before="130"/>
      </w:pPr>
      <w:r>
        <w:rPr>
          <w:rFonts w:ascii="Arial" w:cs="Arial" w:eastAsia="Arial" w:hAnsi="Arial"/>
          <w:b/>
          <w:bCs/>
          <w:color w:val="2E75B6"/>
          <w:sz w:val="22"/>
          <w:szCs w:val="22"/>
        </w:rPr>
        <w:t xml:space="preserve">1.2 What is OWASP?</w:t>
      </w:r>
    </w:p>
    <w:p>
      <w:pPr>
        <w:spacing w:after="40" w:before="40"/>
      </w:pPr>
      <w:r>
        <w:rPr>
          <w:rFonts w:ascii="Arial" w:cs="Arial" w:eastAsia="Arial" w:hAnsi="Arial"/>
          <w:sz w:val="19"/>
          <w:szCs w:val="19"/>
        </w:rPr>
        <w:t xml:space="preserve">The Open Worldwide Application Security Project (OWASP) is a non-profit foundation that produces freely available security standards and guidance. The OWASP Top 10 (2021) is a ranked list of the ten most critical web application security risk categories. This assessment uses it as the primary classification framework: A01 Broken Access Control, A02 Cryptographic Failures, A03 Injection, A04 Insecure Design, A05 Security Misconfiguration, A06 Vulnerable and Outdated Components, A07 Identification and Authentication Failures, A08 Software and Data Integrity Failures, A09 Security Logging and Monitoring Failures, A10 Server-Side Request Forgery.</w:t>
      </w:r>
    </w:p>
    <w:p>
      <w:pPr>
        <w:spacing w:after="0" w:before="50"/>
      </w:pPr>
    </w:p>
    <w:p>
      <w:pPr>
        <w:pStyle w:val="Heading2"/>
        <w:spacing w:after="50" w:before="130"/>
      </w:pPr>
      <w:r>
        <w:rPr>
          <w:rFonts w:ascii="Arial" w:cs="Arial" w:eastAsia="Arial" w:hAnsi="Arial"/>
          <w:b/>
          <w:bCs/>
          <w:color w:val="2E75B6"/>
          <w:sz w:val="22"/>
          <w:szCs w:val="22"/>
        </w:rPr>
        <w:t xml:space="preserve">1.3 Methodology</w:t>
      </w:r>
    </w:p>
    <w:p>
      <w:pPr>
        <w:spacing w:after="40" w:before="40"/>
      </w:pPr>
      <w:r>
        <w:rPr>
          <w:rFonts w:ascii="Arial" w:cs="Arial" w:eastAsia="Arial" w:hAnsi="Arial"/>
          <w:sz w:val="19"/>
          <w:szCs w:val="19"/>
        </w:rPr>
        <w:t xml:space="preserve">The assessment followed four phases. (1) Static code review of both backends, Docker Compose files, Mosquitto configuration, and frontend HTML/JavaScript — focusing on secret management, authentication rules, output encoding, HTTP headers, network exposure, and the XML import pipeline. (2) STRIDE threat modelling to classify each finding by threat type. (3) Remediation — targeted code and configuration changes applied directly to the codebase. (4) Verification — automated penetration testing (threat_model.py, 48 HTTP tests), OWASP ZAP baseline and API scanning, Nmap network scanning, Trivy container scanning, and Maven OSS Index dependency audit. Claude AI (Anthropic) was used as an attack assistant to generate payloads and identify exploitation vectors.</w:t>
      </w:r>
    </w:p>
    <w:p>
      <w:r>
        <w:br w:type="page"/>
      </w:r>
    </w:p>
    <w:p>
      <w:pPr>
        <w:pStyle w:val="Heading1"/>
        <w:spacing w:after="60" w:before="220"/>
      </w:pPr>
      <w:r>
        <w:rPr>
          <w:rFonts w:ascii="Arial" w:cs="Arial" w:eastAsia="Arial" w:hAnsi="Arial"/>
          <w:b/>
          <w:bCs/>
          <w:color w:val="1F3864"/>
          <w:sz w:val="30"/>
          <w:szCs w:val="30"/>
        </w:rPr>
        <w:t xml:space="preserve">2. STRIDE Threat Model</w:t>
      </w:r>
    </w:p>
    <w:p>
      <w:pPr>
        <w:pBdr>
          <w:bottom w:val="single" w:color="2E75B6" w:sz="6" w:space="1"/>
        </w:pBdr>
        <w:spacing w:after="90" w:before="9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680"/>
        <w:gridCol w:w="700"/>
        <w:gridCol w:w="600"/>
      </w:tblGrid>
      <w:tr>
        <w:tc>
          <w:tcPr>
            <w:tcW w:type="dxa" w:w="1100"/>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Threat</w:t>
            </w:r>
          </w:p>
        </w:tc>
        <w:tc>
          <w:tcPr>
            <w:tcW w:type="dxa" w:w="7680"/>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Vulnerabilities</w:t>
            </w:r>
          </w:p>
        </w:tc>
        <w:tc>
          <w:tcPr>
            <w:tcW w:type="dxa" w:w="700"/>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Count</w:t>
            </w:r>
          </w:p>
        </w:tc>
        <w:tc>
          <w:tcPr>
            <w:tcW w:type="dxa" w:w="600"/>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Status</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bCs/>
                <w:color w:val="000000"/>
                <w:sz w:val="17"/>
                <w:szCs w:val="17"/>
              </w:rPr>
              <w:t xml:space="preserve">Spoofing</w:t>
            </w:r>
          </w:p>
        </w:tc>
        <w:tc>
          <w:tcPr>
            <w:tcW w:type="dxa" w:w="768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V-01 (leaked creds), V-02 (MQTT anon), V-04 (JWT theft), V-05 (JWT forgery)</w:t>
            </w:r>
          </w:p>
        </w:tc>
        <w:tc>
          <w:tcPr>
            <w:tcW w:type="dxa" w:w="70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4</w:t>
            </w:r>
          </w:p>
        </w:tc>
        <w:tc>
          <w:tcPr>
            <w:tcW w:type="dxa" w:w="600"/>
            <w:tcBorders>
              <w:top w:val="single" w:color="AAAAAA" w:sz="4"/>
              <w:left w:val="single" w:color="AAAAAA" w:sz="4"/>
              <w:bottom w:val="single" w:color="AAAAAA" w:sz="4"/>
              <w:right w:val="single" w:color="AAAAAA" w:sz="4"/>
            </w:tcBorders>
            <w:shd w:fill="FFFFFF" w:val="clear"/>
            <w:tcMar>
              <w:top w:type="dxa" w:w="50"/>
              <w:left w:type="dxa" w:w="60"/>
              <w:bottom w:type="dxa" w:w="50"/>
              <w:right w:type="dxa" w:w="60"/>
            </w:tcMar>
          </w:tcPr>
          <w:p>
            <w:pPr>
              <w:jc w:val="center"/>
            </w:pPr>
            <w:r>
              <w:rPr>
                <w:rFonts w:ascii="Arial" w:cs="Arial" w:eastAsia="Arial" w:hAnsi="Arial"/>
                <w:b/>
                <w:bCs/>
                <w:color w:val="375623"/>
                <w:sz w:val="16"/>
                <w:szCs w:val="16"/>
              </w:rPr>
              <w:t xml:space="preserve">FIXED</w:t>
            </w:r>
          </w:p>
        </w:tc>
      </w:tr>
      <w:tr>
        <w:tc>
          <w:tcPr>
            <w:tcW w:type="dxa" w:w="110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bCs/>
                <w:color w:val="000000"/>
                <w:sz w:val="17"/>
                <w:szCs w:val="17"/>
              </w:rPr>
              <w:t xml:space="preserve">Tampering</w:t>
            </w:r>
          </w:p>
        </w:tc>
        <w:tc>
          <w:tcPr>
            <w:tcW w:type="dxa" w:w="768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V-02 (GPS injection), V-03 (XSS), V-11 (DOM injection), V-12 (no CSP)</w:t>
            </w:r>
          </w:p>
        </w:tc>
        <w:tc>
          <w:tcPr>
            <w:tcW w:type="dxa" w:w="70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4</w:t>
            </w:r>
          </w:p>
        </w:tc>
        <w:tc>
          <w:tcPr>
            <w:tcW w:type="dxa" w:w="600"/>
            <w:tcBorders>
              <w:top w:val="single" w:color="AAAAAA" w:sz="4"/>
              <w:left w:val="single" w:color="AAAAAA" w:sz="4"/>
              <w:bottom w:val="single" w:color="AAAAAA" w:sz="4"/>
              <w:right w:val="single" w:color="AAAAAA" w:sz="4"/>
            </w:tcBorders>
            <w:shd w:fill="E2EFDA" w:val="clear"/>
            <w:tcMar>
              <w:top w:type="dxa" w:w="50"/>
              <w:left w:type="dxa" w:w="60"/>
              <w:bottom w:type="dxa" w:w="50"/>
              <w:right w:type="dxa" w:w="60"/>
            </w:tcMar>
          </w:tcPr>
          <w:p>
            <w:pPr>
              <w:jc w:val="center"/>
            </w:pPr>
            <w:r>
              <w:rPr>
                <w:rFonts w:ascii="Arial" w:cs="Arial" w:eastAsia="Arial" w:hAnsi="Arial"/>
                <w:b/>
                <w:bCs/>
                <w:color w:val="375623"/>
                <w:sz w:val="16"/>
                <w:szCs w:val="16"/>
              </w:rPr>
              <w:t xml:space="preserve">FIXED</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bCs/>
                <w:color w:val="000000"/>
                <w:sz w:val="17"/>
                <w:szCs w:val="17"/>
              </w:rPr>
              <w:t xml:space="preserve">Repudiation</w:t>
            </w:r>
          </w:p>
        </w:tc>
        <w:tc>
          <w:tcPr>
            <w:tcW w:type="dxa" w:w="768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A09 — insufficient audit logging</w:t>
            </w:r>
          </w:p>
        </w:tc>
        <w:tc>
          <w:tcPr>
            <w:tcW w:type="dxa" w:w="70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1</w:t>
            </w:r>
          </w:p>
        </w:tc>
        <w:tc>
          <w:tcPr>
            <w:tcW w:type="dxa" w:w="600"/>
            <w:tcBorders>
              <w:top w:val="single" w:color="AAAAAA" w:sz="4"/>
              <w:left w:val="single" w:color="AAAAAA" w:sz="4"/>
              <w:bottom w:val="single" w:color="AAAAAA" w:sz="4"/>
              <w:right w:val="single" w:color="AAAAAA" w:sz="4"/>
            </w:tcBorders>
            <w:shd w:fill="FFFFFF" w:val="clear"/>
            <w:tcMar>
              <w:top w:type="dxa" w:w="50"/>
              <w:left w:type="dxa" w:w="60"/>
              <w:bottom w:type="dxa" w:w="50"/>
              <w:right w:type="dxa" w:w="60"/>
            </w:tcMar>
          </w:tcPr>
          <w:p>
            <w:pPr>
              <w:jc w:val="center"/>
            </w:pPr>
            <w:r>
              <w:rPr>
                <w:rFonts w:ascii="Arial" w:cs="Arial" w:eastAsia="Arial" w:hAnsi="Arial"/>
                <w:b/>
                <w:bCs/>
                <w:color w:val="375623"/>
                <w:sz w:val="16"/>
                <w:szCs w:val="16"/>
              </w:rPr>
              <w:t xml:space="preserve">FIXED</w:t>
            </w:r>
          </w:p>
        </w:tc>
      </w:tr>
      <w:tr>
        <w:tc>
          <w:tcPr>
            <w:tcW w:type="dxa" w:w="110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bCs/>
                <w:color w:val="000000"/>
                <w:sz w:val="17"/>
                <w:szCs w:val="17"/>
              </w:rPr>
              <w:t xml:space="preserve">Info Disclosure</w:t>
            </w:r>
          </w:p>
        </w:tc>
        <w:tc>
          <w:tcPr>
            <w:tcW w:type="dxa" w:w="768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V-01, V-05 (secrets), V-07 (Swagger open), V-09 (exposed ports)</w:t>
            </w:r>
          </w:p>
        </w:tc>
        <w:tc>
          <w:tcPr>
            <w:tcW w:type="dxa" w:w="70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4</w:t>
            </w:r>
          </w:p>
        </w:tc>
        <w:tc>
          <w:tcPr>
            <w:tcW w:type="dxa" w:w="600"/>
            <w:tcBorders>
              <w:top w:val="single" w:color="AAAAAA" w:sz="4"/>
              <w:left w:val="single" w:color="AAAAAA" w:sz="4"/>
              <w:bottom w:val="single" w:color="AAAAAA" w:sz="4"/>
              <w:right w:val="single" w:color="AAAAAA" w:sz="4"/>
            </w:tcBorders>
            <w:shd w:fill="E2EFDA" w:val="clear"/>
            <w:tcMar>
              <w:top w:type="dxa" w:w="50"/>
              <w:left w:type="dxa" w:w="60"/>
              <w:bottom w:type="dxa" w:w="50"/>
              <w:right w:type="dxa" w:w="60"/>
            </w:tcMar>
          </w:tcPr>
          <w:p>
            <w:pPr>
              <w:jc w:val="center"/>
            </w:pPr>
            <w:r>
              <w:rPr>
                <w:rFonts w:ascii="Arial" w:cs="Arial" w:eastAsia="Arial" w:hAnsi="Arial"/>
                <w:b/>
                <w:bCs/>
                <w:color w:val="375623"/>
                <w:sz w:val="16"/>
                <w:szCs w:val="16"/>
              </w:rPr>
              <w:t xml:space="preserve">FIXED</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bCs/>
                <w:color w:val="000000"/>
                <w:sz w:val="17"/>
                <w:szCs w:val="17"/>
              </w:rPr>
              <w:t xml:space="preserve">Denial of Service</w:t>
            </w:r>
          </w:p>
        </w:tc>
        <w:tc>
          <w:tcPr>
            <w:tcW w:type="dxa" w:w="768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V-09 (infra on 0.0.0.0), A04 (no brute-force limit), A01 (SSE unlimited)</w:t>
            </w:r>
          </w:p>
        </w:tc>
        <w:tc>
          <w:tcPr>
            <w:tcW w:type="dxa" w:w="70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3</w:t>
            </w:r>
          </w:p>
        </w:tc>
        <w:tc>
          <w:tcPr>
            <w:tcW w:type="dxa" w:w="600"/>
            <w:tcBorders>
              <w:top w:val="single" w:color="AAAAAA" w:sz="4"/>
              <w:left w:val="single" w:color="AAAAAA" w:sz="4"/>
              <w:bottom w:val="single" w:color="AAAAAA" w:sz="4"/>
              <w:right w:val="single" w:color="AAAAAA" w:sz="4"/>
            </w:tcBorders>
            <w:shd w:fill="FFFFFF" w:val="clear"/>
            <w:tcMar>
              <w:top w:type="dxa" w:w="50"/>
              <w:left w:type="dxa" w:w="60"/>
              <w:bottom w:type="dxa" w:w="50"/>
              <w:right w:type="dxa" w:w="60"/>
            </w:tcMar>
          </w:tcPr>
          <w:p>
            <w:pPr>
              <w:jc w:val="center"/>
            </w:pPr>
            <w:r>
              <w:rPr>
                <w:rFonts w:ascii="Arial" w:cs="Arial" w:eastAsia="Arial" w:hAnsi="Arial"/>
                <w:b/>
                <w:bCs/>
                <w:color w:val="375623"/>
                <w:sz w:val="16"/>
                <w:szCs w:val="16"/>
              </w:rPr>
              <w:t xml:space="preserve">FIXED</w:t>
            </w:r>
          </w:p>
        </w:tc>
      </w:tr>
      <w:tr>
        <w:tc>
          <w:tcPr>
            <w:tcW w:type="dxa" w:w="110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bCs/>
                <w:color w:val="000000"/>
                <w:sz w:val="17"/>
                <w:szCs w:val="17"/>
              </w:rPr>
              <w:t xml:space="preserve">Elev. of Privilege</w:t>
            </w:r>
          </w:p>
        </w:tc>
        <w:tc>
          <w:tcPr>
            <w:tcW w:type="dxa" w:w="768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V-08 (Redis no auth), V-10 (broken RBAC), BOLA in user management</w:t>
            </w:r>
          </w:p>
        </w:tc>
        <w:tc>
          <w:tcPr>
            <w:tcW w:type="dxa" w:w="70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3</w:t>
            </w:r>
          </w:p>
        </w:tc>
        <w:tc>
          <w:tcPr>
            <w:tcW w:type="dxa" w:w="600"/>
            <w:tcBorders>
              <w:top w:val="single" w:color="AAAAAA" w:sz="4"/>
              <w:left w:val="single" w:color="AAAAAA" w:sz="4"/>
              <w:bottom w:val="single" w:color="AAAAAA" w:sz="4"/>
              <w:right w:val="single" w:color="AAAAAA" w:sz="4"/>
            </w:tcBorders>
            <w:shd w:fill="E2EFDA" w:val="clear"/>
            <w:tcMar>
              <w:top w:type="dxa" w:w="50"/>
              <w:left w:type="dxa" w:w="60"/>
              <w:bottom w:type="dxa" w:w="50"/>
              <w:right w:type="dxa" w:w="60"/>
            </w:tcMar>
          </w:tcPr>
          <w:p>
            <w:pPr>
              <w:jc w:val="center"/>
            </w:pPr>
            <w:r>
              <w:rPr>
                <w:rFonts w:ascii="Arial" w:cs="Arial" w:eastAsia="Arial" w:hAnsi="Arial"/>
                <w:b/>
                <w:bCs/>
                <w:color w:val="375623"/>
                <w:sz w:val="16"/>
                <w:szCs w:val="16"/>
              </w:rPr>
              <w:t xml:space="preserve">FIXED</w:t>
            </w:r>
          </w:p>
        </w:tc>
      </w:tr>
    </w:tbl>
    <w:p>
      <w:pPr>
        <w:spacing w:after="0" w:before="60"/>
      </w:pPr>
    </w:p>
    <w:p>
      <w:pPr>
        <w:pStyle w:val="Heading1"/>
        <w:spacing w:after="60" w:before="220"/>
      </w:pPr>
      <w:r>
        <w:rPr>
          <w:rFonts w:ascii="Arial" w:cs="Arial" w:eastAsia="Arial" w:hAnsi="Arial"/>
          <w:b/>
          <w:bCs/>
          <w:color w:val="1F3864"/>
          <w:sz w:val="30"/>
          <w:szCs w:val="30"/>
        </w:rPr>
        <w:t xml:space="preserve">3. Security Controls by OWASP Category</w:t>
      </w:r>
    </w:p>
    <w:p>
      <w:pPr>
        <w:pBdr>
          <w:bottom w:val="single" w:color="2E75B6" w:sz="6" w:space="1"/>
        </w:pBdr>
        <w:spacing w:after="90" w:before="90"/>
      </w:pPr>
    </w:p>
    <w:p>
      <w:pPr>
        <w:spacing w:after="40" w:before="40"/>
      </w:pPr>
      <w:r>
        <w:rPr>
          <w:rFonts w:ascii="Arial" w:cs="Arial" w:eastAsia="Arial" w:hAnsi="Arial"/>
          <w:sz w:val="19"/>
          <w:szCs w:val="19"/>
        </w:rPr>
        <w:t xml:space="preserve">Each OWASP category below lists every security control implemented in the codebase, with the exact file and line reference as evidence.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1A5276" w:val="clear"/>
            <w:tcMar>
              <w:top w:type="dxa" w:w="70"/>
              <w:left w:type="dxa" w:w="120"/>
              <w:bottom w:type="dxa" w:w="70"/>
              <w:right w:type="dxa" w:w="120"/>
            </w:tcMar>
          </w:tcPr>
          <w:p>
            <w:r>
              <w:rPr>
                <w:rFonts w:ascii="Arial" w:cs="Arial" w:eastAsia="Arial" w:hAnsi="Arial"/>
                <w:b/>
                <w:bCs/>
                <w:color w:val="FFFFFF"/>
                <w:sz w:val="20"/>
                <w:szCs w:val="20"/>
              </w:rPr>
              <w:t xml:space="preserve">A01 — Broken Access Control</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Swagger UI (/api/docs/**, /api/swagger-ui/**) now requires authentication</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SecurityConfig.java:96–100</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Fixed conflicting RBAC rules on /api/v1/ai/** — merged to single rule with FLEET_MANAGER + ADMIN</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SecurityConfig.java:112–113</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BOLA: admins can only update/delete FLEET_MANAGER users, not other admins</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UserService.java:136–145, 189–194</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SSE telemetry stream requires X-Api-Key; constant-time comparison prevents timing attack</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DataExportController.java:55–60</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SSE connection cap at 50 concurrent clients prevents resource exhaustion</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DataExportController.java:62–65</w:t>
            </w:r>
          </w:p>
        </w:tc>
      </w:tr>
    </w:tbl>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1B4F72" w:val="clear"/>
            <w:tcMar>
              <w:top w:type="dxa" w:w="70"/>
              <w:left w:type="dxa" w:w="120"/>
              <w:bottom w:type="dxa" w:w="70"/>
              <w:right w:type="dxa" w:w="120"/>
            </w:tcMar>
          </w:tcPr>
          <w:p>
            <w:r>
              <w:rPr>
                <w:rFonts w:ascii="Arial" w:cs="Arial" w:eastAsia="Arial" w:hAnsi="Arial"/>
                <w:b/>
                <w:bCs/>
                <w:color w:val="FFFFFF"/>
                <w:sz w:val="20"/>
                <w:szCs w:val="20"/>
              </w:rPr>
              <w:t xml:space="preserve">A02 — Cryptographic Failures</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JWT signing secret moved from hardcoded literal to ${JWT_SECRET} env var</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JwtUtil.java:17 + docker-compose</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JWT signed with HS256 (HMAC-SHA256) via io.jsonwebtoken Keys.hmacShaKeyFor()</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JwtUtil.java:23, 38</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JWT delivered only as HttpOnly + Secure + SameSite=Strict cookie</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AuthController.java:114–123</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Passwords hashed with BCrypt before storage (never stored in plaintext)</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UserService.java:82, 120 + SecurityConfig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Redis requirepass set via ${SPRING_REDIS_PASSWORD} env var</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docker-compose (omnimove)</w:t>
            </w:r>
          </w:p>
        </w:tc>
      </w:tr>
    </w:tbl>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145A32" w:val="clear"/>
            <w:tcMar>
              <w:top w:type="dxa" w:w="70"/>
              <w:left w:type="dxa" w:w="120"/>
              <w:bottom w:type="dxa" w:w="70"/>
              <w:right w:type="dxa" w:w="120"/>
            </w:tcMar>
          </w:tcPr>
          <w:p>
            <w:r>
              <w:rPr>
                <w:rFonts w:ascii="Arial" w:cs="Arial" w:eastAsia="Arial" w:hAnsi="Arial"/>
                <w:b/>
                <w:bCs/>
                <w:color w:val="FFFFFF"/>
                <w:sz w:val="20"/>
                <w:szCs w:val="20"/>
              </w:rPr>
              <w:t xml:space="preserve">A03 — Injection</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Stored XSS prevented via escHtml() on all dynamic innerHTML in admin panel</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cassitrack-admin.html</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document.write() DOM injection replaced with window.location.replace()</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cassitrack-login.html</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XXE in NeTEx import blocked: IS_SUPPORTING_EXTERNAL_ENTITIES=false, SUPPORT_DTD=false</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NetexImportService.java:46–48</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MQTT vehicleId validated by regex [A-Za-z0-9_\-]{1,50} before processing</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MqttMessageHandler.java:91</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SQL injection prevented by Spring Data JPA parameterized queries throughout</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All Repository interfaces (JPA)</w:t>
            </w:r>
          </w:p>
        </w:tc>
      </w:tr>
    </w:tbl>
    <w:p>
      <w:pPr>
        <w:spacing w:after="0" w:before="3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4A235A" w:val="clear"/>
            <w:tcMar>
              <w:top w:type="dxa" w:w="70"/>
              <w:left w:type="dxa" w:w="120"/>
              <w:bottom w:type="dxa" w:w="70"/>
              <w:right w:type="dxa" w:w="120"/>
            </w:tcMar>
          </w:tcPr>
          <w:p>
            <w:r>
              <w:rPr>
                <w:rFonts w:ascii="Arial" w:cs="Arial" w:eastAsia="Arial" w:hAnsi="Arial"/>
                <w:b/>
                <w:bCs/>
                <w:color w:val="FFFFFF"/>
                <w:sz w:val="20"/>
                <w:szCs w:val="20"/>
              </w:rPr>
              <w:t xml:space="preserve">A04 — Insecure Design</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Brute-force lockout: 5 failed logins trigger 15-minute account freeze via Redis</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LoginAttemptService.java:17–35</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MQTT payload validation: GPS bounding box (Cassino area), 300 s staleness limit</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MqttMessageHandler.java:89–97</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Login failure returns generic message — no email/username enumeration possible</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AuthController.java:136</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SSE connection cap at 50 prevents denial-of-service via connection flooding</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DataExportController.java:62–65</w:t>
            </w:r>
          </w:p>
        </w:tc>
      </w:tr>
    </w:tbl>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7B241C" w:val="clear"/>
            <w:tcMar>
              <w:top w:type="dxa" w:w="70"/>
              <w:left w:type="dxa" w:w="120"/>
              <w:bottom w:type="dxa" w:w="70"/>
              <w:right w:type="dxa" w:w="120"/>
            </w:tcMar>
          </w:tcPr>
          <w:p>
            <w:r>
              <w:rPr>
                <w:rFonts w:ascii="Arial" w:cs="Arial" w:eastAsia="Arial" w:hAnsi="Arial"/>
                <w:b/>
                <w:bCs/>
                <w:color w:val="FFFFFF"/>
                <w:sz w:val="20"/>
                <w:szCs w:val="20"/>
              </w:rPr>
              <w:t xml:space="preserve">A05 — Security Misconfiguration</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MQTT anonymous access disabled: allow_anonymous false, password_file, acl_file</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mosquitto/config/mosquitto.conf:8–12</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All infrastructure ports bound to 127.0.0.1 (PostgreSQL, InfluxDB, Redis, MQTT)</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docker-compose.yml (both backends)</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Content-Security-Policy: default-src 'self'; object-src 'none'; frame-ancestors 'none'; base-uri 'self'; form-action 'self'</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SecurityConfig.java:139–151</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Permissions-Policy: camera=(); microphone=(); geolocation=(self); payment=()</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SecurityConfig.java:161–163</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Cross-Origin-Resource-Policy: same-origin</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SecurityConfig.java:165</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X-Frame-Options: DENY, X-Content-Type-Options: nosniff, HSTS max-age=31536000</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SecurityConfig.java:133–138</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Hardcoded http:// URL in PWA replaced with relative URL via CASSITRACK_API_ORIGIN</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cassitrack-pwa/app.js</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CSP missing directives (object-src, base-uri) added after ZAP scan</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SecurityConfig.java:148–150</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SHA-384 SRI integrity hashes on CDN-hosted Leaflet 1.9.4 and Chart.js 4.4.4</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cassitrack-fleetmanager.html</w:t>
            </w:r>
          </w:p>
        </w:tc>
      </w:tr>
    </w:tbl>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117A65" w:val="clear"/>
            <w:tcMar>
              <w:top w:type="dxa" w:w="70"/>
              <w:left w:type="dxa" w:w="120"/>
              <w:bottom w:type="dxa" w:w="70"/>
              <w:right w:type="dxa" w:w="120"/>
            </w:tcMar>
          </w:tcPr>
          <w:p>
            <w:r>
              <w:rPr>
                <w:rFonts w:ascii="Arial" w:cs="Arial" w:eastAsia="Arial" w:hAnsi="Arial"/>
                <w:b/>
                <w:bCs/>
                <w:color w:val="FFFFFF"/>
                <w:sz w:val="20"/>
                <w:szCs w:val="20"/>
              </w:rPr>
              <w:t xml:space="preserve">A07 — Identification and Authentication Failures</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Brute-force lockout after 5 failures; counter stored in Redis per email address</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LoginAttemptService.java</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JWT blacklisted in Redis on logout with remaining TTL (token cannot be reused)</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TokenBlacklistService.java + AuthController.java:160–165</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Every request checks token validity AND blacklist before granting access</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JwtAuthenticationFilter.java:41</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JWT cookie deleted on logout: Max-Age=0; HttpOnly; Secure; SameSite=Strict</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AuthController.java:170–171</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Duplicate-unique-field checks on email, telephone, taxId during registration</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UserService.java:63–73</w:t>
            </w:r>
          </w:p>
        </w:tc>
      </w:tr>
    </w:tbl>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7D6608" w:val="clear"/>
            <w:tcMar>
              <w:top w:type="dxa" w:w="70"/>
              <w:left w:type="dxa" w:w="120"/>
              <w:bottom w:type="dxa" w:w="70"/>
              <w:right w:type="dxa" w:w="120"/>
            </w:tcMar>
          </w:tcPr>
          <w:p>
            <w:r>
              <w:rPr>
                <w:rFonts w:ascii="Arial" w:cs="Arial" w:eastAsia="Arial" w:hAnsi="Arial"/>
                <w:b/>
                <w:bCs/>
                <w:color w:val="FFFFFF"/>
                <w:sz w:val="20"/>
                <w:szCs w:val="20"/>
              </w:rPr>
              <w:t xml:space="preserve">A08 — Software and Data Integrity Failures</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SHA-384 integrity hash on Leaflet 1.9.4 CDN script — browser rejects tampered file</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cassitrack-fleetmanager.html</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SHA-384 integrity hash on Chart.js 4.4.4 CDN script — browser rejects tampered file</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cassitrack-fleetmanager.html</w:t>
            </w:r>
          </w:p>
        </w:tc>
      </w:tr>
    </w:tbl>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4838"/>
      </w:tblGrid>
      <w:tr>
        <w:tc>
          <w:tcPr>
            <w:tcW w:type="dxa" w:w="10080"/>
            <w:gridSpan w:val="2"/>
            <w:tcBorders>
              <w:top w:val="single" w:color="AAAAAA" w:sz="4"/>
              <w:left w:val="single" w:color="AAAAAA" w:sz="4"/>
              <w:bottom w:val="single" w:color="AAAAAA" w:sz="4"/>
              <w:right w:val="single" w:color="AAAAAA" w:sz="4"/>
            </w:tcBorders>
            <w:shd w:fill="4D5656" w:val="clear"/>
            <w:tcMar>
              <w:top w:type="dxa" w:w="70"/>
              <w:left w:type="dxa" w:w="120"/>
              <w:bottom w:type="dxa" w:w="70"/>
              <w:right w:type="dxa" w:w="120"/>
            </w:tcMar>
          </w:tcPr>
          <w:p>
            <w:r>
              <w:rPr>
                <w:rFonts w:ascii="Arial" w:cs="Arial" w:eastAsia="Arial" w:hAnsi="Arial"/>
                <w:b/>
                <w:bCs/>
                <w:color w:val="FFFFFF"/>
                <w:sz w:val="20"/>
                <w:szCs w:val="20"/>
              </w:rPr>
              <w:t xml:space="preserve">A09 — Security Logging and Monitoring Failures</w:t>
            </w:r>
          </w:p>
        </w:tc>
      </w:tr>
      <w:tr>
        <w:tc>
          <w:tcPr>
            <w:tcW w:type="dxa" w:w="524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Finding / Control Implemented</w:t>
            </w:r>
          </w:p>
        </w:tc>
        <w:tc>
          <w:tcPr>
            <w:tcW w:type="dxa" w:w="4838"/>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Evidence (file / config)</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LOGIN_SUCCESS logged with email + client IP (supports XFF header)</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SecurityAuditService.java + AuthController.java:111</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LOGIN_FAILURE logged with email + client IP after each bad credential attempt</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SecurityAuditService.java + AuthController.java:135</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ACCOUNT_LOCKED logged when brute-force threshold is reached</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SecurityAuditService.java + AuthController.java:98</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LOGOUT logged with email when token is blacklisted</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SecurityAuditService.java + AuthController.java:165</w:t>
            </w:r>
          </w:p>
        </w:tc>
      </w:tr>
      <w:tr>
        <w:tc>
          <w:tcPr>
            <w:tcW w:type="dxa" w:w="524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Invalid MQTT payloads logged as WARN with topic and raw payload content</w:t>
            </w:r>
          </w:p>
        </w:tc>
        <w:tc>
          <w:tcPr>
            <w:tcW w:type="dxa" w:w="4838"/>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595959"/>
                <w:sz w:val="17"/>
                <w:szCs w:val="17"/>
              </w:rPr>
              <w:t xml:space="preserve">MqttMessageHandler.java:57</w:t>
            </w:r>
          </w:p>
        </w:tc>
      </w:tr>
      <w:tr>
        <w:tc>
          <w:tcPr>
            <w:tcW w:type="dxa" w:w="524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User create/update/delete operations logged with email (admin audit trail)</w:t>
            </w:r>
          </w:p>
        </w:tc>
        <w:tc>
          <w:tcPr>
            <w:tcW w:type="dxa" w:w="4838"/>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595959"/>
                <w:sz w:val="17"/>
                <w:szCs w:val="17"/>
              </w:rPr>
              <w:t xml:space="preserve">UserService.java:89, 126, 200</w:t>
            </w:r>
          </w:p>
        </w:tc>
      </w:tr>
    </w:tbl>
    <w:p>
      <w:pPr>
        <w:spacing w:after="0" w:before="30"/>
      </w:pPr>
    </w:p>
    <w:p>
      <w:r>
        <w:br w:type="page"/>
      </w:r>
    </w:p>
    <w:p>
      <w:pPr>
        <w:pStyle w:val="Heading1"/>
        <w:spacing w:after="60" w:before="220"/>
      </w:pPr>
      <w:r>
        <w:rPr>
          <w:rFonts w:ascii="Arial" w:cs="Arial" w:eastAsia="Arial" w:hAnsi="Arial"/>
          <w:b/>
          <w:bCs/>
          <w:color w:val="1F3864"/>
          <w:sz w:val="30"/>
          <w:szCs w:val="30"/>
        </w:rPr>
        <w:t xml:space="preserve">4. Verification and Testing</w:t>
      </w:r>
    </w:p>
    <w:p>
      <w:pPr>
        <w:pBdr>
          <w:bottom w:val="single" w:color="2E75B6" w:sz="6" w:space="1"/>
        </w:pBdr>
        <w:spacing w:after="90" w:before="90"/>
      </w:pPr>
    </w:p>
    <w:p>
      <w:pPr>
        <w:pStyle w:val="Heading2"/>
        <w:spacing w:after="50" w:before="130"/>
      </w:pPr>
      <w:r>
        <w:rPr>
          <w:rFonts w:ascii="Arial" w:cs="Arial" w:eastAsia="Arial" w:hAnsi="Arial"/>
          <w:b/>
          <w:bCs/>
          <w:color w:val="2E75B6"/>
          <w:sz w:val="22"/>
          <w:szCs w:val="22"/>
        </w:rPr>
        <w:t xml:space="preserve">4.1 Automated Penetration Testing (threat_model.py)</w:t>
      </w:r>
    </w:p>
    <w:p>
      <w:pPr>
        <w:spacing w:after="40" w:before="40"/>
      </w:pPr>
      <w:r>
        <w:rPr>
          <w:rFonts w:ascii="Arial" w:cs="Arial" w:eastAsia="Arial" w:hAnsi="Arial"/>
          <w:sz w:val="19"/>
          <w:szCs w:val="19"/>
        </w:rPr>
        <w:t xml:space="preserve">A 1,830-line Python script executed 48 HTTP-level attacks covering all 8 OWASP categories present in the codebase plus extended tests for IDOR, CSRF, injection variants, rate limiting, dependency auditing, and SSRF probes. Tests that trigger the rate limiter treat a timeout as a pass — the timeout itself proves the throttle is active.</w:t>
      </w:r>
    </w:p>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375623" w:val="clear"/>
            <w:tcMar>
              <w:top w:type="dxa" w:w="80"/>
              <w:left w:type="dxa" w:w="90"/>
              <w:bottom w:type="dxa" w:w="80"/>
              <w:right w:type="dxa" w:w="90"/>
            </w:tcMar>
          </w:tcPr>
          <w:p>
            <w:pPr>
              <w:jc w:val="center"/>
            </w:pPr>
            <w:r>
              <w:rPr>
                <w:rFonts w:ascii="Arial" w:cs="Arial" w:eastAsia="Arial" w:hAnsi="Arial"/>
                <w:b/>
                <w:bCs/>
                <w:color w:val="FFFFFF"/>
                <w:sz w:val="48"/>
                <w:szCs w:val="48"/>
              </w:rPr>
              <w:t xml:space="preserve">44</w:t>
            </w:r>
          </w:p>
          <w:p>
            <w:pPr>
              <w:jc w:val="center"/>
            </w:pPr>
            <w:r>
              <w:rPr>
                <w:rFonts w:ascii="Arial" w:cs="Arial" w:eastAsia="Arial" w:hAnsi="Arial"/>
                <w:color w:val="FFFFFF"/>
                <w:sz w:val="19"/>
                <w:szCs w:val="19"/>
              </w:rPr>
              <w:t xml:space="preserve">PASS</w:t>
            </w:r>
          </w:p>
        </w:tc>
        <w:tc>
          <w:tcPr>
            <w:tcW w:type="dxa" w:w="3360"/>
            <w:tcBorders>
              <w:top w:val="single" w:color="AAAAAA" w:sz="4"/>
              <w:left w:val="single" w:color="AAAAAA" w:sz="4"/>
              <w:bottom w:val="single" w:color="AAAAAA" w:sz="4"/>
              <w:right w:val="single" w:color="AAAAAA" w:sz="4"/>
            </w:tcBorders>
            <w:shd w:fill="C00000" w:val="clear"/>
            <w:tcMar>
              <w:top w:type="dxa" w:w="80"/>
              <w:left w:type="dxa" w:w="90"/>
              <w:bottom w:type="dxa" w:w="80"/>
              <w:right w:type="dxa" w:w="90"/>
            </w:tcMar>
          </w:tcPr>
          <w:p>
            <w:pPr>
              <w:jc w:val="center"/>
            </w:pPr>
            <w:r>
              <w:rPr>
                <w:rFonts w:ascii="Arial" w:cs="Arial" w:eastAsia="Arial" w:hAnsi="Arial"/>
                <w:b/>
                <w:bCs/>
                <w:color w:val="FFFFFF"/>
                <w:sz w:val="48"/>
                <w:szCs w:val="48"/>
              </w:rPr>
              <w:t xml:space="preserve">0</w:t>
            </w:r>
          </w:p>
          <w:p>
            <w:pPr>
              <w:jc w:val="center"/>
            </w:pPr>
            <w:r>
              <w:rPr>
                <w:rFonts w:ascii="Arial" w:cs="Arial" w:eastAsia="Arial" w:hAnsi="Arial"/>
                <w:color w:val="FFFFFF"/>
                <w:sz w:val="19"/>
                <w:szCs w:val="19"/>
              </w:rPr>
              <w:t xml:space="preserve">FAIL</w:t>
            </w:r>
          </w:p>
        </w:tc>
        <w:tc>
          <w:tcPr>
            <w:tcW w:type="dxa" w:w="3360"/>
            <w:tcBorders>
              <w:top w:val="single" w:color="AAAAAA" w:sz="4"/>
              <w:left w:val="single" w:color="AAAAAA" w:sz="4"/>
              <w:bottom w:val="single" w:color="AAAAAA" w:sz="4"/>
              <w:right w:val="single" w:color="AAAAAA" w:sz="4"/>
            </w:tcBorders>
            <w:shd w:fill="595959" w:val="clear"/>
            <w:tcMar>
              <w:top w:type="dxa" w:w="80"/>
              <w:left w:type="dxa" w:w="90"/>
              <w:bottom w:type="dxa" w:w="80"/>
              <w:right w:type="dxa" w:w="90"/>
            </w:tcMar>
          </w:tcPr>
          <w:p>
            <w:pPr>
              <w:jc w:val="center"/>
            </w:pPr>
            <w:r>
              <w:rPr>
                <w:rFonts w:ascii="Arial" w:cs="Arial" w:eastAsia="Arial" w:hAnsi="Arial"/>
                <w:b/>
                <w:bCs/>
                <w:color w:val="FFFFFF"/>
                <w:sz w:val="48"/>
                <w:szCs w:val="48"/>
              </w:rPr>
              <w:t xml:space="preserve">4</w:t>
            </w:r>
          </w:p>
          <w:p>
            <w:pPr>
              <w:jc w:val="center"/>
            </w:pPr>
            <w:r>
              <w:rPr>
                <w:rFonts w:ascii="Arial" w:cs="Arial" w:eastAsia="Arial" w:hAnsi="Arial"/>
                <w:color w:val="FFFFFF"/>
                <w:sz w:val="19"/>
                <w:szCs w:val="19"/>
              </w:rPr>
              <w:t xml:space="preserve">SKIP (CLI tools absent)</w:t>
            </w:r>
          </w:p>
        </w:tc>
      </w:tr>
    </w:tbl>
    <w:p>
      <w:pPr>
        <w:spacing w:after="0" w:before="40"/>
      </w:pPr>
    </w:p>
    <w:p>
      <w:pPr>
        <w:spacing w:after="40" w:before="40"/>
      </w:pPr>
      <w:r>
        <w:rPr>
          <w:rFonts w:ascii="Arial" w:cs="Arial" w:eastAsia="Arial" w:hAnsi="Arial"/>
          <w:sz w:val="19"/>
          <w:szCs w:val="19"/>
        </w:rPr>
        <w:t xml:space="preserve">Representative results: forged JWT with old weak secret → HTTP 403; Swagger without token → HTTP 403; SQL and InfluxDB Flux injection → HTTP 400/403; CRLF header injection → rejected at transport level; brute-force lockout confirmed after 5 attempts; CORS wildcard origin rejected; error responses contained no stack traces; IDOR attempts on /users/{id} → HTTP 403.</w:t>
      </w:r>
    </w:p>
    <w:p>
      <w:pPr>
        <w:spacing w:after="0" w:before="50"/>
      </w:pPr>
    </w:p>
    <w:p>
      <w:pPr>
        <w:pStyle w:val="Heading2"/>
        <w:spacing w:after="50" w:before="130"/>
      </w:pPr>
      <w:r>
        <w:rPr>
          <w:rFonts w:ascii="Arial" w:cs="Arial" w:eastAsia="Arial" w:hAnsi="Arial"/>
          <w:b/>
          <w:bCs/>
          <w:color w:val="2E75B6"/>
          <w:sz w:val="22"/>
          <w:szCs w:val="22"/>
        </w:rPr>
        <w:t xml:space="preserve">4.2 OWASP ZAP Automated Scanning</w:t>
      </w:r>
    </w:p>
    <w:p>
      <w:pPr>
        <w:spacing w:after="40" w:before="40"/>
      </w:pPr>
      <w:r>
        <w:rPr>
          <w:rFonts w:ascii="Arial" w:cs="Arial" w:eastAsia="Arial" w:hAnsi="Arial"/>
          <w:sz w:val="19"/>
          <w:szCs w:val="19"/>
        </w:rPr>
        <w:t xml:space="preserve">ZAP baseline scan passively observed four application URLs and identified four HTTP header deficiencies (CSP missing directives, Permissions-Policy absent, CORP absent, SRI missing on CDN scripts) — all resolved before the API scan. The ZAP API scan used the authenticated OpenAPI specification against all 32 documented endpoints with active payloads including SQL injection, reflected and stored XSS, path traversal, CSRF, Spring4Shell, Log4Shell, remote code execution, server-side template injection, and XXE.</w:t>
      </w:r>
    </w:p>
    <w:p>
      <w:pPr>
        <w:spacing w:after="0"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016"/>
        <w:gridCol w:w="2520"/>
      </w:tblGrid>
      <w:tr>
        <w:tc>
          <w:tcPr>
            <w:tcW w:type="dxa" w:w="5544"/>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Scan Mode</w:t>
            </w:r>
          </w:p>
        </w:tc>
        <w:tc>
          <w:tcPr>
            <w:tcW w:type="dxa" w:w="2016"/>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Checks</w:t>
            </w:r>
          </w:p>
        </w:tc>
        <w:tc>
          <w:tcPr>
            <w:tcW w:type="dxa" w:w="2520"/>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c>
          <w:tcPr>
            <w:tcW w:type="dxa" w:w="554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Baseline (4 URLs)</w:t>
            </w:r>
          </w:p>
        </w:tc>
        <w:tc>
          <w:tcPr>
            <w:tcW w:type="dxa" w:w="2016"/>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66</w:t>
            </w:r>
          </w:p>
        </w:tc>
        <w:tc>
          <w:tcPr>
            <w:tcW w:type="dxa" w:w="2520"/>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4 fixed, 0 remaining</w:t>
            </w:r>
          </w:p>
        </w:tc>
      </w:tr>
      <w:tr>
        <w:tc>
          <w:tcPr>
            <w:tcW w:type="dxa" w:w="554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API scan via OpenAPI (32 endpoints)</w:t>
            </w:r>
          </w:p>
        </w:tc>
        <w:tc>
          <w:tcPr>
            <w:tcW w:type="dxa" w:w="2016"/>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119</w:t>
            </w:r>
          </w:p>
        </w:tc>
        <w:tc>
          <w:tcPr>
            <w:tcW w:type="dxa" w:w="252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119 PASS, 0 FAIL</w:t>
            </w:r>
          </w:p>
        </w:tc>
      </w:tr>
    </w:tbl>
    <w:p>
      <w:pPr>
        <w:spacing w:after="0" w:before="50"/>
      </w:pPr>
    </w:p>
    <w:p>
      <w:pPr>
        <w:pStyle w:val="Heading2"/>
        <w:spacing w:after="50" w:before="130"/>
      </w:pPr>
      <w:r>
        <w:rPr>
          <w:rFonts w:ascii="Arial" w:cs="Arial" w:eastAsia="Arial" w:hAnsi="Arial"/>
          <w:b/>
          <w:bCs/>
          <w:color w:val="2E75B6"/>
          <w:sz w:val="22"/>
          <w:szCs w:val="22"/>
        </w:rPr>
        <w:t xml:space="preserve">4.3 Infrastructure and Dependency Scanning</w:t>
      </w:r>
    </w:p>
    <w:p>
      <w:pPr>
        <w:spacing w:after="40" w:before="40"/>
      </w:pPr>
      <w:r>
        <w:rPr>
          <w:rFonts w:ascii="Arial" w:cs="Arial" w:eastAsia="Arial" w:hAnsi="Arial"/>
          <w:sz w:val="19"/>
          <w:szCs w:val="19"/>
        </w:rPr>
        <w:t xml:space="preserve">Nmap confirmed all four infrastructure ports (PostgreSQL 5432, InfluxDB 8086, Redis 6379, MQTT 1883) filtered from the local network after the 127.0.0.1 binding changes — no external connections accepted. Trivy scanned the cassitrack-api Docker image and found zero CRITICAL CVEs. Maven OSS Index confirmed zero critical known vulnerabilities in the dependency tree of both backends.</w:t>
      </w:r>
    </w:p>
    <w:p>
      <w:pPr>
        <w:spacing w:after="0" w:before="50"/>
      </w:pPr>
    </w:p>
    <w:p>
      <w:pPr>
        <w:pStyle w:val="Heading2"/>
        <w:spacing w:after="50" w:before="130"/>
      </w:pPr>
      <w:r>
        <w:rPr>
          <w:rFonts w:ascii="Arial" w:cs="Arial" w:eastAsia="Arial" w:hAnsi="Arial"/>
          <w:b/>
          <w:bCs/>
          <w:color w:val="2E75B6"/>
          <w:sz w:val="22"/>
          <w:szCs w:val="22"/>
        </w:rPr>
        <w:t xml:space="preserve">4.4 Claude AI as Attack Assistant</w:t>
      </w:r>
    </w:p>
    <w:p>
      <w:pPr>
        <w:spacing w:after="40" w:before="40"/>
      </w:pPr>
      <w:r>
        <w:rPr>
          <w:rFonts w:ascii="Arial" w:cs="Arial" w:eastAsia="Arial" w:hAnsi="Arial"/>
          <w:sz w:val="19"/>
          <w:szCs w:val="19"/>
        </w:rPr>
        <w:t xml:space="preserve">Claude (Anthropic) was used as an attack assistant to generate payloads, identify attack vectors, and design exploitation scenarios — serving the role typically filled by manual threat-intelligence research. Claude designed the complete payload set for the pen test script (SSRF probe URLs, JWT algorithm-confusion tokens, InfluxDB Flux injection strings, CRLF sequences, brute-force credential lists), produced the STRIDE classification for all categories, and proposed remediation code subsequently verified against the codebase.</w:t>
      </w:r>
    </w:p>
    <w:p>
      <w:r>
        <w:br w:type="page"/>
      </w:r>
    </w:p>
    <w:p>
      <w:pPr>
        <w:pStyle w:val="Heading1"/>
        <w:spacing w:after="60" w:before="220"/>
      </w:pPr>
      <w:r>
        <w:rPr>
          <w:rFonts w:ascii="Arial" w:cs="Arial" w:eastAsia="Arial" w:hAnsi="Arial"/>
          <w:b/>
          <w:bCs/>
          <w:color w:val="1F3864"/>
          <w:sz w:val="30"/>
          <w:szCs w:val="30"/>
        </w:rPr>
        <w:t xml:space="preserve">5. Conclusions</w:t>
      </w:r>
    </w:p>
    <w:p>
      <w:pPr>
        <w:pBdr>
          <w:bottom w:val="single" w:color="2E75B6" w:sz="6" w:space="1"/>
        </w:pBdr>
        <w:spacing w:after="90" w:before="90"/>
      </w:pPr>
    </w:p>
    <w:p>
      <w:pPr>
        <w:pStyle w:val="Heading2"/>
        <w:spacing w:after="50" w:before="130"/>
      </w:pPr>
      <w:r>
        <w:rPr>
          <w:rFonts w:ascii="Arial" w:cs="Arial" w:eastAsia="Arial" w:hAnsi="Arial"/>
          <w:b/>
          <w:bCs/>
          <w:color w:val="2E75B6"/>
          <w:sz w:val="22"/>
          <w:szCs w:val="22"/>
        </w:rPr>
        <w:t xml:space="preserve">5.1 Summary</w:t>
      </w:r>
    </w:p>
    <w:p>
      <w:pPr>
        <w:spacing w:after="40" w:before="40"/>
      </w:pPr>
      <w:r>
        <w:rPr>
          <w:rFonts w:ascii="Arial" w:cs="Arial" w:eastAsia="Arial" w:hAnsi="Arial"/>
          <w:sz w:val="19"/>
          <w:szCs w:val="19"/>
        </w:rPr>
        <w:t xml:space="preserve">The assessment identified vulnerabilities across six OWASP Top 10 (2021) categories. All were remediated through targeted code and configuration changes verifiable directly in the source files. The final automated verification cycle returned zero failures across 44 penetration tests, 119 ZAP API checks, and all infrastructure scans. Eight OWASP categories (A01–A05, A07–A09) have at least one security control implemented and evidenced in the code. A06 (Vulnerable and Outdated Components) was verified clean via Trivy and Maven OSS Index. A10 (SSRF) is not applicable — the weather API URL is fully server-configured and no user-supplied URL reaches the HTTP client.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1714"/>
        <w:gridCol w:w="1714"/>
        <w:gridCol w:w="2822"/>
      </w:tblGrid>
      <w:tr>
        <w:tc>
          <w:tcPr>
            <w:tcW w:type="dxa" w:w="3830"/>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Test Suite</w:t>
            </w:r>
          </w:p>
        </w:tc>
        <w:tc>
          <w:tcPr>
            <w:tcW w:type="dxa" w:w="1714"/>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Total</w:t>
            </w:r>
          </w:p>
        </w:tc>
        <w:tc>
          <w:tcPr>
            <w:tcW w:type="dxa" w:w="1714"/>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Passed</w:t>
            </w:r>
          </w:p>
        </w:tc>
        <w:tc>
          <w:tcPr>
            <w:tcW w:type="dxa" w:w="2822"/>
            <w:tcBorders>
              <w:top w:val="single" w:color="AAAAAA" w:sz="4"/>
              <w:left w:val="single" w:color="AAAAAA" w:sz="4"/>
              <w:bottom w:val="single" w:color="AAAAAA" w:sz="4"/>
              <w:right w:val="single" w:color="AAAAAA" w:sz="4"/>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Notes</w:t>
            </w:r>
          </w:p>
        </w:tc>
      </w:tr>
      <w:tr>
        <w:tc>
          <w:tcPr>
            <w:tcW w:type="dxa" w:w="383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Automated pen tests</w:t>
            </w:r>
          </w:p>
        </w:tc>
        <w:tc>
          <w:tcPr>
            <w:tcW w:type="dxa" w:w="1714"/>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48</w:t>
            </w:r>
          </w:p>
        </w:tc>
        <w:tc>
          <w:tcPr>
            <w:tcW w:type="dxa" w:w="1714"/>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44</w:t>
            </w:r>
          </w:p>
        </w:tc>
        <w:tc>
          <w:tcPr>
            <w:tcW w:type="dxa" w:w="282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4 skipped: CLI tools absent from PATH</w:t>
            </w:r>
          </w:p>
        </w:tc>
      </w:tr>
      <w:tr>
        <w:tc>
          <w:tcPr>
            <w:tcW w:type="dxa" w:w="383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ZAP baseline scan</w:t>
            </w:r>
          </w:p>
        </w:tc>
        <w:tc>
          <w:tcPr>
            <w:tcW w:type="dxa" w:w="171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66</w:t>
            </w:r>
          </w:p>
        </w:tc>
        <w:tc>
          <w:tcPr>
            <w:tcW w:type="dxa" w:w="171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62 → 66</w:t>
            </w:r>
          </w:p>
        </w:tc>
        <w:tc>
          <w:tcPr>
            <w:tcW w:type="dxa" w:w="282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4 findings fixed, 0 remaining</w:t>
            </w:r>
          </w:p>
        </w:tc>
      </w:tr>
      <w:tr>
        <w:tc>
          <w:tcPr>
            <w:tcW w:type="dxa" w:w="383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ZAP API scan (32 endpoints)</w:t>
            </w:r>
          </w:p>
        </w:tc>
        <w:tc>
          <w:tcPr>
            <w:tcW w:type="dxa" w:w="1714"/>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119</w:t>
            </w:r>
          </w:p>
        </w:tc>
        <w:tc>
          <w:tcPr>
            <w:tcW w:type="dxa" w:w="1714"/>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119</w:t>
            </w:r>
          </w:p>
        </w:tc>
        <w:tc>
          <w:tcPr>
            <w:tcW w:type="dxa" w:w="282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0 FAIL</w:t>
            </w:r>
          </w:p>
        </w:tc>
      </w:tr>
      <w:tr>
        <w:tc>
          <w:tcPr>
            <w:tcW w:type="dxa" w:w="383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Nmap port scan</w:t>
            </w:r>
          </w:p>
        </w:tc>
        <w:tc>
          <w:tcPr>
            <w:tcW w:type="dxa" w:w="171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4 ports</w:t>
            </w:r>
          </w:p>
        </w:tc>
        <w:tc>
          <w:tcPr>
            <w:tcW w:type="dxa" w:w="171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All filtered</w:t>
            </w:r>
          </w:p>
        </w:tc>
        <w:tc>
          <w:tcPr>
            <w:tcW w:type="dxa" w:w="282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No external exposure</w:t>
            </w:r>
          </w:p>
        </w:tc>
      </w:tr>
      <w:tr>
        <w:tc>
          <w:tcPr>
            <w:tcW w:type="dxa" w:w="383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Trivy image scan</w:t>
            </w:r>
          </w:p>
        </w:tc>
        <w:tc>
          <w:tcPr>
            <w:tcW w:type="dxa" w:w="1714"/>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All CVEs</w:t>
            </w:r>
          </w:p>
        </w:tc>
        <w:tc>
          <w:tcPr>
            <w:tcW w:type="dxa" w:w="1714"/>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0 CRITICAL</w:t>
            </w:r>
          </w:p>
        </w:tc>
        <w:tc>
          <w:tcPr>
            <w:tcW w:type="dxa" w:w="2822"/>
            <w:tcBorders>
              <w:top w:val="single" w:color="AAAAAA" w:sz="4"/>
              <w:left w:val="single" w:color="AAAAAA" w:sz="4"/>
              <w:bottom w:val="single" w:color="AAAAAA" w:sz="4"/>
              <w:right w:val="single" w:color="AAAAAA" w:sz="4"/>
            </w:tcBorders>
            <w:shd w:fill="EBF3FB" w:val="clear"/>
            <w:tcMar>
              <w:top w:type="dxa" w:w="50"/>
              <w:left w:type="dxa" w:w="90"/>
              <w:bottom w:type="dxa" w:w="50"/>
              <w:right w:type="dxa" w:w="90"/>
            </w:tcMar>
          </w:tcPr>
          <w:p>
            <w:r>
              <w:rPr>
                <w:rFonts w:ascii="Arial" w:cs="Arial" w:eastAsia="Arial" w:hAnsi="Arial"/>
                <w:b w:val="false"/>
                <w:bCs w:val="false"/>
                <w:color w:val="000000"/>
                <w:sz w:val="17"/>
                <w:szCs w:val="17"/>
              </w:rPr>
              <w:t xml:space="preserve">cassitrack-api Docker image</w:t>
            </w:r>
          </w:p>
        </w:tc>
      </w:tr>
      <w:tr>
        <w:tc>
          <w:tcPr>
            <w:tcW w:type="dxa" w:w="3830"/>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Maven OSS Index</w:t>
            </w:r>
          </w:p>
        </w:tc>
        <w:tc>
          <w:tcPr>
            <w:tcW w:type="dxa" w:w="171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All deps</w:t>
            </w:r>
          </w:p>
        </w:tc>
        <w:tc>
          <w:tcPr>
            <w:tcW w:type="dxa" w:w="1714"/>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0 CRITICAL</w:t>
            </w:r>
          </w:p>
        </w:tc>
        <w:tc>
          <w:tcPr>
            <w:tcW w:type="dxa" w:w="2822"/>
            <w:tcBorders>
              <w:top w:val="single" w:color="AAAAAA" w:sz="4"/>
              <w:left w:val="single" w:color="AAAAAA" w:sz="4"/>
              <w:bottom w:val="single" w:color="AAAAAA" w:sz="4"/>
              <w:right w:val="single" w:color="AAAAAA" w:sz="4"/>
            </w:tcBorders>
            <w:shd w:fill="FFFFFF" w:val="clear"/>
            <w:tcMar>
              <w:top w:type="dxa" w:w="50"/>
              <w:left w:type="dxa" w:w="90"/>
              <w:bottom w:type="dxa" w:w="50"/>
              <w:right w:type="dxa" w:w="90"/>
            </w:tcMar>
          </w:tcPr>
          <w:p>
            <w:r>
              <w:rPr>
                <w:rFonts w:ascii="Arial" w:cs="Arial" w:eastAsia="Arial" w:hAnsi="Arial"/>
                <w:b w:val="false"/>
                <w:bCs w:val="false"/>
                <w:color w:val="000000"/>
                <w:sz w:val="17"/>
                <w:szCs w:val="17"/>
              </w:rPr>
              <w:t xml:space="preserve">Both backend pom.xml files</w:t>
            </w:r>
          </w:p>
        </w:tc>
      </w:tr>
    </w:tbl>
    <w:p>
      <w:pPr>
        <w:spacing w:after="0" w:before="50"/>
      </w:pPr>
    </w:p>
    <w:p>
      <w:pPr>
        <w:pStyle w:val="Heading2"/>
        <w:spacing w:after="50" w:before="130"/>
      </w:pPr>
      <w:r>
        <w:rPr>
          <w:rFonts w:ascii="Arial" w:cs="Arial" w:eastAsia="Arial" w:hAnsi="Arial"/>
          <w:b/>
          <w:bCs/>
          <w:color w:val="2E75B6"/>
          <w:sz w:val="22"/>
          <w:szCs w:val="22"/>
        </w:rPr>
        <w:t xml:space="preserve">5.2 Recommendations</w:t>
      </w:r>
    </w:p>
    <w:p>
      <w:pPr>
        <w:pStyle w:val="ListParagraph"/>
        <w:numPr>
          <w:ilvl w:val="0"/>
          <w:numId w:val="2"/>
        </w:numPr>
        <w:spacing w:after="26" w:before="26"/>
      </w:pPr>
      <w:r>
        <w:rPr>
          <w:rFonts w:ascii="Arial" w:cs="Arial" w:eastAsia="Arial" w:hAnsi="Arial"/>
          <w:sz w:val="19"/>
          <w:szCs w:val="19"/>
        </w:rPr>
        <w:t xml:space="preserve">TLS / HTTPS — All traffic currently runs over HTTP. A reverse proxy (Caddy or nginx) with a valid TLS certificate must be added before any shared-network deployment. Without TLS, the HttpOnly + SameSite=Strict cookie flags and HSTS header are ineffective.</w:t>
      </w:r>
    </w:p>
    <w:p>
      <w:pPr>
        <w:pStyle w:val="ListParagraph"/>
        <w:numPr>
          <w:ilvl w:val="0"/>
          <w:numId w:val="2"/>
        </w:numPr>
        <w:spacing w:after="26" w:before="26"/>
      </w:pPr>
      <w:r>
        <w:rPr>
          <w:rFonts w:ascii="Arial" w:cs="Arial" w:eastAsia="Arial" w:hAnsi="Arial"/>
          <w:sz w:val="19"/>
          <w:szCs w:val="19"/>
        </w:rPr>
        <w:t xml:space="preserve">Git History Scrub — Removed secrets remain in repository history. Run git filter-repo to expunge historical commits containing credentials before making the repository public.</w:t>
      </w:r>
    </w:p>
    <w:p>
      <w:pPr>
        <w:pStyle w:val="ListParagraph"/>
        <w:numPr>
          <w:ilvl w:val="0"/>
          <w:numId w:val="2"/>
        </w:numPr>
        <w:spacing w:after="26" w:before="26"/>
      </w:pPr>
      <w:r>
        <w:rPr>
          <w:rFonts w:ascii="Arial" w:cs="Arial" w:eastAsia="Arial" w:hAnsi="Arial"/>
          <w:sz w:val="19"/>
          <w:szCs w:val="19"/>
        </w:rPr>
        <w:t xml:space="preserve">MQTT Credential Rotation — Replace current Mosquitto test passwords with strong random values stored exclusively in the gitignored .env file. Never reuse development credentials in production.</w:t>
      </w:r>
    </w:p>
    <w:p>
      <w:pPr>
        <w:pStyle w:val="ListParagraph"/>
        <w:numPr>
          <w:ilvl w:val="0"/>
          <w:numId w:val="2"/>
        </w:numPr>
        <w:spacing w:after="26" w:before="26"/>
      </w:pPr>
      <w:r>
        <w:rPr>
          <w:rFonts w:ascii="Arial" w:cs="Arial" w:eastAsia="Arial" w:hAnsi="Arial"/>
          <w:sz w:val="19"/>
          <w:szCs w:val="19"/>
        </w:rPr>
        <w:t xml:space="preserve">Spring Actuator Audit — Verify /actuator endpoints are disabled or restricted to ADMIN role. Actuator can expose environment variables and health data useful for attacker reconnaissance.</w:t>
      </w:r>
    </w:p>
    <w:p>
      <w:pPr>
        <w:pStyle w:val="ListParagraph"/>
        <w:numPr>
          <w:ilvl w:val="0"/>
          <w:numId w:val="2"/>
        </w:numPr>
        <w:spacing w:after="26" w:before="26"/>
      </w:pPr>
      <w:r>
        <w:rPr>
          <w:rFonts w:ascii="Arial" w:cs="Arial" w:eastAsia="Arial" w:hAnsi="Arial"/>
          <w:sz w:val="19"/>
          <w:szCs w:val="19"/>
        </w:rPr>
        <w:t xml:space="preserve">Continuous Dependency Monitoring — Enable GitHub Dependabot or OWASP Dependency-Check in CI to receive notifications for newly disclosed CVEs in the Maven dependency tree.</w:t>
      </w:r>
    </w:p>
    <w:p>
      <w:pPr>
        <w:spacing w:after="0" w:before="60"/>
      </w:pPr>
    </w:p>
    <w:p>
      <w:pPr>
        <w:pBdr>
          <w:bottom w:val="single" w:color="2E75B6" w:sz="6" w:space="1"/>
        </w:pBdr>
        <w:spacing w:after="90" w:before="90"/>
      </w:pPr>
    </w:p>
    <w:p>
      <w:pPr>
        <w:spacing w:after="40" w:before="80"/>
        <w:jc w:val="center"/>
      </w:pPr>
      <w:r>
        <w:rPr>
          <w:rFonts w:ascii="Arial" w:cs="Arial" w:eastAsia="Arial" w:hAnsi="Arial"/>
          <w:i/>
          <w:iCs/>
          <w:color w:val="595959"/>
          <w:sz w:val="15"/>
          <w:szCs w:val="15"/>
        </w:rPr>
        <w:t xml:space="preserve">Report prepared using Claude (Anthropic)  ·  University of Cassino  ·  DPN 2025/26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5"/>
        <w:szCs w:val="15"/>
      </w:rPr>
      <w:t xml:space="preserve">CassiTrack &amp; OmniMove — OWASP Security Assessment  |  University of Cassino, DPN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50" w:before="13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2026-06-25T17:50:29.492Z</dcterms:created>
  <dcterms:modified xsi:type="dcterms:W3CDTF">2026-06-25T17:50:29.610Z</dcterms:modified>
</cp:coreProperties>
</file>

<file path=docProps/custom.xml><?xml version="1.0" encoding="utf-8"?>
<Properties xmlns="http://schemas.openxmlformats.org/officeDocument/2006/custom-properties" xmlns:vt="http://schemas.openxmlformats.org/officeDocument/2006/docPropsVTypes"/>
</file>