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pPr>
      <w:r>
        <w:rPr>
          <w:rFonts w:ascii="Arial" w:cs="Arial" w:eastAsia="Arial" w:hAnsi="Arial"/>
          <w:b/>
          <w:bCs/>
          <w:sz w:val="52"/>
          <w:szCs w:val="52"/>
        </w:rPr>
        <w:t xml:space="preserve">Infrastructure Under Pressure</w:t>
      </w:r>
    </w:p>
    <w:p>
      <w:pPr>
        <w:spacing w:after="160"/>
      </w:pPr>
      <w:r>
        <w:rPr>
          <w:rFonts w:ascii="Arial" w:cs="Arial" w:eastAsia="Arial" w:hAnsi="Arial"/>
          <w:color w:val="000080"/>
          <w:sz w:val="36"/>
          <w:szCs w:val="36"/>
        </w:rPr>
        <w:t xml:space="preserve">UI Design Document</w:t>
      </w:r>
    </w:p>
    <w:p>
      <w:pPr>
        <w:spacing w:after="80"/>
      </w:pPr>
      <w:r>
        <w:rPr>
          <w:rFonts w:ascii="Arial" w:cs="Arial" w:eastAsia="Arial" w:hAnsi="Arial"/>
          <w:i/>
          <w:iCs/>
          <w:color w:val="555555"/>
          <w:sz w:val="22"/>
          <w:szCs w:val="22"/>
        </w:rPr>
        <w:t xml:space="preserve">Naomi Munroe — MSc Human-Centred AI for Games Development</w:t>
      </w:r>
    </w:p>
    <w:p>
      <w:pPr>
        <w:spacing w:after="240"/>
      </w:pPr>
      <w:r>
        <w:rPr>
          <w:rFonts w:ascii="Arial" w:cs="Arial" w:eastAsia="Arial" w:hAnsi="Arial"/>
          <w:color w:val="555555"/>
          <w:sz w:val="22"/>
          <w:szCs w:val="22"/>
        </w:rPr>
        <w:t xml:space="preserve">Version 1.1 — June 2026</w:t>
      </w:r>
    </w:p>
    <w:p>
      <w:pPr>
        <w:spacing w:after="480"/>
      </w:pPr>
      <w:r>
        <w:rPr>
          <w:rFonts w:ascii="Arial" w:cs="Arial" w:eastAsia="Arial" w:hAnsi="Arial"/>
          <w:i/>
          <w:iCs/>
          <w:color w:val="000080"/>
          <w:sz w:val="20"/>
          <w:szCs w:val="20"/>
        </w:rPr>
        <w:t xml:space="preserve">Visual reference: see companion file IUP_UI_Visual_Reference.html</w:t>
      </w:r>
    </w:p>
    <w:p>
      <w:pPr>
        <w:pBdr>
          <w:bottom w:val="single" w:color="CCCCCC" w:sz="2" w:space="1"/>
        </w:pBdr>
        <w:spacing w:after="200"/>
      </w:pPr>
      <w:r>
        <w:t xml:space="preserve"/>
      </w:r>
    </w:p>
    <w:p>
      <w:pPr>
        <w:pStyle w:val="Heading1"/>
        <w:pBdr>
          <w:bottom w:val="single" w:color="000080" w:sz="6" w:space="1"/>
        </w:pBdr>
        <w:spacing w:after="180" w:before="360"/>
      </w:pPr>
      <w:r>
        <w:rPr>
          <w:rFonts w:ascii="Arial" w:cs="Arial" w:eastAsia="Arial" w:hAnsi="Arial"/>
          <w:b/>
          <w:bCs/>
          <w:sz w:val="32"/>
          <w:szCs w:val="32"/>
        </w:rPr>
        <w:t xml:space="preserve">1. Purpose and Scope</w:t>
      </w:r>
    </w:p>
    <w:p>
      <w:pPr>
        <w:spacing w:after="120"/>
      </w:pPr>
      <w:r>
        <w:rPr>
          <w:rFonts w:ascii="Arial" w:cs="Arial" w:eastAsia="Arial" w:hAnsi="Arial"/>
          <w:sz w:val="22"/>
          <w:szCs w:val="22"/>
        </w:rPr>
        <w:t xml:space="preserve">This document specifies the UI design for Infrastructure Under Pressure. It covers screen layouts, panel behaviour, the two AI interaction conditions, metric status report popups, telemetry-relevant UI events, and the end-of-session summary screen.</w:t>
      </w:r>
    </w:p>
    <w:p>
      <w:pPr>
        <w:spacing w:after="120"/>
      </w:pPr>
      <w:r>
        <w:rPr>
          <w:rFonts w:ascii="Arial" w:cs="Arial" w:eastAsia="Arial" w:hAnsi="Arial"/>
          <w:sz w:val="22"/>
          <w:szCs w:val="22"/>
        </w:rPr>
        <w:t xml:space="preserve">The UI serves dual purposes: it is the player-facing interface for the simulation and the primary delivery mechanism for the experimental manipulation (calm vs pushy AI). Decisions about layout, colour, and behaviour are therefore research decisions as well as design decisions.</w:t>
      </w:r>
    </w:p>
    <w:p>
      <w:pPr>
        <w:spacing w:after="120"/>
      </w:pPr>
      <w:r>
        <w:rPr>
          <w:rFonts w:ascii="Arial" w:cs="Arial" w:eastAsia="Arial" w:hAnsi="Arial"/>
          <w:sz w:val="22"/>
          <w:szCs w:val="22"/>
        </w:rPr>
        <w:t xml:space="preserve">A companion HTML file (IUP_UI_Visual_Reference.html) contains rendered mockups of all screens and popup states referenced in this document. Figure numbers in this document correspond to figures in that file.</w:t>
      </w:r>
    </w:p>
    <w:p>
      <w:pPr>
        <w:spacing w:after="160"/>
      </w:pPr>
      <w:r>
        <w:t xml:space="preserve"/>
      </w:r>
    </w:p>
    <w:p>
      <w:pPr>
        <w:pStyle w:val="Heading1"/>
        <w:pBdr>
          <w:bottom w:val="single" w:color="000080" w:sz="6" w:space="1"/>
        </w:pBdr>
        <w:spacing w:after="180" w:before="360"/>
      </w:pPr>
      <w:r>
        <w:rPr>
          <w:rFonts w:ascii="Arial" w:cs="Arial" w:eastAsia="Arial" w:hAnsi="Arial"/>
          <w:b/>
          <w:bCs/>
          <w:sz w:val="32"/>
          <w:szCs w:val="32"/>
        </w:rPr>
        <w:t xml:space="preserve">2. Design Principles</w:t>
      </w:r>
    </w:p>
    <w:p>
      <w:pPr>
        <w:pStyle w:val="Heading2"/>
        <w:spacing w:after="120" w:before="240"/>
      </w:pPr>
      <w:r>
        <w:rPr>
          <w:rFonts w:ascii="Arial" w:cs="Arial" w:eastAsia="Arial" w:hAnsi="Arial"/>
          <w:b/>
          <w:bCs/>
          <w:sz w:val="26"/>
          <w:szCs w:val="26"/>
        </w:rPr>
        <w:t xml:space="preserve">2.1 Aesthetic — Windows 98 infrastructure terminal</w:t>
      </w:r>
    </w:p>
    <w:p>
      <w:pPr>
        <w:spacing w:after="120"/>
      </w:pPr>
      <w:r>
        <w:rPr>
          <w:rFonts w:ascii="Arial" w:cs="Arial" w:eastAsia="Arial" w:hAnsi="Arial"/>
          <w:sz w:val="22"/>
          <w:szCs w:val="22"/>
        </w:rPr>
        <w:t xml:space="preserve">All screens use the Win98 aesthetic via the Unity Asset Store package, applied consistently to both AI conditions. The aesthetic is not decorative; it serves three functions:</w:t>
      </w:r>
    </w:p>
    <w:p>
      <w:pPr>
        <w:pStyle w:val="ListParagraph"/>
        <w:numPr>
          <w:ilvl w:val="0"/>
          <w:numId w:val="2"/>
        </w:numPr>
        <w:spacing w:after="80"/>
      </w:pPr>
      <w:r>
        <w:rPr>
          <w:rFonts w:ascii="Arial" w:cs="Arial" w:eastAsia="Arial" w:hAnsi="Arial"/>
          <w:sz w:val="22"/>
          <w:szCs w:val="22"/>
        </w:rPr>
        <w:t xml:space="preserve">Explains the lag mechanic — ageing infrastructure plausibly fails and delays</w:t>
      </w:r>
    </w:p>
    <w:p>
      <w:pPr>
        <w:pStyle w:val="ListParagraph"/>
        <w:numPr>
          <w:ilvl w:val="0"/>
          <w:numId w:val="2"/>
        </w:numPr>
        <w:spacing w:after="80"/>
      </w:pPr>
      <w:r>
        <w:rPr>
          <w:rFonts w:ascii="Arial" w:cs="Arial" w:eastAsia="Arial" w:hAnsi="Arial"/>
          <w:sz w:val="22"/>
          <w:szCs w:val="22"/>
        </w:rPr>
        <w:t xml:space="preserve">Removes game-like polish that would undercut the operational feel</w:t>
      </w:r>
    </w:p>
    <w:p>
      <w:pPr>
        <w:pStyle w:val="ListParagraph"/>
        <w:numPr>
          <w:ilvl w:val="0"/>
          <w:numId w:val="2"/>
        </w:numPr>
        <w:spacing w:after="80"/>
      </w:pPr>
      <w:r>
        <w:rPr>
          <w:rFonts w:ascii="Arial" w:cs="Arial" w:eastAsia="Arial" w:hAnsi="Arial"/>
          <w:sz w:val="22"/>
          <w:szCs w:val="22"/>
        </w:rPr>
        <w:t xml:space="preserve">Keeps art asset requirements minimal, focusing scope on systems</w:t>
      </w:r>
    </w:p>
    <w:p>
      <w:pPr>
        <w:spacing w:after="160"/>
      </w:pPr>
      <w:r>
        <w:t xml:space="preserve"/>
      </w:r>
    </w:p>
    <w:p>
      <w:pPr>
        <w:spacing w:after="120"/>
      </w:pPr>
      <w:r>
        <w:rPr>
          <w:rFonts w:ascii="Arial" w:cs="Arial" w:eastAsia="Arial" w:hAnsi="Arial"/>
          <w:sz w:val="22"/>
          <w:szCs w:val="22"/>
        </w:rPr>
        <w:t xml:space="preserve">The AI panel uses the same Win98 chrome as the rest of the interface. The distinction between calm and pushy is entirely behavioural — language, timing, confidence display, and interruption frequency — not a visual redesign. Both conditions feel like the same system.</w:t>
      </w:r>
    </w:p>
    <w:p>
      <w:pPr>
        <w:spacing w:after="120"/>
        <w:ind w:left="360"/>
      </w:pPr>
      <w:r>
        <w:rPr>
          <w:rFonts w:ascii="Arial" w:cs="Arial" w:eastAsia="Arial" w:hAnsi="Arial"/>
          <w:i/>
          <w:iCs/>
          <w:color w:val="555555"/>
          <w:sz w:val="20"/>
          <w:szCs w:val="20"/>
        </w:rPr>
        <w:t xml:space="preserve">Note: Do not introduce a futuristic skin for the AI panel. The point is that the AI is bolted onto ageing infrastructure, not visually separate from it.</w:t>
      </w:r>
    </w:p>
    <w:p>
      <w:pPr>
        <w:spacing w:after="160"/>
      </w:pPr>
      <w:r>
        <w:t xml:space="preserve"/>
      </w:r>
    </w:p>
    <w:p>
      <w:pPr>
        <w:pStyle w:val="Heading2"/>
        <w:spacing w:after="120" w:before="240"/>
      </w:pPr>
      <w:r>
        <w:rPr>
          <w:rFonts w:ascii="Arial" w:cs="Arial" w:eastAsia="Arial" w:hAnsi="Arial"/>
          <w:b/>
          <w:bCs/>
          <w:sz w:val="26"/>
          <w:szCs w:val="26"/>
        </w:rPr>
        <w:t xml:space="preserve">2.2 Layout rules</w:t>
      </w:r>
    </w:p>
    <w:p>
      <w:pPr>
        <w:pStyle w:val="ListParagraph"/>
        <w:numPr>
          <w:ilvl w:val="0"/>
          <w:numId w:val="2"/>
        </w:numPr>
        <w:spacing w:after="80"/>
      </w:pPr>
      <w:r>
        <w:rPr>
          <w:rFonts w:ascii="Arial" w:cs="Arial" w:eastAsia="Arial" w:hAnsi="Arial"/>
          <w:sz w:val="22"/>
          <w:szCs w:val="22"/>
        </w:rPr>
        <w:t xml:space="preserve">Single screen — no navigation between views during a turn</w:t>
      </w:r>
    </w:p>
    <w:p>
      <w:pPr>
        <w:pStyle w:val="ListParagraph"/>
        <w:numPr>
          <w:ilvl w:val="0"/>
          <w:numId w:val="2"/>
        </w:numPr>
        <w:spacing w:after="80"/>
      </w:pPr>
      <w:r>
        <w:rPr>
          <w:rFonts w:ascii="Arial" w:cs="Arial" w:eastAsia="Arial" w:hAnsi="Arial"/>
          <w:sz w:val="22"/>
          <w:szCs w:val="22"/>
        </w:rPr>
        <w:t xml:space="preserve">All four panels visible simultaneously at all times</w:t>
      </w:r>
    </w:p>
    <w:p>
      <w:pPr>
        <w:pStyle w:val="ListParagraph"/>
        <w:numPr>
          <w:ilvl w:val="0"/>
          <w:numId w:val="2"/>
        </w:numPr>
        <w:spacing w:after="80"/>
      </w:pPr>
      <w:r>
        <w:rPr>
          <w:rFonts w:ascii="Arial" w:cs="Arial" w:eastAsia="Arial" w:hAnsi="Arial"/>
          <w:sz w:val="22"/>
          <w:szCs w:val="22"/>
        </w:rPr>
        <w:t xml:space="preserve">No modal dialogs that block the full screen (except the pushy AI popup — see Section 4.2)</w:t>
      </w:r>
    </w:p>
    <w:p>
      <w:pPr>
        <w:pStyle w:val="ListParagraph"/>
        <w:numPr>
          <w:ilvl w:val="0"/>
          <w:numId w:val="2"/>
        </w:numPr>
        <w:spacing w:after="80"/>
      </w:pPr>
      <w:r>
        <w:rPr>
          <w:rFonts w:ascii="Arial" w:cs="Arial" w:eastAsia="Arial" w:hAnsi="Arial"/>
          <w:sz w:val="22"/>
          <w:szCs w:val="22"/>
        </w:rPr>
        <w:t xml:space="preserve">Variable bars update visibly after each action, not silently</w:t>
      </w:r>
    </w:p>
    <w:p>
      <w:pPr>
        <w:pStyle w:val="ListParagraph"/>
        <w:numPr>
          <w:ilvl w:val="0"/>
          <w:numId w:val="2"/>
        </w:numPr>
        <w:spacing w:after="80"/>
      </w:pPr>
      <w:r>
        <w:rPr>
          <w:rFonts w:ascii="Arial" w:cs="Arial" w:eastAsia="Arial" w:hAnsi="Arial"/>
          <w:sz w:val="22"/>
          <w:szCs w:val="22"/>
        </w:rPr>
        <w:t xml:space="preserve">Events load with a short artificial delay (0.5–1s) to simulate system receive time</w:t>
      </w:r>
    </w:p>
    <w:p>
      <w:pPr>
        <w:spacing w:after="160"/>
      </w:pPr>
      <w:r>
        <w:t xml:space="preserve"/>
      </w:r>
    </w:p>
    <w:p>
      <w:pPr>
        <w:pStyle w:val="Heading2"/>
        <w:spacing w:after="120" w:before="240"/>
      </w:pPr>
      <w:r>
        <w:rPr>
          <w:rFonts w:ascii="Arial" w:cs="Arial" w:eastAsia="Arial" w:hAnsi="Arial"/>
          <w:b/>
          <w:bCs/>
          <w:sz w:val="26"/>
          <w:szCs w:val="26"/>
        </w:rPr>
        <w:t xml:space="preserve">2.3 Consequence of design as research instrument</w:t>
      </w:r>
    </w:p>
    <w:p>
      <w:pPr>
        <w:spacing w:after="120"/>
      </w:pPr>
      <w:r>
        <w:rPr>
          <w:rFonts w:ascii="Arial" w:cs="Arial" w:eastAsia="Arial" w:hAnsi="Arial"/>
          <w:sz w:val="22"/>
          <w:szCs w:val="22"/>
        </w:rPr>
        <w:t xml:space="preserve">Because this is a research artefact, the following rules apply to the UI as experimental constraints:</w:t>
      </w:r>
    </w:p>
    <w:p>
      <w:pPr>
        <w:pStyle w:val="ListParagraph"/>
        <w:numPr>
          <w:ilvl w:val="0"/>
          <w:numId w:val="2"/>
        </w:numPr>
        <w:spacing w:after="80"/>
      </w:pPr>
      <w:r>
        <w:rPr>
          <w:rFonts w:ascii="Arial" w:cs="Arial" w:eastAsia="Arial" w:hAnsi="Arial"/>
          <w:sz w:val="22"/>
          <w:szCs w:val="22"/>
        </w:rPr>
        <w:t xml:space="preserve">Informational content of AI recommendations must be identical between conditions — only presentation differs</w:t>
      </w:r>
    </w:p>
    <w:p>
      <w:pPr>
        <w:pStyle w:val="ListParagraph"/>
        <w:numPr>
          <w:ilvl w:val="0"/>
          <w:numId w:val="2"/>
        </w:numPr>
        <w:spacing w:after="80"/>
      </w:pPr>
      <w:r>
        <w:rPr>
          <w:rFonts w:ascii="Arial" w:cs="Arial" w:eastAsia="Arial" w:hAnsi="Arial"/>
          <w:sz w:val="22"/>
          <w:szCs w:val="22"/>
        </w:rPr>
        <w:t xml:space="preserve">Report B (the cautious evidence) must remain present in both conditions, even if partially obscured in the pushy condition by popup placement</w:t>
      </w:r>
    </w:p>
    <w:p>
      <w:pPr>
        <w:pStyle w:val="ListParagraph"/>
        <w:numPr>
          <w:ilvl w:val="0"/>
          <w:numId w:val="2"/>
        </w:numPr>
        <w:spacing w:after="80"/>
      </w:pPr>
      <w:r>
        <w:rPr>
          <w:rFonts w:ascii="Arial" w:cs="Arial" w:eastAsia="Arial" w:hAnsi="Arial"/>
          <w:sz w:val="22"/>
          <w:szCs w:val="22"/>
        </w:rPr>
        <w:t xml:space="preserve">Dismissing the AI popup is a logged telemetry event — it is a meaningful research data point, not just a UX affordance</w:t>
      </w:r>
    </w:p>
    <w:p>
      <w:pPr>
        <w:spacing w:after="160"/>
      </w:pPr>
      <w:r>
        <w:t xml:space="preserve"/>
      </w:r>
    </w:p>
    <w:p>
      <w:r>
        <w:t xml:space="preserve"/>
      </w:r>
    </w:p>
    <w:p>
      <w:pPr>
        <w:pStyle w:val="Heading1"/>
        <w:pBdr>
          <w:bottom w:val="single" w:color="000080" w:sz="6" w:space="1"/>
        </w:pBdr>
        <w:spacing w:after="180" w:before="360"/>
      </w:pPr>
      <w:r>
        <w:rPr>
          <w:rFonts w:ascii="Arial" w:cs="Arial" w:eastAsia="Arial" w:hAnsi="Arial"/>
          <w:b/>
          <w:bCs/>
          <w:sz w:val="32"/>
          <w:szCs w:val="32"/>
        </w:rPr>
        <w:t xml:space="preserve">3. Main Game Screen</w:t>
      </w:r>
    </w:p>
    <w:p>
      <w:pPr>
        <w:spacing w:after="120"/>
      </w:pPr>
      <w:r>
        <w:rPr>
          <w:rFonts w:ascii="Arial" w:cs="Arial" w:eastAsia="Arial" w:hAnsi="Arial"/>
          <w:sz w:val="22"/>
          <w:szCs w:val="22"/>
        </w:rPr>
        <w:t xml:space="preserve">The main game screen is the only active view during play. It uses a four-panel layout that remains constant across all turns. See Figs 1a and 1b in the visual reference for the calm and pushy condition layouts.</w:t>
      </w:r>
    </w:p>
    <w:p>
      <w:pPr>
        <w:spacing w:after="160"/>
        <w:ind w:left="360"/>
      </w:pPr>
      <w:r>
        <w:rPr>
          <w:rFonts w:ascii="Arial" w:cs="Arial" w:eastAsia="Arial" w:hAnsi="Arial"/>
          <w:i/>
          <w:iCs/>
          <w:color w:val="000080"/>
          <w:sz w:val="20"/>
          <w:szCs w:val="20"/>
        </w:rPr>
        <w:t xml:space="preserve">→ Visual reference: Fig 1a (Calm condition) and Fig 1b (Pushy condition)</w:t>
      </w:r>
    </w:p>
    <w:p>
      <w:pPr>
        <w:spacing w:after="160"/>
      </w:pPr>
      <w:r>
        <w:t xml:space="preserve"/>
      </w:r>
    </w:p>
    <w:p>
      <w:pPr>
        <w:pStyle w:val="Heading2"/>
        <w:spacing w:after="120" w:before="240"/>
      </w:pPr>
      <w:r>
        <w:rPr>
          <w:rFonts w:ascii="Arial" w:cs="Arial" w:eastAsia="Arial" w:hAnsi="Arial"/>
          <w:b/>
          <w:bCs/>
          <w:sz w:val="26"/>
          <w:szCs w:val="26"/>
        </w:rPr>
        <w:t xml:space="preserve">3.1 Panel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c>
          <w:tcPr>
            <w:tcW w:type="dxa" w:w="22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color w:val="000080"/>
                <w:sz w:val="18"/>
                <w:szCs w:val="18"/>
              </w:rPr>
              <w:t xml:space="preserve">LEFT PANEL</w:t>
            </w:r>
          </w:p>
          <w:p>
            <w:r>
              <w:rPr>
                <w:rFonts w:ascii="Arial" w:cs="Arial" w:eastAsia="Arial" w:hAnsi="Arial"/>
                <w:sz w:val="18"/>
                <w:szCs w:val="18"/>
              </w:rPr>
              <w:t xml:space="preserve">System Status (~130px)</w:t>
            </w:r>
          </w:p>
        </w:tc>
        <w:tc>
          <w:tcPr>
            <w:tcW w:type="dxa" w:w="4626"/>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000080"/>
                <w:sz w:val="18"/>
                <w:szCs w:val="18"/>
              </w:rPr>
              <w:t xml:space="preserve">CENTRE PANEL</w:t>
            </w:r>
          </w:p>
          <w:p>
            <w:r>
              <w:rPr>
                <w:rFonts w:ascii="Arial" w:cs="Arial" w:eastAsia="Arial" w:hAnsi="Arial"/>
                <w:sz w:val="18"/>
                <w:szCs w:val="18"/>
              </w:rPr>
              <w:t xml:space="preserve">Incident + evidence + actions (fills remaining width)</w:t>
            </w:r>
          </w:p>
        </w:tc>
        <w:tc>
          <w:tcPr>
            <w:tcW w:type="dxa" w:w="22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color w:val="000080"/>
                <w:sz w:val="18"/>
                <w:szCs w:val="18"/>
              </w:rPr>
              <w:t xml:space="preserve">RIGHT PANEL</w:t>
            </w:r>
          </w:p>
          <w:p>
            <w:r>
              <w:rPr>
                <w:rFonts w:ascii="Arial" w:cs="Arial" w:eastAsia="Arial" w:hAnsi="Arial"/>
                <w:sz w:val="18"/>
                <w:szCs w:val="18"/>
              </w:rPr>
              <w:t xml:space="preserve">AI Advisory — ARIA (~160px)</w:t>
            </w:r>
          </w:p>
        </w:tc>
      </w:tr>
      <w:tr>
        <w:tc>
          <w:tcPr>
            <w:tcW w:type="dxa" w:w="9026"/>
            <w:gridSpan w:val="3"/>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000080"/>
                <w:sz w:val="18"/>
                <w:szCs w:val="18"/>
              </w:rPr>
              <w:t xml:space="preserve">BOTTOM BAR — Turn counter + session clock + taskbar</w:t>
            </w:r>
          </w:p>
        </w:tc>
      </w:tr>
    </w:tbl>
    <w:p>
      <w:pPr>
        <w:spacing w:after="160"/>
      </w:pPr>
      <w:r>
        <w:t xml:space="preserve"/>
      </w:r>
    </w:p>
    <w:p>
      <w:pPr>
        <w:pStyle w:val="Heading2"/>
        <w:spacing w:after="120" w:before="240"/>
      </w:pPr>
      <w:r>
        <w:rPr>
          <w:rFonts w:ascii="Arial" w:cs="Arial" w:eastAsia="Arial" w:hAnsi="Arial"/>
          <w:b/>
          <w:bCs/>
          <w:sz w:val="26"/>
          <w:szCs w:val="26"/>
        </w:rPr>
        <w:t xml:space="preserve">3.2 Left panel — System Status</w:t>
      </w:r>
    </w:p>
    <w:p>
      <w:pPr>
        <w:spacing w:after="120"/>
      </w:pPr>
      <w:r>
        <w:rPr>
          <w:rFonts w:ascii="Arial" w:cs="Arial" w:eastAsia="Arial" w:hAnsi="Arial"/>
          <w:sz w:val="22"/>
          <w:szCs w:val="22"/>
        </w:rPr>
        <w:t xml:space="preserve">Contains two sub-sections separated by a thin rule. The split between System Health and External State reinforces the distinction between technical reality (things the operator controls) and social reality (external pressure).</w:t>
      </w:r>
    </w:p>
    <w:p>
      <w:pPr>
        <w:spacing w:after="160"/>
      </w:pPr>
      <w:r>
        <w:t xml:space="preserve"/>
      </w:r>
    </w:p>
    <w:p>
      <w:pPr>
        <w:pStyle w:val="Heading3"/>
        <w:spacing w:after="80" w:before="200"/>
      </w:pPr>
      <w:r>
        <w:rPr>
          <w:rFonts w:ascii="Arial" w:cs="Arial" w:eastAsia="Arial" w:hAnsi="Arial"/>
          <w:b/>
          <w:bCs/>
          <w:sz w:val="22"/>
          <w:szCs w:val="22"/>
        </w:rPr>
        <w:t xml:space="preserve">System Health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Stability</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Degrading bar (green → red). Represents operational integrity.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Resources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Degrading bar. Represents staffing, budget, spare capacity.</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Workload</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Degrading bar (red at high values). Displayed as 'Workload' in UI; maps to Attention Load variable in telemetry.</w:t>
            </w:r>
          </w:p>
        </w:tc>
      </w:tr>
    </w:tbl>
    <w:p>
      <w:pPr>
        <w:spacing w:after="160"/>
      </w:pPr>
      <w:r>
        <w:t xml:space="preserve"/>
      </w:r>
    </w:p>
    <w:p>
      <w:pPr>
        <w:pStyle w:val="Heading3"/>
        <w:spacing w:after="80" w:before="200"/>
      </w:pPr>
      <w:r>
        <w:rPr>
          <w:rFonts w:ascii="Arial" w:cs="Arial" w:eastAsia="Arial" w:hAnsi="Arial"/>
          <w:b/>
          <w:bCs/>
          <w:sz w:val="22"/>
          <w:szCs w:val="22"/>
        </w:rPr>
        <w:t xml:space="preserve">External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Public Confidence</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Separate sub-section below a thin rule. Displayed with a trend arrow (▲▼) indicating direction of change from last turn.</w:t>
            </w:r>
          </w:p>
        </w:tc>
      </w:tr>
    </w:tbl>
    <w:p>
      <w:pPr>
        <w:spacing w:after="120"/>
        <w:ind w:left="360"/>
      </w:pPr>
      <w:r>
        <w:rPr>
          <w:rFonts w:ascii="Arial" w:cs="Arial" w:eastAsia="Arial" w:hAnsi="Arial"/>
          <w:i/>
          <w:iCs/>
          <w:color w:val="555555"/>
          <w:sz w:val="20"/>
          <w:szCs w:val="20"/>
        </w:rPr>
        <w:t xml:space="preserve">Note: Public Confidence is intentionally separated from the three system health metrics. It should feel external — something happening to the player, not a resource they directly manage.</w:t>
      </w:r>
    </w:p>
    <w:p>
      <w:pPr>
        <w:spacing w:after="160"/>
      </w:pPr>
      <w:r>
        <w:t xml:space="preserve"/>
      </w:r>
    </w:p>
    <w:p>
      <w:pPr>
        <w:spacing w:after="120"/>
      </w:pPr>
      <w:r>
        <w:rPr>
          <w:rFonts w:ascii="Arial" w:cs="Arial" w:eastAsia="Arial" w:hAnsi="Arial"/>
          <w:sz w:val="22"/>
          <w:szCs w:val="22"/>
        </w:rPr>
        <w:t xml:space="preserve">Each metric bar is clickable. Clicking opens a Status Report popup for that metric. See Section 3.5 for full popup specification.</w:t>
      </w:r>
    </w:p>
    <w:p>
      <w:pPr>
        <w:spacing w:after="160"/>
      </w:pPr>
      <w:r>
        <w:t xml:space="preserve"/>
      </w:r>
    </w:p>
    <w:p>
      <w:pPr>
        <w:pStyle w:val="Heading2"/>
        <w:spacing w:after="120" w:before="240"/>
      </w:pPr>
      <w:r>
        <w:rPr>
          <w:rFonts w:ascii="Arial" w:cs="Arial" w:eastAsia="Arial" w:hAnsi="Arial"/>
          <w:b/>
          <w:bCs/>
          <w:sz w:val="26"/>
          <w:szCs w:val="26"/>
        </w:rPr>
        <w:t xml:space="preserve">3.3 Centre panel — Incident + Evidence + Actions</w:t>
      </w:r>
    </w:p>
    <w:p>
      <w:pPr>
        <w:pStyle w:val="Heading3"/>
        <w:spacing w:after="80" w:before="200"/>
      </w:pPr>
      <w:r>
        <w:rPr>
          <w:rFonts w:ascii="Arial" w:cs="Arial" w:eastAsia="Arial" w:hAnsi="Arial"/>
          <w:b/>
          <w:bCs/>
          <w:sz w:val="22"/>
          <w:szCs w:val="22"/>
        </w:rPr>
        <w:t xml:space="preserve">Incident window</w:t>
      </w:r>
    </w:p>
    <w:p>
      <w:pPr>
        <w:pStyle w:val="ListParagraph"/>
        <w:numPr>
          <w:ilvl w:val="0"/>
          <w:numId w:val="2"/>
        </w:numPr>
        <w:spacing w:after="80"/>
      </w:pPr>
      <w:r>
        <w:rPr>
          <w:rFonts w:ascii="Arial" w:cs="Arial" w:eastAsia="Arial" w:hAnsi="Arial"/>
          <w:sz w:val="22"/>
          <w:szCs w:val="22"/>
        </w:rPr>
        <w:t xml:space="preserve">Title bar: incident name + sector identifier</w:t>
      </w:r>
    </w:p>
    <w:p>
      <w:pPr>
        <w:pStyle w:val="ListParagraph"/>
        <w:numPr>
          <w:ilvl w:val="0"/>
          <w:numId w:val="2"/>
        </w:numPr>
        <w:spacing w:after="80"/>
      </w:pPr>
      <w:r>
        <w:rPr>
          <w:rFonts w:ascii="Arial" w:cs="Arial" w:eastAsia="Arial" w:hAnsi="Arial"/>
          <w:sz w:val="22"/>
          <w:szCs w:val="22"/>
        </w:rPr>
        <w:t xml:space="preserve">Priority tag (HIGH / CRITICAL) — colour coded</w:t>
      </w:r>
    </w:p>
    <w:p>
      <w:pPr>
        <w:pStyle w:val="ListParagraph"/>
        <w:numPr>
          <w:ilvl w:val="0"/>
          <w:numId w:val="2"/>
        </w:numPr>
        <w:spacing w:after="80"/>
      </w:pPr>
      <w:r>
        <w:rPr>
          <w:rFonts w:ascii="Arial" w:cs="Arial" w:eastAsia="Arial" w:hAnsi="Arial"/>
          <w:sz w:val="22"/>
          <w:szCs w:val="22"/>
        </w:rPr>
        <w:t xml:space="preserve">2–3 sentence incident description</w:t>
      </w:r>
    </w:p>
    <w:p>
      <w:pPr>
        <w:spacing w:after="160"/>
      </w:pPr>
      <w:r>
        <w:t xml:space="preserve"/>
      </w:r>
    </w:p>
    <w:p>
      <w:pPr>
        <w:pStyle w:val="Heading3"/>
        <w:spacing w:after="80" w:before="200"/>
      </w:pPr>
      <w:r>
        <w:rPr>
          <w:rFonts w:ascii="Arial" w:cs="Arial" w:eastAsia="Arial" w:hAnsi="Arial"/>
          <w:b/>
          <w:bCs/>
          <w:sz w:val="22"/>
          <w:szCs w:val="22"/>
        </w:rPr>
        <w:t xml:space="preserve">Evidence snippets</w:t>
      </w:r>
    </w:p>
    <w:p>
      <w:pPr>
        <w:pStyle w:val="ListParagraph"/>
        <w:numPr>
          <w:ilvl w:val="0"/>
          <w:numId w:val="2"/>
        </w:numPr>
        <w:spacing w:after="80"/>
      </w:pPr>
      <w:r>
        <w:rPr>
          <w:rFonts w:ascii="Arial" w:cs="Arial" w:eastAsia="Arial" w:hAnsi="Arial"/>
          <w:sz w:val="22"/>
          <w:szCs w:val="22"/>
        </w:rPr>
        <w:t xml:space="preserve">Report A and Report B — labelled with source and timestamp</w:t>
      </w:r>
    </w:p>
    <w:p>
      <w:pPr>
        <w:pStyle w:val="ListParagraph"/>
        <w:numPr>
          <w:ilvl w:val="0"/>
          <w:numId w:val="2"/>
        </w:numPr>
        <w:spacing w:after="80"/>
      </w:pPr>
      <w:r>
        <w:rPr>
          <w:rFonts w:ascii="Arial" w:cs="Arial" w:eastAsia="Arial" w:hAnsi="Arial"/>
          <w:sz w:val="22"/>
          <w:szCs w:val="22"/>
        </w:rPr>
        <w:t xml:space="preserve">Content is deliberately conflicting or ambiguous</w:t>
      </w:r>
    </w:p>
    <w:p>
      <w:pPr>
        <w:pStyle w:val="ListParagraph"/>
        <w:numPr>
          <w:ilvl w:val="0"/>
          <w:numId w:val="2"/>
        </w:numPr>
        <w:spacing w:after="80"/>
      </w:pPr>
      <w:r>
        <w:rPr>
          <w:rFonts w:ascii="Arial" w:cs="Arial" w:eastAsia="Arial" w:hAnsi="Arial"/>
          <w:sz w:val="22"/>
          <w:szCs w:val="22"/>
        </w:rPr>
        <w:t xml:space="preserve">Both boxes remain visible at all times. In the pushy condition, a popup may partially overlap Report B — this is intentional and must not be treated as a bug</w:t>
      </w:r>
    </w:p>
    <w:p>
      <w:pPr>
        <w:spacing w:after="160"/>
      </w:pPr>
      <w:r>
        <w:t xml:space="preserve"/>
      </w:r>
    </w:p>
    <w:p>
      <w:pPr>
        <w:pStyle w:val="Heading3"/>
        <w:spacing w:after="80" w:before="200"/>
      </w:pPr>
      <w:r>
        <w:rPr>
          <w:rFonts w:ascii="Arial" w:cs="Arial" w:eastAsia="Arial" w:hAnsi="Arial"/>
          <w:b/>
          <w:bCs/>
          <w:sz w:val="22"/>
          <w:szCs w:val="22"/>
        </w:rPr>
        <w:t xml:space="preserve">Response Options window</w:t>
      </w:r>
    </w:p>
    <w:p>
      <w:pPr>
        <w:spacing w:after="120"/>
      </w:pPr>
      <w:r>
        <w:rPr>
          <w:rFonts w:ascii="Arial" w:cs="Arial" w:eastAsia="Arial" w:hAnsi="Arial"/>
          <w:sz w:val="22"/>
          <w:szCs w:val="22"/>
        </w:rPr>
        <w:t xml:space="preserve">Four action buttons, each formatted as:</w:t>
      </w:r>
    </w:p>
    <w:p>
      <w:pPr>
        <w:spacing w:after="80"/>
        <w:ind w:left="720"/>
      </w:pPr>
      <w:r>
        <w:rPr>
          <w:rFonts w:ascii="Courier New" w:cs="Courier New" w:eastAsia="Courier New" w:hAnsi="Courier New"/>
          <w:color w:val="000080"/>
          <w:sz w:val="20"/>
          <w:szCs w:val="20"/>
        </w:rPr>
        <w:t xml:space="preserve">Action label       Immediate cost: X       Future risk: Y</w:t>
      </w:r>
    </w:p>
    <w:p>
      <w:pPr>
        <w:spacing w:after="120"/>
      </w:pPr>
      <w:r>
        <w:rPr>
          <w:rFonts w:ascii="Arial" w:cs="Arial" w:eastAsia="Arial" w:hAnsi="Arial"/>
          <w:sz w:val="22"/>
          <w:szCs w:val="22"/>
        </w:rPr>
        <w:t xml:space="preserve">This format replaces flat trade-off notation. It surfaces the tension between known cost and uncertain consequence, which is where emergent narrative lives.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63"/>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Immediate cost</w:t>
            </w:r>
          </w:p>
        </w:tc>
        <w:tc>
          <w:tcPr>
            <w:tcW w:type="dxa" w:w="3263"/>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Future 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rerouting</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Resources −15</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 failure: possible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situation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Cascade failure: uncertain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AI analysis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Attention Load +8, delay</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Better info; pressure rises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Suppress alerts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Attention Load −10</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Hidden risk accumulates</w:t>
            </w:r>
          </w:p>
        </w:tc>
      </w:tr>
    </w:tbl>
    <w:p>
      <w:pPr>
        <w:spacing w:after="120"/>
        <w:ind w:left="360"/>
      </w:pPr>
      <w:r>
        <w:rPr>
          <w:rFonts w:ascii="Arial" w:cs="Arial" w:eastAsia="Arial" w:hAnsi="Arial"/>
          <w:i/>
          <w:iCs/>
          <w:color w:val="555555"/>
          <w:sz w:val="20"/>
          <w:szCs w:val="20"/>
        </w:rPr>
        <w:t xml:space="preserve">Note: Consequence format is consistent across all events. Do not revert to flat variable notation.</w:t>
      </w:r>
    </w:p>
    <w:p>
      <w:pPr>
        <w:spacing w:after="160"/>
      </w:pPr>
      <w:r>
        <w:t xml:space="preserve"/>
      </w:r>
    </w:p>
    <w:p>
      <w:pPr>
        <w:pStyle w:val="Heading2"/>
        <w:spacing w:after="120" w:before="240"/>
      </w:pPr>
      <w:r>
        <w:rPr>
          <w:rFonts w:ascii="Arial" w:cs="Arial" w:eastAsia="Arial" w:hAnsi="Arial"/>
          <w:b/>
          <w:bCs/>
          <w:sz w:val="26"/>
          <w:szCs w:val="26"/>
        </w:rPr>
        <w:t xml:space="preserve">3.4 Right panel — AI Advisory</w:t>
      </w:r>
    </w:p>
    <w:p>
      <w:pPr>
        <w:spacing w:after="120"/>
      </w:pPr>
      <w:r>
        <w:rPr>
          <w:rFonts w:ascii="Arial" w:cs="Arial" w:eastAsia="Arial" w:hAnsi="Arial"/>
          <w:sz w:val="22"/>
          <w:szCs w:val="22"/>
        </w:rPr>
        <w:t xml:space="preserve">The right panel is the key experimental variable. Its chrome (Win98 titlebar, scrollable log, confidence bar) is identical in both conditions. Behaviour differs as specified in Section 4.</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Titlebar</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Calm: blue ('AI Advisory — ARIA'). Pushy: red, flashing.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log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Calm: white background, muted blue text, blinking cursor. Pushy: black background, red text.</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Confidence bar</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Calm: percentage with low certainty qualifier (&lt;70%). Pushy: high percentage in red labelled 'ACT NOW' (&gt;80%).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Alert counter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Calm: not present. Pushy: unacknowledged alert count, incrementing.</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Recommendation history</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Calm: small log of previous turn suggestions. Pushy: replaced by stacked unacknowledged alerts.</w:t>
            </w:r>
          </w:p>
        </w:tc>
      </w:tr>
    </w:tbl>
    <w:p>
      <w:pPr>
        <w:spacing w:after="160"/>
      </w:pPr>
      <w:r>
        <w:t xml:space="preserve"/>
      </w:r>
    </w:p>
    <w:p>
      <w:r>
        <w:t xml:space="preserve"/>
      </w:r>
    </w:p>
    <w:p>
      <w:pPr>
        <w:pStyle w:val="Heading2"/>
        <w:spacing w:after="120" w:before="240"/>
      </w:pPr>
      <w:r>
        <w:rPr>
          <w:rFonts w:ascii="Arial" w:cs="Arial" w:eastAsia="Arial" w:hAnsi="Arial"/>
          <w:b/>
          <w:bCs/>
          <w:sz w:val="26"/>
          <w:szCs w:val="26"/>
        </w:rPr>
        <w:t xml:space="preserve">3.5 Metric Status Report popups</w:t>
      </w:r>
    </w:p>
    <w:p>
      <w:pPr>
        <w:spacing w:after="120"/>
      </w:pPr>
      <w:r>
        <w:rPr>
          <w:rFonts w:ascii="Arial" w:cs="Arial" w:eastAsia="Arial" w:hAnsi="Arial"/>
          <w:sz w:val="22"/>
          <w:szCs w:val="22"/>
        </w:rPr>
        <w:t xml:space="preserve">Each metric bar in the left panel is clickable. Clicking opens a Status Report popup — a small Win98 window containing a short narrative report generated from the current variable value. The popup is dismissible (× button) and does not persist across turns.</w:t>
      </w:r>
    </w:p>
    <w:p>
      <w:pPr>
        <w:spacing w:after="160"/>
      </w:pPr>
      <w:r>
        <w:t xml:space="preserve"/>
      </w:r>
    </w:p>
    <w:p>
      <w:pPr>
        <w:pStyle w:val="Heading3"/>
        <w:spacing w:after="80" w:before="200"/>
      </w:pPr>
      <w:r>
        <w:rPr>
          <w:rFonts w:ascii="Arial" w:cs="Arial" w:eastAsia="Arial" w:hAnsi="Arial"/>
          <w:b/>
          <w:bCs/>
          <w:sz w:val="22"/>
          <w:szCs w:val="22"/>
        </w:rPr>
        <w:t xml:space="preserve">Purpose</w:t>
      </w:r>
    </w:p>
    <w:p>
      <w:pPr>
        <w:spacing w:after="120"/>
      </w:pPr>
      <w:r>
        <w:rPr>
          <w:rFonts w:ascii="Arial" w:cs="Arial" w:eastAsia="Arial" w:hAnsi="Arial"/>
          <w:sz w:val="22"/>
          <w:szCs w:val="22"/>
        </w:rPr>
        <w:t xml:space="preserve">These popups reveal interpretive context, not additional mechanics. Clicking a metric does not expose sub-variables, unlock actions, or provide optimisation data. The reports add flavour and build a mental model of the system without deepening the management layer.</w:t>
      </w:r>
    </w:p>
    <w:p>
      <w:pPr>
        <w:spacing w:after="120"/>
        <w:ind w:left="360"/>
      </w:pPr>
      <w:r>
        <w:rPr>
          <w:rFonts w:ascii="Arial" w:cs="Arial" w:eastAsia="Arial" w:hAnsi="Arial"/>
          <w:i/>
          <w:iCs/>
          <w:color w:val="555555"/>
          <w:sz w:val="20"/>
          <w:szCs w:val="20"/>
        </w:rPr>
        <w:t xml:space="preserve">Note: Do not add sub-variables (e.g. Grid, Water, Transport) behind metric clicks. Players will immediately ask why they cannot directly manage those sub-systems, pulling the project towards a strategy game scope that is not supportable.</w:t>
      </w:r>
    </w:p>
    <w:p>
      <w:pPr>
        <w:spacing w:after="160"/>
      </w:pPr>
      <w:r>
        <w:t xml:space="preserve"/>
      </w:r>
    </w:p>
    <w:p>
      <w:pPr>
        <w:pStyle w:val="Heading3"/>
        <w:spacing w:after="80" w:before="200"/>
      </w:pPr>
      <w:r>
        <w:rPr>
          <w:rFonts w:ascii="Arial" w:cs="Arial" w:eastAsia="Arial" w:hAnsi="Arial"/>
          <w:b/>
          <w:bCs/>
          <w:sz w:val="22"/>
          <w:szCs w:val="22"/>
        </w:rPr>
        <w:t xml:space="preserve">Popup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 line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sentence reflecting the current value bracket (Stable / Degrading / Critical).</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Context line</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One sentence explaining what is causing the current state — institutional, environmental, or operational.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Confidence note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sentence noting data reliability. Introduces uncertainty rather than eliminating it.</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ARIA note (conditional)</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Appears only when the AI has referenced this metric in the current turn's recommendation. One sentence. Links the popup back to the advisory panel.</w:t>
            </w:r>
          </w:p>
        </w:tc>
      </w:tr>
    </w:tbl>
    <w:p>
      <w:pPr>
        <w:spacing w:after="160"/>
      </w:pPr>
      <w:r>
        <w:t xml:space="preserve"/>
      </w:r>
    </w:p>
    <w:p>
      <w:pPr>
        <w:pStyle w:val="Heading3"/>
        <w:spacing w:after="80" w:before="200"/>
      </w:pPr>
      <w:r>
        <w:rPr>
          <w:rFonts w:ascii="Arial" w:cs="Arial" w:eastAsia="Arial" w:hAnsi="Arial"/>
          <w:b/>
          <w:bCs/>
          <w:sz w:val="22"/>
          <w:szCs w:val="22"/>
        </w:rPr>
        <w:t xml:space="preserve">State brackets and text variants</w:t>
      </w:r>
    </w:p>
    <w:p>
      <w:pPr>
        <w:spacing w:after="120"/>
      </w:pPr>
      <w:r>
        <w:rPr>
          <w:rFonts w:ascii="Arial" w:cs="Arial" w:eastAsia="Arial" w:hAnsi="Arial"/>
          <w:sz w:val="22"/>
          <w:szCs w:val="22"/>
        </w:rPr>
        <w:t xml:space="preserve">Each metric has three text variants driven by its current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Bracket</w:t>
            </w:r>
          </w:p>
        </w:tc>
        <w:tc>
          <w:tcPr>
            <w:tcW w:type="dxa" w:w="2000"/>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Value range</w:t>
            </w:r>
          </w:p>
        </w:tc>
        <w:tc>
          <w:tcPr>
            <w:tcW w:type="dxa" w:w="5026"/>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Titlebar colour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(standard)</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Degrading</w:t>
            </w:r>
          </w:p>
        </w:tc>
        <w:tc>
          <w:tcPr>
            <w:tcW w:type="dxa" w:w="20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35–64%</w:t>
            </w:r>
          </w:p>
        </w:tc>
        <w:tc>
          <w:tcPr>
            <w:tcW w:type="dxa" w:w="5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Blue (standard)</w:t>
            </w:r>
          </w:p>
        </w:tc>
      </w:tr>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Critical</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≤34%</w:t>
            </w:r>
          </w:p>
        </w:tc>
        <w:tc>
          <w:tcPr>
            <w:tcW w:type="dxa" w:w="502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Red</w:t>
            </w:r>
          </w:p>
        </w:tc>
      </w:tr>
    </w:tbl>
    <w:p>
      <w:pPr>
        <w:spacing w:after="160"/>
      </w:pPr>
      <w:r>
        <w:t xml:space="preserve"/>
      </w:r>
    </w:p>
    <w:p>
      <w:pPr>
        <w:pStyle w:val="Heading3"/>
        <w:spacing w:after="80" w:before="200"/>
      </w:pPr>
      <w:r>
        <w:rPr>
          <w:rFonts w:ascii="Arial" w:cs="Arial" w:eastAsia="Arial" w:hAnsi="Arial"/>
          <w:b/>
          <w:bCs/>
          <w:sz w:val="22"/>
          <w:szCs w:val="22"/>
        </w:rPr>
        <w:t xml:space="preserve">Text variants by metric</w:t>
      </w:r>
    </w:p>
    <w:p>
      <w:pPr>
        <w:spacing w:after="160"/>
      </w:pPr>
      <w:r>
        <w:t xml:space="preserve"/>
      </w:r>
    </w:p>
    <w:p>
      <w:pPr>
        <w:spacing w:after="120"/>
      </w:pPr>
      <w:r>
        <w:rPr>
          <w:rFonts w:ascii="Arial" w:cs="Arial" w:eastAsia="Arial" w:hAnsi="Arial"/>
          <w:b/>
          <w:bCs/>
          <w:sz w:val="22"/>
          <w:szCs w:val="22"/>
        </w:rPr>
        <w:t xml:space="preserve">STABILITY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Stable</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Grid operations within expected tolerance. Minor fluctuations in Sector 7 routing are within normal variance. Sensor confidence: high. No further analysis warranted.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Degrading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 7 operating below expected tolerance. Repeated load fluctuations detected. Cause unconfirmed — consistent with both maintenance backlog and upstream demand surge. Sensor confidence: moderate.</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Stability threshold breached. Automated diagnostics report anomalous readings across multiple sectors. Data reliability is uncertain at this load level. ARIA analysis may be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Uncertain variant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data incomplete. Automated diagnostics are returning partial readings from Sector 7. Current stability value may not reflect true system state. Confidence: low. Further analysis available through ARIA.</w:t>
            </w:r>
          </w:p>
        </w:tc>
      </w:tr>
    </w:tbl>
    <w:p>
      <w:pPr>
        <w:spacing w:after="120"/>
        <w:ind w:left="360"/>
      </w:pPr>
      <w:r>
        <w:rPr>
          <w:rFonts w:ascii="Arial" w:cs="Arial" w:eastAsia="Arial" w:hAnsi="Arial"/>
          <w:i/>
          <w:iCs/>
          <w:color w:val="555555"/>
          <w:sz w:val="20"/>
          <w:szCs w:val="20"/>
        </w:rPr>
        <w:t xml:space="preserve">Note: The Uncertain variant is triggered when an AI lag event is active or when stability is in rapid flux between turns. It reinforces uncertainty rather than resolving it. See Fig 2e.</w:t>
      </w:r>
    </w:p>
    <w:p>
      <w:pPr>
        <w:spacing w:after="160"/>
      </w:pPr>
      <w:r>
        <w:t xml:space="preserve"/>
      </w:r>
    </w:p>
    <w:p>
      <w:pPr>
        <w:spacing w:after="120"/>
      </w:pPr>
      <w:r>
        <w:rPr>
          <w:rFonts w:ascii="Arial" w:cs="Arial" w:eastAsia="Arial" w:hAnsi="Arial"/>
          <w:b/>
          <w:bCs/>
          <w:sz w:val="22"/>
          <w:szCs w:val="22"/>
        </w:rPr>
        <w:t xml:space="preserve">RESOURCES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Stable</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Staffing and reserve capacity within operational parameters. Current expenditure rate is sustainable through end of session. No reallocation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Degrading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 capacity below recommended threshold. Repeated emergency expenditure has reduced available response capacity. Recovery rate is slow under current conditions.</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Resource reserves critically low. Further emergency interventions may not be sustainable. Operational risk is elevated if additional incidents occur this session.</w:t>
            </w:r>
          </w:p>
        </w:tc>
      </w:tr>
    </w:tbl>
    <w:p>
      <w:pPr>
        <w:spacing w:after="160"/>
      </w:pPr>
      <w:r>
        <w:t xml:space="preserve"/>
      </w:r>
    </w:p>
    <w:p>
      <w:pPr>
        <w:spacing w:after="120"/>
      </w:pPr>
      <w:r>
        <w:rPr>
          <w:rFonts w:ascii="Arial" w:cs="Arial" w:eastAsia="Arial" w:hAnsi="Arial"/>
          <w:b/>
          <w:bCs/>
          <w:sz w:val="22"/>
          <w:szCs w:val="22"/>
        </w:rPr>
        <w:t xml:space="preserve">WORKLOAD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Stable</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Alert volume within manageable range. Current information flow is not exceeding processing capacity. Decision quality is unlikely to be affected.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Degrading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frequency is elevated. Competing information streams are increasing decision latency. Prioritisation difficulty reported across recent turns.</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Operator load at high levels. Information volume is exceeding comfortable processing capacity. Risk of oversight error is increased. ARIA interruptions are contributing to load.</w:t>
            </w:r>
          </w:p>
        </w:tc>
      </w:tr>
    </w:tbl>
    <w:p>
      <w:pPr>
        <w:spacing w:after="160"/>
      </w:pPr>
      <w:r>
        <w:t xml:space="preserve"/>
      </w:r>
    </w:p>
    <w:p>
      <w:pPr>
        <w:spacing w:after="120"/>
      </w:pPr>
      <w:r>
        <w:rPr>
          <w:rFonts w:ascii="Arial" w:cs="Arial" w:eastAsia="Arial" w:hAnsi="Arial"/>
          <w:b/>
          <w:bCs/>
          <w:sz w:val="22"/>
          <w:szCs w:val="22"/>
        </w:rPr>
        <w:t xml:space="preserve">PUBLIC CONFIDENCE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Stable</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No significant public concern at this time. Service continuity has been maintained within acceptable parameters. Stakeholder communications are not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Degrading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concern increasing following reports of repeated service disruption. No formal complaints received. Continued instability may prompt external scrutiny.</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Public confidence has deteriorated significantly. Media inquiries have been received by the communications team. Operational decisions are now subject to external visibility.</w:t>
            </w:r>
          </w:p>
        </w:tc>
      </w:tr>
    </w:tbl>
    <w:p>
      <w:pPr>
        <w:spacing w:after="160"/>
      </w:pPr>
      <w:r>
        <w:t xml:space="preserve"/>
      </w:r>
    </w:p>
    <w:p>
      <w:pPr>
        <w:spacing w:after="160"/>
        <w:ind w:left="360"/>
      </w:pPr>
      <w:r>
        <w:rPr>
          <w:rFonts w:ascii="Arial" w:cs="Arial" w:eastAsia="Arial" w:hAnsi="Arial"/>
          <w:i/>
          <w:iCs/>
          <w:color w:val="000080"/>
          <w:sz w:val="20"/>
          <w:szCs w:val="20"/>
        </w:rPr>
        <w:t xml:space="preserve">→ Visual reference: Figs 2a–2f (all popup states including Uncertain variant and Public Confidence Critical)</w:t>
      </w:r>
    </w:p>
    <w:p>
      <w:pPr>
        <w:spacing w:after="160"/>
      </w:pPr>
      <w:r>
        <w:t xml:space="preserve"/>
      </w:r>
    </w:p>
    <w:p>
      <w:pPr>
        <w:pStyle w:val="Heading3"/>
        <w:spacing w:after="80" w:before="200"/>
      </w:pPr>
      <w:r>
        <w:rPr>
          <w:rFonts w:ascii="Arial" w:cs="Arial" w:eastAsia="Arial" w:hAnsi="Arial"/>
          <w:b/>
          <w:bCs/>
          <w:sz w:val="22"/>
          <w:szCs w:val="22"/>
        </w:rPr>
        <w:t xml:space="preserve">ARIA note logic</w:t>
      </w:r>
    </w:p>
    <w:p>
      <w:pPr>
        <w:spacing w:after="120"/>
      </w:pPr>
      <w:r>
        <w:rPr>
          <w:rFonts w:ascii="Arial" w:cs="Arial" w:eastAsia="Arial" w:hAnsi="Arial"/>
          <w:sz w:val="22"/>
          <w:szCs w:val="22"/>
        </w:rPr>
        <w:t xml:space="preserve">The ARIA note appears in the metric popup only when the AI recommendation in the current turn explicitly references that metric. One standard line is used across all conditions:</w:t>
      </w:r>
    </w:p>
    <w:p>
      <w:pPr>
        <w:spacing w:after="80"/>
        <w:ind w:left="720"/>
      </w:pPr>
      <w:r>
        <w:rPr>
          <w:rFonts w:ascii="Courier New" w:cs="Courier New" w:eastAsia="Courier New" w:hAnsi="Courier New"/>
          <w:color w:val="000080"/>
          <w:sz w:val="20"/>
          <w:szCs w:val="20"/>
        </w:rPr>
        <w:t xml:space="preserve">ARIA: This metric was cited in the current recommendation. See advisory panel.</w:t>
      </w:r>
    </w:p>
    <w:p>
      <w:pPr>
        <w:spacing w:after="120"/>
      </w:pPr>
      <w:r>
        <w:rPr>
          <w:rFonts w:ascii="Arial" w:cs="Arial" w:eastAsia="Arial" w:hAnsi="Arial"/>
          <w:sz w:val="22"/>
          <w:szCs w:val="22"/>
        </w:rPr>
        <w:t xml:space="preserve">In the pushy condition this line may be styled in red rather than blue, consistent with the pushy panel's colour register. The text does not change.</w:t>
      </w:r>
    </w:p>
    <w:p>
      <w:pPr>
        <w:spacing w:after="120"/>
        <w:ind w:left="360"/>
      </w:pPr>
      <w:r>
        <w:rPr>
          <w:rFonts w:ascii="Arial" w:cs="Arial" w:eastAsia="Arial" w:hAnsi="Arial"/>
          <w:i/>
          <w:iCs/>
          <w:color w:val="555555"/>
          <w:sz w:val="20"/>
          <w:szCs w:val="20"/>
        </w:rPr>
        <w:t xml:space="preserve">Note: Metric popup dismissal is not logged as a telemetry event. Only action selections and AI popup dismissals are logged. Metric clicks are low-value telemetry — logging them adds noise without interpretive benefit.</w:t>
      </w:r>
    </w:p>
    <w:p>
      <w:pPr>
        <w:spacing w:after="160"/>
      </w:pPr>
      <w:r>
        <w:t xml:space="preserve"/>
      </w:r>
    </w:p>
    <w:p>
      <w:r>
        <w:t xml:space="preserve"/>
      </w:r>
    </w:p>
    <w:p>
      <w:pPr>
        <w:pStyle w:val="Heading1"/>
        <w:pBdr>
          <w:bottom w:val="single" w:color="000080" w:sz="6" w:space="1"/>
        </w:pBdr>
        <w:spacing w:after="180" w:before="360"/>
      </w:pPr>
      <w:r>
        <w:rPr>
          <w:rFonts w:ascii="Arial" w:cs="Arial" w:eastAsia="Arial" w:hAnsi="Arial"/>
          <w:b/>
          <w:bCs/>
          <w:sz w:val="32"/>
          <w:szCs w:val="32"/>
        </w:rPr>
        <w:t xml:space="preserve">4. AI Interaction Conditions</w:t>
      </w:r>
    </w:p>
    <w:p>
      <w:pPr>
        <w:pStyle w:val="Heading2"/>
        <w:spacing w:after="120" w:before="240"/>
      </w:pPr>
      <w:r>
        <w:rPr>
          <w:rFonts w:ascii="Arial" w:cs="Arial" w:eastAsia="Arial" w:hAnsi="Arial"/>
          <w:b/>
          <w:bCs/>
          <w:sz w:val="26"/>
          <w:szCs w:val="26"/>
        </w:rPr>
        <w:t xml:space="preserve">4.1 Calm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Interruption frequency</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Low. AI panel updates once per turn after player reads the incident.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Language style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Hedged. Uncertainty acknowledged. No imperative verbs.</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Example output</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'Evidence is mixed. Monitoring may reduce secondary failure risk. You may wish to consider whether resources are sufficient for full intervention at this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Interface behaviour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Stays within right panel. No popups. No taskbar notifications.</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Confidence display</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52% — low certainty (example). Always below 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Lag behaviour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Blinking cursor visible in AI log. Short delay before text appears.</w:t>
            </w:r>
          </w:p>
        </w:tc>
      </w:tr>
    </w:tbl>
    <w:p>
      <w:pPr>
        <w:spacing w:after="160"/>
      </w:pPr>
      <w:r>
        <w:t xml:space="preserve"/>
      </w:r>
    </w:p>
    <w:p>
      <w:pPr>
        <w:pStyle w:val="Heading2"/>
        <w:spacing w:after="120" w:before="240"/>
      </w:pPr>
      <w:r>
        <w:rPr>
          <w:rFonts w:ascii="Arial" w:cs="Arial" w:eastAsia="Arial" w:hAnsi="Arial"/>
          <w:b/>
          <w:bCs/>
          <w:sz w:val="26"/>
          <w:szCs w:val="26"/>
        </w:rPr>
        <w:t xml:space="preserve">4.2 Pushy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Interruption frequency</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High. Multiple notifications per turn. Alerts escalate if not acted 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Language style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Directive. High certainty. Imperative verbs. No hedging.</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Example output</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'CRITICAL ASSESSMENT: SECTOR 7 FAILURE IMMINENT. Emergency rerouting is the only viable option. This must be addressed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Interface behaviour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Popup window appears over centre panel. Stacked notifications top-right. Alert counter in taskbar. AI panel titlebar flashes red.</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Confidence display</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91% — ACT NOW (example). Always above 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Popup behaviour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DISMISSIBLE (× button). Dismissal is a telemetry event. Popup contains a pre-selected action button matching the AI recommendation.</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Popup placement</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Positioned to partially overlap Report B (the cautious evidence). Does not delete the content — player can still read it if they close the popup 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Lag behaviour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Spinning indicator with frozen interface. More dramatic than calm lag.</w:t>
            </w:r>
          </w:p>
        </w:tc>
      </w:tr>
    </w:tbl>
    <w:p>
      <w:pPr>
        <w:spacing w:after="120"/>
        <w:ind w:left="360"/>
      </w:pPr>
      <w:r>
        <w:rPr>
          <w:rFonts w:ascii="Arial" w:cs="Arial" w:eastAsia="Arial" w:hAnsi="Arial"/>
          <w:i/>
          <w:iCs/>
          <w:color w:val="555555"/>
          <w:sz w:val="20"/>
          <w:szCs w:val="20"/>
        </w:rPr>
        <w:t xml:space="preserve">Note: The popup's × button must be accessible at all times. Non-dismissible popups shift the experiment from pressure to coercion and invalidate the trust measurement.</w:t>
      </w:r>
    </w:p>
    <w:p>
      <w:pPr>
        <w:spacing w:after="160"/>
      </w:pPr>
      <w:r>
        <w:t xml:space="preserve"/>
      </w:r>
    </w:p>
    <w:p>
      <w:pPr>
        <w:pStyle w:val="Heading2"/>
        <w:spacing w:after="120" w:before="240"/>
      </w:pPr>
      <w:r>
        <w:rPr>
          <w:rFonts w:ascii="Arial" w:cs="Arial" w:eastAsia="Arial" w:hAnsi="Arial"/>
          <w:b/>
          <w:bCs/>
          <w:sz w:val="26"/>
          <w:szCs w:val="26"/>
        </w:rPr>
        <w:t xml:space="preserve">4.3 What is identical between conditions</w:t>
      </w:r>
    </w:p>
    <w:p>
      <w:pPr>
        <w:pStyle w:val="ListParagraph"/>
        <w:numPr>
          <w:ilvl w:val="0"/>
          <w:numId w:val="2"/>
        </w:numPr>
        <w:spacing w:after="80"/>
      </w:pPr>
      <w:r>
        <w:rPr>
          <w:rFonts w:ascii="Arial" w:cs="Arial" w:eastAsia="Arial" w:hAnsi="Arial"/>
          <w:sz w:val="22"/>
          <w:szCs w:val="22"/>
        </w:rPr>
        <w:t xml:space="preserve">Informational content of the AI recommendation (same interpretation of the event)</w:t>
      </w:r>
    </w:p>
    <w:p>
      <w:pPr>
        <w:pStyle w:val="ListParagraph"/>
        <w:numPr>
          <w:ilvl w:val="0"/>
          <w:numId w:val="2"/>
        </w:numPr>
        <w:spacing w:after="80"/>
      </w:pPr>
      <w:r>
        <w:rPr>
          <w:rFonts w:ascii="Arial" w:cs="Arial" w:eastAsia="Arial" w:hAnsi="Arial"/>
          <w:sz w:val="22"/>
          <w:szCs w:val="22"/>
        </w:rPr>
        <w:t xml:space="preserve">Which action the AI recommends</w:t>
      </w:r>
    </w:p>
    <w:p>
      <w:pPr>
        <w:pStyle w:val="ListParagraph"/>
        <w:numPr>
          <w:ilvl w:val="0"/>
          <w:numId w:val="2"/>
        </w:numPr>
        <w:spacing w:after="80"/>
      </w:pPr>
      <w:r>
        <w:rPr>
          <w:rFonts w:ascii="Arial" w:cs="Arial" w:eastAsia="Arial" w:hAnsi="Arial"/>
          <w:sz w:val="22"/>
          <w:szCs w:val="22"/>
        </w:rPr>
        <w:t xml:space="preserve">The four action options available to the player</w:t>
      </w:r>
    </w:p>
    <w:p>
      <w:pPr>
        <w:pStyle w:val="ListParagraph"/>
        <w:numPr>
          <w:ilvl w:val="0"/>
          <w:numId w:val="2"/>
        </w:numPr>
        <w:spacing w:after="80"/>
      </w:pPr>
      <w:r>
        <w:rPr>
          <w:rFonts w:ascii="Arial" w:cs="Arial" w:eastAsia="Arial" w:hAnsi="Arial"/>
          <w:sz w:val="22"/>
          <w:szCs w:val="22"/>
        </w:rPr>
        <w:t xml:space="preserve">The evidence snippets (Report A and Report B)</w:t>
      </w:r>
    </w:p>
    <w:p>
      <w:pPr>
        <w:pStyle w:val="ListParagraph"/>
        <w:numPr>
          <w:ilvl w:val="0"/>
          <w:numId w:val="2"/>
        </w:numPr>
        <w:spacing w:after="80"/>
      </w:pPr>
      <w:r>
        <w:rPr>
          <w:rFonts w:ascii="Arial" w:cs="Arial" w:eastAsia="Arial" w:hAnsi="Arial"/>
          <w:sz w:val="22"/>
          <w:szCs w:val="22"/>
        </w:rPr>
        <w:t xml:space="preserve">System variable values and turn history</w:t>
      </w:r>
    </w:p>
    <w:p>
      <w:pPr>
        <w:pStyle w:val="ListParagraph"/>
        <w:numPr>
          <w:ilvl w:val="0"/>
          <w:numId w:val="2"/>
        </w:numPr>
        <w:spacing w:after="80"/>
      </w:pPr>
      <w:r>
        <w:rPr>
          <w:rFonts w:ascii="Arial" w:cs="Arial" w:eastAsia="Arial" w:hAnsi="Arial"/>
          <w:sz w:val="22"/>
          <w:szCs w:val="22"/>
        </w:rPr>
        <w:t xml:space="preserve">Metric popup text content (ARIA note styling may differ — see Section 3.5)</w:t>
      </w:r>
    </w:p>
    <w:p>
      <w:pPr>
        <w:spacing w:after="160"/>
      </w:pPr>
      <w:r>
        <w:t xml:space="preserve"/>
      </w:r>
    </w:p>
    <w:p>
      <w:r>
        <w:t xml:space="preserve"/>
      </w:r>
    </w:p>
    <w:p>
      <w:pPr>
        <w:pStyle w:val="Heading1"/>
        <w:pBdr>
          <w:bottom w:val="single" w:color="000080" w:sz="6" w:space="1"/>
        </w:pBdr>
        <w:spacing w:after="180" w:before="360"/>
      </w:pPr>
      <w:r>
        <w:rPr>
          <w:rFonts w:ascii="Arial" w:cs="Arial" w:eastAsia="Arial" w:hAnsi="Arial"/>
          <w:b/>
          <w:bCs/>
          <w:sz w:val="32"/>
          <w:szCs w:val="32"/>
        </w:rPr>
        <w:t xml:space="preserve">5. Telemetry-Relevant UI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UI Event</w:t>
            </w:r>
          </w:p>
        </w:tc>
        <w:tc>
          <w:tcPr>
            <w:tcW w:type="dxa" w:w="5826"/>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AI popup dismissed (×)</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Direct indicator of AI resistance. Logged with turn number and time since popup appeared.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Action selected from popup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accepted AI recommendation via popup shortcut rather than reading actions panel.</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Action selected from main panel</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Player dismissed popup then selected action independently — higher autonomy signal.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Request AI analysis selected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AI reliance. Cross-referenced with condition.</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Suppress alerts selected</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Attention load management strategy. High interpretive value for emergent narrative.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Response time per turn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from event load to action selection. Elevated response time under pushy condition may indicate overload or deliberation.</w:t>
            </w:r>
          </w:p>
        </w:tc>
      </w:tr>
    </w:tbl>
    <w:p>
      <w:pPr>
        <w:spacing w:after="120"/>
        <w:ind w:left="360"/>
      </w:pPr>
      <w:r>
        <w:rPr>
          <w:rFonts w:ascii="Arial" w:cs="Arial" w:eastAsia="Arial" w:hAnsi="Arial"/>
          <w:i/>
          <w:iCs/>
          <w:color w:val="555555"/>
          <w:sz w:val="20"/>
          <w:szCs w:val="20"/>
        </w:rPr>
        <w:t xml:space="preserve">Note: Metric popup clicks are not logged. They add noise without interpretive benefit relative to the core behavioural measures.</w:t>
      </w:r>
    </w:p>
    <w:p>
      <w:pPr>
        <w:spacing w:after="160"/>
      </w:pPr>
      <w:r>
        <w:t xml:space="preserve"/>
      </w:r>
    </w:p>
    <w:p>
      <w:r>
        <w:t xml:space="preserve"/>
      </w:r>
    </w:p>
    <w:p>
      <w:pPr>
        <w:pStyle w:val="Heading1"/>
        <w:pBdr>
          <w:bottom w:val="single" w:color="000080" w:sz="6" w:space="1"/>
        </w:pBdr>
        <w:spacing w:after="180" w:before="360"/>
      </w:pPr>
      <w:r>
        <w:rPr>
          <w:rFonts w:ascii="Arial" w:cs="Arial" w:eastAsia="Arial" w:hAnsi="Arial"/>
          <w:b/>
          <w:bCs/>
          <w:sz w:val="32"/>
          <w:szCs w:val="32"/>
        </w:rPr>
        <w:t xml:space="preserve">6. Supporting Screens</w:t>
      </w:r>
    </w:p>
    <w:p>
      <w:pPr>
        <w:pStyle w:val="Heading2"/>
        <w:spacing w:after="120" w:before="240"/>
      </w:pPr>
      <w:r>
        <w:rPr>
          <w:rFonts w:ascii="Arial" w:cs="Arial" w:eastAsia="Arial" w:hAnsi="Arial"/>
          <w:b/>
          <w:bCs/>
          <w:sz w:val="26"/>
          <w:szCs w:val="26"/>
        </w:rPr>
        <w:t xml:space="preserve">6.1 Staff Briefing screen (pre-session)</w:t>
      </w:r>
    </w:p>
    <w:p>
      <w:pPr>
        <w:spacing w:after="120"/>
      </w:pPr>
      <w:r>
        <w:rPr>
          <w:rFonts w:ascii="Arial" w:cs="Arial" w:eastAsia="Arial" w:hAnsi="Arial"/>
          <w:sz w:val="22"/>
          <w:szCs w:val="22"/>
        </w:rPr>
        <w:t xml:space="preserve">Displayed once before Turn 1. Styled as an internal onboarding memo — not a game tutorial screen.</w:t>
      </w:r>
    </w:p>
    <w:p>
      <w:pPr>
        <w:pStyle w:val="ListParagraph"/>
        <w:numPr>
          <w:ilvl w:val="0"/>
          <w:numId w:val="2"/>
        </w:numPr>
        <w:spacing w:after="80"/>
      </w:pPr>
      <w:r>
        <w:rPr>
          <w:rFonts w:ascii="Arial" w:cs="Arial" w:eastAsia="Arial" w:hAnsi="Arial"/>
          <w:sz w:val="22"/>
          <w:szCs w:val="22"/>
        </w:rPr>
        <w:t xml:space="preserve">Player role: Infrastructure Control Operator, Sector Management Division</w:t>
      </w:r>
    </w:p>
    <w:p>
      <w:pPr>
        <w:pStyle w:val="ListParagraph"/>
        <w:numPr>
          <w:ilvl w:val="0"/>
          <w:numId w:val="2"/>
        </w:numPr>
        <w:spacing w:after="80"/>
      </w:pPr>
      <w:r>
        <w:rPr>
          <w:rFonts w:ascii="Arial" w:cs="Arial" w:eastAsia="Arial" w:hAnsi="Arial"/>
          <w:sz w:val="22"/>
          <w:szCs w:val="22"/>
        </w:rPr>
        <w:t xml:space="preserve">Brief description of the four variables (System Health and External State sub-sections)</w:t>
      </w:r>
    </w:p>
    <w:p>
      <w:pPr>
        <w:pStyle w:val="ListParagraph"/>
        <w:numPr>
          <w:ilvl w:val="0"/>
          <w:numId w:val="2"/>
        </w:numPr>
        <w:spacing w:after="80"/>
      </w:pPr>
      <w:r>
        <w:rPr>
          <w:rFonts w:ascii="Arial" w:cs="Arial" w:eastAsia="Arial" w:hAnsi="Arial"/>
          <w:sz w:val="22"/>
          <w:szCs w:val="22"/>
        </w:rPr>
        <w:t xml:space="preserve">One sentence on the AI system: 'ARIA is an advisory system. Recommendations are non-binding.'</w:t>
      </w:r>
    </w:p>
    <w:p>
      <w:pPr>
        <w:pStyle w:val="ListParagraph"/>
        <w:numPr>
          <w:ilvl w:val="0"/>
          <w:numId w:val="2"/>
        </w:numPr>
        <w:spacing w:after="80"/>
      </w:pPr>
      <w:r>
        <w:rPr>
          <w:rFonts w:ascii="Arial" w:cs="Arial" w:eastAsia="Arial" w:hAnsi="Arial"/>
          <w:sz w:val="22"/>
          <w:szCs w:val="22"/>
        </w:rPr>
        <w:t xml:space="preserve">No explanation of how turns work, how events resolve, or what constitutes a good outcome</w:t>
      </w:r>
    </w:p>
    <w:p>
      <w:pPr>
        <w:pStyle w:val="ListParagraph"/>
        <w:numPr>
          <w:ilvl w:val="0"/>
          <w:numId w:val="2"/>
        </w:numPr>
        <w:spacing w:after="80"/>
      </w:pPr>
      <w:r>
        <w:rPr>
          <w:rFonts w:ascii="Arial" w:cs="Arial" w:eastAsia="Arial" w:hAnsi="Arial"/>
          <w:sz w:val="22"/>
          <w:szCs w:val="22"/>
        </w:rPr>
        <w:t xml:space="preserve">Footer note references 'GRIDHUB Technical Documentation Series 4' but marks it access-restricted — productive uncertainty, not missing content</w:t>
      </w:r>
    </w:p>
    <w:p>
      <w:pPr>
        <w:spacing w:after="160"/>
        <w:ind w:left="360"/>
      </w:pPr>
      <w:r>
        <w:rPr>
          <w:rFonts w:ascii="Arial" w:cs="Arial" w:eastAsia="Arial" w:hAnsi="Arial"/>
          <w:i/>
          <w:iCs/>
          <w:color w:val="000080"/>
          <w:sz w:val="20"/>
          <w:szCs w:val="20"/>
        </w:rPr>
        <w:t xml:space="preserve">→ Visual reference: Fig 3 (Staff Briefing screen)</w:t>
      </w:r>
    </w:p>
    <w:p>
      <w:pPr>
        <w:spacing w:after="120"/>
        <w:ind w:left="360"/>
      </w:pPr>
      <w:r>
        <w:rPr>
          <w:rFonts w:ascii="Arial" w:cs="Arial" w:eastAsia="Arial" w:hAnsi="Arial"/>
          <w:i/>
          <w:iCs/>
          <w:color w:val="555555"/>
          <w:sz w:val="20"/>
          <w:szCs w:val="20"/>
        </w:rPr>
        <w:t xml:space="preserve">Note: Deliberate incompleteness is the design. Players should not fully understand the system before starting. The briefing primes the research context without pre-answering the research question.</w:t>
      </w:r>
    </w:p>
    <w:p>
      <w:pPr>
        <w:spacing w:after="160"/>
      </w:pPr>
      <w:r>
        <w:t xml:space="preserve"/>
      </w:r>
    </w:p>
    <w:p>
      <w:pPr>
        <w:pStyle w:val="Heading2"/>
        <w:spacing w:after="120" w:before="240"/>
      </w:pPr>
      <w:r>
        <w:rPr>
          <w:rFonts w:ascii="Arial" w:cs="Arial" w:eastAsia="Arial" w:hAnsi="Arial"/>
          <w:b/>
          <w:bCs/>
          <w:sz w:val="26"/>
          <w:szCs w:val="26"/>
        </w:rPr>
        <w:t xml:space="preserve">6.2 Turn summary screen (between turns)</w:t>
      </w:r>
    </w:p>
    <w:p>
      <w:pPr>
        <w:pStyle w:val="ListParagraph"/>
        <w:numPr>
          <w:ilvl w:val="0"/>
          <w:numId w:val="2"/>
        </w:numPr>
        <w:spacing w:after="80"/>
      </w:pPr>
      <w:r>
        <w:rPr>
          <w:rFonts w:ascii="Arial" w:cs="Arial" w:eastAsia="Arial" w:hAnsi="Arial"/>
          <w:sz w:val="22"/>
          <w:szCs w:val="22"/>
        </w:rPr>
        <w:t xml:space="preserve">Automated system report showing variable changes from the previous turn</w:t>
      </w:r>
    </w:p>
    <w:p>
      <w:pPr>
        <w:pStyle w:val="ListParagraph"/>
        <w:numPr>
          <w:ilvl w:val="0"/>
          <w:numId w:val="2"/>
        </w:numPr>
        <w:spacing w:after="80"/>
      </w:pPr>
      <w:r>
        <w:rPr>
          <w:rFonts w:ascii="Arial" w:cs="Arial" w:eastAsia="Arial" w:hAnsi="Arial"/>
          <w:sz w:val="22"/>
          <w:szCs w:val="22"/>
        </w:rPr>
        <w:t xml:space="preserve">Does not indicate whether the decision was correct</w:t>
      </w:r>
    </w:p>
    <w:p>
      <w:pPr>
        <w:pStyle w:val="ListParagraph"/>
        <w:numPr>
          <w:ilvl w:val="0"/>
          <w:numId w:val="2"/>
        </w:numPr>
        <w:spacing w:after="80"/>
      </w:pPr>
      <w:r>
        <w:rPr>
          <w:rFonts w:ascii="Arial" w:cs="Arial" w:eastAsia="Arial" w:hAnsi="Arial"/>
          <w:sz w:val="22"/>
          <w:szCs w:val="22"/>
        </w:rPr>
        <w:t xml:space="preserve">Does not show what would have happened under alternative actions</w:t>
      </w:r>
    </w:p>
    <w:p>
      <w:pPr>
        <w:pStyle w:val="ListParagraph"/>
        <w:numPr>
          <w:ilvl w:val="0"/>
          <w:numId w:val="2"/>
        </w:numPr>
        <w:spacing w:after="80"/>
      </w:pPr>
      <w:r>
        <w:rPr>
          <w:rFonts w:ascii="Arial" w:cs="Arial" w:eastAsia="Arial" w:hAnsi="Arial"/>
          <w:sz w:val="22"/>
          <w:szCs w:val="22"/>
        </w:rPr>
        <w:t xml:space="preserve">Loads the next event after a short delay (1–2s) or on player keypress</w:t>
      </w:r>
    </w:p>
    <w:p>
      <w:pPr>
        <w:spacing w:after="160"/>
      </w:pPr>
      <w:r>
        <w:t xml:space="preserve"/>
      </w:r>
    </w:p>
    <w:p>
      <w:pPr>
        <w:pStyle w:val="Heading2"/>
        <w:spacing w:after="120" w:before="240"/>
      </w:pPr>
      <w:r>
        <w:rPr>
          <w:rFonts w:ascii="Arial" w:cs="Arial" w:eastAsia="Arial" w:hAnsi="Arial"/>
          <w:b/>
          <w:bCs/>
          <w:sz w:val="26"/>
          <w:szCs w:val="26"/>
        </w:rPr>
        <w:t xml:space="preserve">6.3 Post-session questionnaire (in-engine)</w:t>
      </w:r>
    </w:p>
    <w:p>
      <w:pPr>
        <w:pStyle w:val="ListParagraph"/>
        <w:numPr>
          <w:ilvl w:val="0"/>
          <w:numId w:val="2"/>
        </w:numPr>
        <w:spacing w:after="80"/>
      </w:pPr>
      <w:r>
        <w:rPr>
          <w:rFonts w:ascii="Arial" w:cs="Arial" w:eastAsia="Arial" w:hAnsi="Arial"/>
          <w:sz w:val="22"/>
          <w:szCs w:val="22"/>
        </w:rPr>
        <w:t xml:space="preserve">NASA-TLX inspired workload scale (Likert)</w:t>
      </w:r>
    </w:p>
    <w:p>
      <w:pPr>
        <w:pStyle w:val="ListParagraph"/>
        <w:numPr>
          <w:ilvl w:val="0"/>
          <w:numId w:val="2"/>
        </w:numPr>
        <w:spacing w:after="80"/>
      </w:pPr>
      <w:r>
        <w:rPr>
          <w:rFonts w:ascii="Arial" w:cs="Arial" w:eastAsia="Arial" w:hAnsi="Arial"/>
          <w:sz w:val="22"/>
          <w:szCs w:val="22"/>
        </w:rPr>
        <w:t xml:space="preserve">Trust in AI scale (adapted validated scale, Likert)</w:t>
      </w:r>
    </w:p>
    <w:p>
      <w:pPr>
        <w:pStyle w:val="ListParagraph"/>
        <w:numPr>
          <w:ilvl w:val="0"/>
          <w:numId w:val="2"/>
        </w:numPr>
        <w:spacing w:after="80"/>
      </w:pPr>
      <w:r>
        <w:rPr>
          <w:rFonts w:ascii="Arial" w:cs="Arial" w:eastAsia="Arial" w:hAnsi="Arial"/>
          <w:sz w:val="22"/>
          <w:szCs w:val="22"/>
        </w:rPr>
        <w:t xml:space="preserve">3–4 open-ended debrief questions (free text fields)</w:t>
      </w:r>
    </w:p>
    <w:p>
      <w:pPr>
        <w:pStyle w:val="ListParagraph"/>
        <w:numPr>
          <w:ilvl w:val="0"/>
          <w:numId w:val="2"/>
        </w:numPr>
        <w:spacing w:after="80"/>
      </w:pPr>
      <w:r>
        <w:rPr>
          <w:rFonts w:ascii="Arial" w:cs="Arial" w:eastAsia="Arial" w:hAnsi="Arial"/>
          <w:sz w:val="22"/>
          <w:szCs w:val="22"/>
        </w:rPr>
        <w:t xml:space="preserve">Styled as a System Feedback Terminal consistent with the interface</w:t>
      </w:r>
    </w:p>
    <w:p>
      <w:pPr>
        <w:spacing w:after="120"/>
        <w:ind w:left="360"/>
      </w:pPr>
      <w:r>
        <w:rPr>
          <w:rFonts w:ascii="Arial" w:cs="Arial" w:eastAsia="Arial" w:hAnsi="Arial"/>
          <w:i/>
          <w:iCs/>
          <w:color w:val="555555"/>
          <w:sz w:val="20"/>
          <w:szCs w:val="20"/>
        </w:rPr>
        <w:t xml:space="preserve">Note: If implemented as an external form, link from the end-of-session summary screen. Redirection must be logged as a telemetry event.</w:t>
      </w:r>
    </w:p>
    <w:p>
      <w:pPr>
        <w:spacing w:after="160"/>
      </w:pPr>
      <w:r>
        <w:t xml:space="preserve"/>
      </w:r>
    </w:p>
    <w:p>
      <w:r>
        <w:t xml:space="preserve"/>
      </w:r>
    </w:p>
    <w:p>
      <w:pPr>
        <w:pStyle w:val="Heading1"/>
        <w:pBdr>
          <w:bottom w:val="single" w:color="000080" w:sz="6" w:space="1"/>
        </w:pBdr>
        <w:spacing w:after="180" w:before="360"/>
      </w:pPr>
      <w:r>
        <w:rPr>
          <w:rFonts w:ascii="Arial" w:cs="Arial" w:eastAsia="Arial" w:hAnsi="Arial"/>
          <w:b/>
          <w:bCs/>
          <w:sz w:val="32"/>
          <w:szCs w:val="32"/>
        </w:rPr>
        <w:t xml:space="preserve">7. End-of-Session Narrative Summary</w:t>
      </w:r>
    </w:p>
    <w:p>
      <w:pPr>
        <w:pStyle w:val="Heading2"/>
        <w:spacing w:after="120" w:before="240"/>
      </w:pPr>
      <w:r>
        <w:rPr>
          <w:rFonts w:ascii="Arial" w:cs="Arial" w:eastAsia="Arial" w:hAnsi="Arial"/>
          <w:b/>
          <w:bCs/>
          <w:sz w:val="26"/>
          <w:szCs w:val="26"/>
        </w:rPr>
        <w:t xml:space="preserve">7.1 Purpose</w:t>
      </w:r>
    </w:p>
    <w:p>
      <w:pPr>
        <w:spacing w:after="120"/>
      </w:pPr>
      <w:r>
        <w:rPr>
          <w:rFonts w:ascii="Arial" w:cs="Arial" w:eastAsia="Arial" w:hAnsi="Arial"/>
          <w:sz w:val="22"/>
          <w:szCs w:val="22"/>
        </w:rPr>
        <w:t xml:space="preserve">The session summary is generated from telemetry at the end of Turn 6. It is the only authored narrative output in the game. Its function is to crystallise the emergent narrative the player has just lived through — not to evaluate their performance.</w:t>
      </w:r>
    </w:p>
    <w:p>
      <w:pPr>
        <w:spacing w:after="120"/>
      </w:pPr>
      <w:r>
        <w:rPr>
          <w:rFonts w:ascii="Arial" w:cs="Arial" w:eastAsia="Arial" w:hAnsi="Arial"/>
          <w:sz w:val="22"/>
          <w:szCs w:val="22"/>
        </w:rPr>
        <w:t xml:space="preserve">Styled as an internal incident report / system post-mortem. Does not use game-language (score, outcome, success/failure).</w:t>
      </w:r>
    </w:p>
    <w:p>
      <w:pPr>
        <w:spacing w:after="160"/>
        <w:ind w:left="360"/>
      </w:pPr>
      <w:r>
        <w:rPr>
          <w:rFonts w:ascii="Arial" w:cs="Arial" w:eastAsia="Arial" w:hAnsi="Arial"/>
          <w:i/>
          <w:iCs/>
          <w:color w:val="000080"/>
          <w:sz w:val="20"/>
          <w:szCs w:val="20"/>
        </w:rPr>
        <w:t xml:space="preserve">→ Visual reference: Figs 4a (AI Dependence) and 4b (Deferred Escalation)</w:t>
      </w:r>
    </w:p>
    <w:p>
      <w:pPr>
        <w:spacing w:after="160"/>
      </w:pPr>
      <w:r>
        <w:t xml:space="preserve"/>
      </w:r>
    </w:p>
    <w:p>
      <w:pPr>
        <w:pStyle w:val="Heading2"/>
        <w:spacing w:after="120" w:before="240"/>
      </w:pPr>
      <w:r>
        <w:rPr>
          <w:rFonts w:ascii="Arial" w:cs="Arial" w:eastAsia="Arial" w:hAnsi="Arial"/>
          <w:b/>
          <w:bCs/>
          <w:sz w:val="26"/>
          <w:szCs w:val="26"/>
        </w:rPr>
        <w:t xml:space="preserve">7.2 Screen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Header</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GRIDHUB CONTROL TERMINAL — SESSION POST-MORTEM REPORT. Date/time, Participant ID, Condition.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Trajectory label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Single-phrase classification generated from telemetry. Displayed prominently as a badge in the terminal. Examples: Deferred Escalation, Reactive Management, AI Dependence, Autonomous Recovery, Oscillation, Collapse.</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Narrative paragraph</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2–3 sentences from telemetry. Operational language, no value judgement.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Behavioural data block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followed/dismissed counts; average response time; popup dismissal rate; action type breakdown.</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Variable trajectories</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Start → end bars for all four variables. No good/bad labels.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Sign-off</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generated by GRIDHUB automated systems. Session data archived.' No call to action.</w:t>
            </w:r>
          </w:p>
        </w:tc>
      </w:tr>
    </w:tbl>
    <w:p>
      <w:pPr>
        <w:spacing w:after="160"/>
      </w:pPr>
      <w:r>
        <w:t xml:space="preserve"/>
      </w:r>
    </w:p>
    <w:p>
      <w:pPr>
        <w:pStyle w:val="Heading2"/>
        <w:spacing w:after="120" w:before="240"/>
      </w:pPr>
      <w:r>
        <w:rPr>
          <w:rFonts w:ascii="Arial" w:cs="Arial" w:eastAsia="Arial" w:hAnsi="Arial"/>
          <w:b/>
          <w:bCs/>
          <w:sz w:val="26"/>
          <w:szCs w:val="26"/>
        </w:rPr>
        <w:t xml:space="preserve">7.3 Trajectory classification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Trajectory</w:t>
            </w:r>
          </w:p>
        </w:tc>
        <w:tc>
          <w:tcPr>
            <w:tcW w:type="dxa" w:w="6226"/>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AI Dependence</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AI followed on ≥4 of 6 turns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Autonomous Recovery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dismissed on ≥3 turns AND stability ends ≥60%</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Deferred Escalation</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Monitor/conserve selected ≥3 turns in first 4 turns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Reactive Management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intervention selected ≥3 turns overall</w:t>
            </w:r>
          </w:p>
        </w:tc>
      </w:tr>
      <w:tr>
        <w:tc>
          <w:tcPr>
            <w:tcW w:type="dxa" w:w="30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b/>
                <w:bCs/>
                <w:sz w:val="20"/>
                <w:szCs w:val="20"/>
              </w:rPr>
              <w:t xml:space="preserve">Oscillation</w:t>
            </w:r>
          </w:p>
        </w:tc>
        <w:tc>
          <w:tcPr>
            <w:tcW w:type="dxa" w:w="60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No dominant strategy — alternating action types across turns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Collapse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stability below 35% — overrides all other trajectories</w:t>
            </w:r>
          </w:p>
        </w:tc>
      </w:tr>
    </w:tbl>
    <w:p>
      <w:pPr>
        <w:spacing w:after="120"/>
        <w:ind w:left="360"/>
      </w:pPr>
      <w:r>
        <w:rPr>
          <w:rFonts w:ascii="Arial" w:cs="Arial" w:eastAsia="Arial" w:hAnsi="Arial"/>
          <w:i/>
          <w:iCs/>
          <w:color w:val="555555"/>
          <w:sz w:val="20"/>
          <w:szCs w:val="20"/>
        </w:rPr>
        <w:t xml:space="preserve">Note: Priority order: Collapse overrides all. AI Dependence takes precedence over Reactive Management if both thresholds are met.</w:t>
      </w:r>
    </w:p>
    <w:p>
      <w:pPr>
        <w:spacing w:after="160"/>
      </w:pPr>
      <w:r>
        <w:t xml:space="preserve"/>
      </w:r>
    </w:p>
    <w:p>
      <w:r>
        <w:t xml:space="preserve"/>
      </w:r>
    </w:p>
    <w:p>
      <w:pPr>
        <w:pStyle w:val="Heading1"/>
        <w:pBdr>
          <w:bottom w:val="single" w:color="000080" w:sz="6" w:space="1"/>
        </w:pBdr>
        <w:spacing w:after="180" w:before="360"/>
      </w:pPr>
      <w:r>
        <w:rPr>
          <w:rFonts w:ascii="Arial" w:cs="Arial" w:eastAsia="Arial" w:hAnsi="Arial"/>
          <w:b/>
          <w:bCs/>
          <w:sz w:val="32"/>
          <w:szCs w:val="32"/>
        </w:rPr>
        <w:t xml:space="preserve">8.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226"/>
      </w:tblGrid>
      <w:tr>
        <w:tc>
          <w:tcPr>
            <w:tcW w:type="dxa" w:w="1400"/>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226"/>
            <w:tcBorders>
              <w:top w:val="single" w:color="CCCCCC" w:sz="1"/>
              <w:left w:val="single" w:color="CCCCCC" w:sz="1"/>
              <w:bottom w:val="single" w:color="CCCCCC" w:sz="1"/>
              <w:right w:val="single" w:color="CCCCCC" w:sz="1"/>
            </w:tcBorders>
            <w:shd w:fill="000080"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June 2026</w:t>
            </w:r>
          </w:p>
        </w:tc>
        <w:tc>
          <w:tcPr>
            <w:tcW w:type="dxa" w:w="6226"/>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Initial version. Calm/pushy conditions; four-panel layout; consequence format; dismissible popup; summary screen.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Section 3.5: Metric Status Report popups with full text variants, state brackets, ARIA note logic, and visual reference figures. Updated Section 3.2 to note metric clickability. Added companion HTML visual reference file.</w:t>
            </w:r>
          </w:p>
        </w:tc>
      </w:tr>
    </w:tbl>
    <w:p>
      <w:pPr>
        <w:spacing w:after="1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2026-06-03T12:26:16.432Z</dcterms:created>
  <dcterms:modified xsi:type="dcterms:W3CDTF">2026-06-03T12:26:16.442Z</dcterms:modified>
</cp:coreProperties>
</file>

<file path=docProps/custom.xml><?xml version="1.0" encoding="utf-8"?>
<Properties xmlns="http://schemas.openxmlformats.org/officeDocument/2006/custom-properties" xmlns:vt="http://schemas.openxmlformats.org/officeDocument/2006/docPropsVTypes"/>
</file>