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2D5A" w14:textId="77777777" w:rsidR="00E727F6" w:rsidRDefault="001615AE">
      <w:r>
        <w:rPr>
          <w:rFonts w:ascii="Cambria" w:hAnsi="Cambria"/>
          <w:color w:val="000000"/>
        </w:rPr>
        <w:t xml:space="preserve">Problematising the typology of comparison: The lexicalisation of implicit comparison </w:t>
      </w:r>
    </w:p>
    <w:p w14:paraId="0205CFAF" w14:textId="074D5880" w:rsidR="00E727F6" w:rsidRDefault="001615AE">
      <w:r>
        <w:rPr>
          <w:rFonts w:ascii="Cambria" w:hAnsi="Cambria"/>
          <w:color w:val="000000"/>
        </w:rPr>
        <w:t>Naomi Peck, Johannes Gutenberg-</w:t>
      </w:r>
      <w:r>
        <w:rPr>
          <w:rFonts w:ascii="Cambria" w:hAnsi="Cambria"/>
          <w:color w:val="000000"/>
        </w:rPr>
        <w:t>Universit</w:t>
      </w:r>
      <w:r>
        <w:rPr>
          <w:rFonts w:ascii="Cambria" w:hAnsi="Cambria"/>
          <w:color w:val="000000"/>
          <w:lang w:val="en-AU"/>
        </w:rPr>
        <w:t>ät</w:t>
      </w:r>
      <w:bookmarkStart w:id="0" w:name="_GoBack"/>
      <w:bookmarkEnd w:id="0"/>
      <w:r>
        <w:rPr>
          <w:rFonts w:ascii="Cambria" w:hAnsi="Cambria"/>
          <w:color w:val="000000"/>
        </w:rPr>
        <w:t xml:space="preserve"> Mainz</w:t>
      </w:r>
    </w:p>
    <w:p w14:paraId="33FD14F6" w14:textId="77777777" w:rsidR="00E727F6" w:rsidRDefault="00E727F6">
      <w:pPr>
        <w:rPr>
          <w:rFonts w:ascii="Cambria" w:hAnsi="Cambria" w:hint="eastAsia"/>
          <w:color w:val="000000"/>
        </w:rPr>
      </w:pPr>
    </w:p>
    <w:p w14:paraId="0F19F78A" w14:textId="77777777" w:rsidR="00E727F6" w:rsidRDefault="001615AE">
      <w:r>
        <w:rPr>
          <w:rFonts w:ascii="Cambria" w:hAnsi="Cambria"/>
          <w:color w:val="000000"/>
          <w:lang w:val="en-AU"/>
        </w:rPr>
        <w:t xml:space="preserve">Comparison is frequently expressed with morphosyntactic constructions that are more marked than the associated positive concept (Jakobson 1971, </w:t>
      </w:r>
      <w:proofErr w:type="spellStart"/>
      <w:r>
        <w:rPr>
          <w:rFonts w:ascii="Cambria" w:hAnsi="Cambria"/>
          <w:color w:val="000000"/>
          <w:lang w:val="en-AU"/>
        </w:rPr>
        <w:t>Bobaljik</w:t>
      </w:r>
      <w:proofErr w:type="spellEnd"/>
      <w:r>
        <w:rPr>
          <w:rFonts w:ascii="Cambria" w:hAnsi="Cambria"/>
          <w:color w:val="000000"/>
          <w:lang w:val="en-AU"/>
        </w:rPr>
        <w:t xml:space="preserve"> 2012). For example, English has the comparative </w:t>
      </w:r>
      <w:r>
        <w:rPr>
          <w:rFonts w:ascii="Cambria" w:hAnsi="Cambria"/>
          <w:i/>
          <w:iCs/>
          <w:color w:val="000000"/>
          <w:lang w:val="en-AU"/>
        </w:rPr>
        <w:t>tall</w:t>
      </w:r>
      <w:r>
        <w:rPr>
          <w:rFonts w:ascii="Cambria" w:hAnsi="Cambria"/>
          <w:b/>
          <w:bCs/>
          <w:i/>
          <w:iCs/>
          <w:color w:val="000000"/>
          <w:lang w:val="en-AU"/>
        </w:rPr>
        <w:t>er</w:t>
      </w:r>
      <w:r>
        <w:rPr>
          <w:rFonts w:ascii="Cambria" w:hAnsi="Cambria"/>
          <w:color w:val="000000"/>
          <w:lang w:val="en-AU"/>
        </w:rPr>
        <w:t xml:space="preserve">, compared to the positive </w:t>
      </w:r>
      <w:r>
        <w:rPr>
          <w:rFonts w:ascii="Cambria" w:hAnsi="Cambria"/>
          <w:i/>
          <w:iCs/>
          <w:color w:val="000000"/>
          <w:lang w:val="en-AU"/>
        </w:rPr>
        <w:t>tall</w:t>
      </w:r>
      <w:r>
        <w:rPr>
          <w:rFonts w:ascii="Cambria" w:hAnsi="Cambria"/>
          <w:color w:val="000000"/>
          <w:lang w:val="en-AU"/>
        </w:rPr>
        <w:t xml:space="preserve">, and variants of </w:t>
      </w:r>
      <w:r>
        <w:rPr>
          <w:rFonts w:ascii="Cambria" w:hAnsi="Cambria"/>
          <w:color w:val="000000"/>
          <w:lang w:val="en-AU"/>
        </w:rPr>
        <w:t xml:space="preserve">this markedness pattern are not uncommon. This poster discusses and accounts for instances in which the comparative is instead less marked than the positive, focusing on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>, a Tibeto-Burman language of Bhutan (</w:t>
      </w:r>
      <w:proofErr w:type="spellStart"/>
      <w:r>
        <w:rPr>
          <w:rFonts w:ascii="Cambria" w:hAnsi="Cambria"/>
          <w:color w:val="000000"/>
          <w:lang w:val="en-AU"/>
        </w:rPr>
        <w:t>cf</w:t>
      </w:r>
      <w:proofErr w:type="spellEnd"/>
      <w:r>
        <w:rPr>
          <w:rFonts w:ascii="Cambria" w:hAnsi="Cambria"/>
          <w:color w:val="000000"/>
          <w:lang w:val="en-AU"/>
        </w:rPr>
        <w:t xml:space="preserve"> van </w:t>
      </w:r>
      <w:proofErr w:type="spellStart"/>
      <w:r>
        <w:rPr>
          <w:rFonts w:ascii="Cambria" w:hAnsi="Cambria"/>
          <w:color w:val="000000"/>
          <w:lang w:val="en-AU"/>
        </w:rPr>
        <w:t>Driem</w:t>
      </w:r>
      <w:proofErr w:type="spellEnd"/>
      <w:r>
        <w:rPr>
          <w:rFonts w:ascii="Cambria" w:hAnsi="Cambria"/>
          <w:color w:val="000000"/>
          <w:lang w:val="en-AU"/>
        </w:rPr>
        <w:t xml:space="preserve"> 2015), as seen in (1). </w:t>
      </w:r>
    </w:p>
    <w:p w14:paraId="723A2F43" w14:textId="77777777" w:rsidR="00E727F6" w:rsidRDefault="00E727F6">
      <w:pPr>
        <w:rPr>
          <w:rFonts w:ascii="Cambria" w:hAnsi="Cambria" w:hint="eastAsia"/>
          <w:color w:val="000000"/>
        </w:rPr>
      </w:pPr>
    </w:p>
    <w:p w14:paraId="3D341E24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  <w:lang w:val="en-AU"/>
        </w:rPr>
        <w:t>Th</w:t>
      </w:r>
      <w:r>
        <w:rPr>
          <w:rFonts w:ascii="Cambria" w:hAnsi="Cambria"/>
          <w:color w:val="000000"/>
          <w:lang w:val="en-AU"/>
        </w:rPr>
        <w:t xml:space="preserve">e morphologically unmarked forms of property concepts in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 xml:space="preserve"> necessarily have a comparative interpretation, which is not as surprising as we might expect. The use of any gradable property concept includes, at least pragmatically, comparison to an enti</w:t>
      </w:r>
      <w:r>
        <w:rPr>
          <w:rFonts w:ascii="Cambria" w:hAnsi="Cambria"/>
          <w:color w:val="000000"/>
          <w:lang w:val="en-AU"/>
        </w:rPr>
        <w:t xml:space="preserve">ty that does not meet the criteria for description by that property concept: nothing is </w:t>
      </w:r>
      <w:r>
        <w:rPr>
          <w:rFonts w:ascii="Cambria" w:hAnsi="Cambria"/>
          <w:i/>
          <w:iCs/>
          <w:color w:val="000000"/>
          <w:lang w:val="en-AU"/>
        </w:rPr>
        <w:t>cheap</w:t>
      </w:r>
      <w:r>
        <w:rPr>
          <w:rFonts w:ascii="Cambria" w:hAnsi="Cambria"/>
          <w:color w:val="000000"/>
          <w:lang w:val="en-AU"/>
        </w:rPr>
        <w:t xml:space="preserve"> without something else being </w:t>
      </w:r>
      <w:r>
        <w:rPr>
          <w:rFonts w:ascii="Cambria" w:hAnsi="Cambria"/>
          <w:i/>
          <w:iCs/>
          <w:color w:val="000000"/>
          <w:lang w:val="en-AU"/>
        </w:rPr>
        <w:t>expensive</w:t>
      </w:r>
      <w:r>
        <w:rPr>
          <w:rFonts w:ascii="Cambria" w:hAnsi="Cambria"/>
          <w:color w:val="000000"/>
          <w:lang w:val="en-AU"/>
        </w:rPr>
        <w:t>, for instance (2). This is because gradable property concepts are conceptualised with ‘cut-off points’, as represented in (</w:t>
      </w:r>
      <w:r>
        <w:rPr>
          <w:rFonts w:ascii="Cambria" w:hAnsi="Cambria"/>
          <w:color w:val="000000"/>
          <w:lang w:val="en-AU"/>
        </w:rPr>
        <w:t xml:space="preserve">3): some things are not tall, some things are not cheap. </w:t>
      </w:r>
    </w:p>
    <w:p w14:paraId="13752E36" w14:textId="77777777" w:rsidR="00E727F6" w:rsidRDefault="00E727F6">
      <w:pPr>
        <w:rPr>
          <w:rFonts w:ascii="Cambria" w:hAnsi="Cambria" w:hint="eastAsia"/>
          <w:color w:val="000000"/>
        </w:rPr>
      </w:pPr>
    </w:p>
    <w:p w14:paraId="117A8D02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  <w:lang w:val="en-AU"/>
        </w:rPr>
        <w:t xml:space="preserve">Languages of the world commonly express comparison explicitly (Stassen 1985). This may involve markers of the standard (e.g. </w:t>
      </w:r>
      <w:r>
        <w:rPr>
          <w:rFonts w:ascii="Cambria" w:hAnsi="Cambria"/>
          <w:i/>
          <w:iCs/>
          <w:color w:val="000000"/>
          <w:lang w:val="en-AU"/>
        </w:rPr>
        <w:t xml:space="preserve">taller </w:t>
      </w:r>
      <w:r>
        <w:rPr>
          <w:rFonts w:ascii="Cambria" w:hAnsi="Cambria"/>
          <w:b/>
          <w:bCs/>
          <w:i/>
          <w:iCs/>
          <w:color w:val="000000"/>
          <w:lang w:val="en-AU"/>
        </w:rPr>
        <w:t>than</w:t>
      </w:r>
      <w:r>
        <w:rPr>
          <w:rFonts w:ascii="Cambria" w:hAnsi="Cambria"/>
          <w:color w:val="000000"/>
          <w:lang w:val="en-AU"/>
        </w:rPr>
        <w:t>) or degree markers modifying the property, as above. However</w:t>
      </w:r>
      <w:r>
        <w:rPr>
          <w:rFonts w:ascii="Cambria" w:hAnsi="Cambria"/>
          <w:color w:val="000000"/>
          <w:lang w:val="en-AU"/>
        </w:rPr>
        <w:t xml:space="preserve">, many languages of Australia, Melanesia and the Americas encode comparison with conjunct strategies that implicitly encode this concept (Stassen 2013, </w:t>
      </w:r>
      <w:proofErr w:type="spellStart"/>
      <w:r>
        <w:rPr>
          <w:rFonts w:ascii="Cambria" w:hAnsi="Cambria"/>
          <w:color w:val="000000"/>
          <w:lang w:val="en-AU"/>
        </w:rPr>
        <w:t>Schapper</w:t>
      </w:r>
      <w:proofErr w:type="spellEnd"/>
      <w:r>
        <w:rPr>
          <w:rFonts w:ascii="Cambria" w:hAnsi="Cambria"/>
          <w:color w:val="000000"/>
          <w:lang w:val="en-AU"/>
        </w:rPr>
        <w:t xml:space="preserve"> and de Vries 2018; (4)). In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>, where comparison is encoded in the lexicalisation of prop</w:t>
      </w:r>
      <w:r>
        <w:rPr>
          <w:rFonts w:ascii="Cambria" w:hAnsi="Cambria"/>
          <w:color w:val="000000"/>
          <w:lang w:val="en-AU"/>
        </w:rPr>
        <w:t xml:space="preserve">erty concepts ((1)), implicit comparison is found in a sole clause without the use of a conjunct strategy. This implies that the field of reference for property concepts in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 xml:space="preserve"> includes entities that do not meet the criteria for description by that pr</w:t>
      </w:r>
      <w:r>
        <w:rPr>
          <w:rFonts w:ascii="Cambria" w:hAnsi="Cambria"/>
          <w:color w:val="000000"/>
          <w:lang w:val="en-AU"/>
        </w:rPr>
        <w:t xml:space="preserve">operty concept – i.e. asserting that something is </w:t>
      </w:r>
      <w:r>
        <w:rPr>
          <w:rFonts w:ascii="Cambria" w:hAnsi="Cambria"/>
          <w:i/>
          <w:iCs/>
          <w:color w:val="000000"/>
          <w:lang w:val="en-AU"/>
        </w:rPr>
        <w:t>tall</w:t>
      </w:r>
      <w:r>
        <w:rPr>
          <w:rFonts w:ascii="Cambria" w:hAnsi="Cambria"/>
          <w:color w:val="000000"/>
          <w:lang w:val="en-AU"/>
        </w:rPr>
        <w:t xml:space="preserve"> or </w:t>
      </w:r>
      <w:r>
        <w:rPr>
          <w:rFonts w:ascii="Cambria" w:hAnsi="Cambria"/>
          <w:i/>
          <w:iCs/>
          <w:color w:val="000000"/>
          <w:lang w:val="en-AU"/>
        </w:rPr>
        <w:t>taller</w:t>
      </w:r>
      <w:r>
        <w:rPr>
          <w:rFonts w:ascii="Cambria" w:hAnsi="Cambria"/>
          <w:color w:val="000000"/>
          <w:lang w:val="en-AU"/>
        </w:rPr>
        <w:t xml:space="preserve"> makes covert reference to things which are not – </w:t>
      </w:r>
      <w:r>
        <w:rPr>
          <w:rFonts w:ascii="Cambria" w:hAnsi="Cambria"/>
          <w:color w:val="000000"/>
          <w:lang w:val="en-AU"/>
        </w:rPr>
        <w:t>in contrast to more commonly discussed strategies involving comparison.</w:t>
      </w:r>
    </w:p>
    <w:p w14:paraId="258052D4" w14:textId="77777777" w:rsidR="00E727F6" w:rsidRDefault="00E727F6">
      <w:pPr>
        <w:rPr>
          <w:rFonts w:ascii="Cambria" w:hAnsi="Cambria" w:hint="eastAsia"/>
          <w:color w:val="000000"/>
        </w:rPr>
      </w:pPr>
    </w:p>
    <w:p w14:paraId="46F66555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  <w:lang w:val="en-AU"/>
        </w:rPr>
        <w:t xml:space="preserve">The implicit comparison found in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 xml:space="preserve"> shows that the field of ref</w:t>
      </w:r>
      <w:r>
        <w:rPr>
          <w:rFonts w:ascii="Cambria" w:hAnsi="Cambria"/>
          <w:color w:val="000000"/>
          <w:lang w:val="en-AU"/>
        </w:rPr>
        <w:t>erence beyond the domain of the property itself is a potential variable at play in the typology of comparison, since the field of reference may include entities that fail to meet the cut-off point for description by the property concept. This is schematise</w:t>
      </w:r>
      <w:r>
        <w:rPr>
          <w:rFonts w:ascii="Cambria" w:hAnsi="Cambria"/>
          <w:color w:val="000000"/>
          <w:lang w:val="en-AU"/>
        </w:rPr>
        <w:t xml:space="preserve">d in (3), where </w:t>
      </w:r>
      <w:proofErr w:type="spellStart"/>
      <w:r>
        <w:rPr>
          <w:rFonts w:ascii="Cambria" w:hAnsi="Cambria"/>
          <w:color w:val="000000"/>
          <w:lang w:val="en-AU"/>
        </w:rPr>
        <w:t>Bumthang</w:t>
      </w:r>
      <w:proofErr w:type="spellEnd"/>
      <w:r>
        <w:rPr>
          <w:rFonts w:ascii="Cambria" w:hAnsi="Cambria"/>
          <w:color w:val="000000"/>
          <w:lang w:val="en-AU"/>
        </w:rPr>
        <w:t xml:space="preserve"> includes the left-hand part of the figure in its lexicalisation, as opposed to languages like English, where that domain is only included pragmatically.</w:t>
      </w:r>
    </w:p>
    <w:p w14:paraId="759A514E" w14:textId="77777777" w:rsidR="00E727F6" w:rsidRDefault="00E727F6">
      <w:pPr>
        <w:rPr>
          <w:rFonts w:ascii="Cambria" w:hAnsi="Cambria" w:hint="eastAsia"/>
          <w:color w:val="000000"/>
        </w:rPr>
      </w:pPr>
    </w:p>
    <w:p w14:paraId="3C2E1EF6" w14:textId="77777777" w:rsidR="00E727F6" w:rsidRDefault="001615AE">
      <w:pPr>
        <w:rPr>
          <w:rFonts w:ascii="Cambria" w:hAnsi="Cambria" w:hint="eastAsia"/>
        </w:rPr>
      </w:pPr>
      <w:r>
        <w:rPr>
          <w:rFonts w:ascii="Cambria" w:hAnsi="Cambria"/>
          <w:color w:val="000000"/>
        </w:rPr>
        <w:t xml:space="preserve">The data force us to reconsider the typology of comparative constructions. A </w:t>
      </w:r>
      <w:r>
        <w:rPr>
          <w:rFonts w:ascii="Cambria" w:hAnsi="Cambria"/>
          <w:color w:val="000000"/>
        </w:rPr>
        <w:t>cross-linguistic study should include the morphosyntax of the predicate as well as the standard, and also incorporate a more nuanced understanding of the semantics encoded in property concept lexemes.</w:t>
      </w:r>
    </w:p>
    <w:p w14:paraId="5066A67F" w14:textId="77777777" w:rsidR="00E727F6" w:rsidRDefault="001615AE">
      <w:pPr>
        <w:rPr>
          <w:rFonts w:ascii="Cambria" w:hAnsi="Cambria" w:hint="eastAsia"/>
          <w:color w:val="000000"/>
        </w:rPr>
      </w:pPr>
      <w:r>
        <w:br w:type="page"/>
      </w:r>
    </w:p>
    <w:p w14:paraId="0D0E3BE5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lastRenderedPageBreak/>
        <w:t>Examples</w:t>
      </w:r>
    </w:p>
    <w:p w14:paraId="761C66ED" w14:textId="77777777" w:rsidR="00E727F6" w:rsidRDefault="00E727F6">
      <w:pPr>
        <w:rPr>
          <w:rFonts w:ascii="Cambria" w:hAnsi="Cambria" w:hint="eastAsia"/>
          <w:color w:val="000000"/>
        </w:rPr>
      </w:pPr>
    </w:p>
    <w:p w14:paraId="3AA58EC7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ab/>
      </w:r>
      <w:proofErr w:type="spellStart"/>
      <w:r>
        <w:rPr>
          <w:rFonts w:ascii="Cambria" w:hAnsi="Cambria"/>
          <w:color w:val="000000"/>
        </w:rPr>
        <w:t>Bumthang</w:t>
      </w:r>
      <w:proofErr w:type="spellEnd"/>
      <w:r>
        <w:rPr>
          <w:rFonts w:ascii="Cambria" w:hAnsi="Cambria"/>
          <w:color w:val="000000"/>
        </w:rPr>
        <w:t xml:space="preserve"> (Tibeto-Burman)</w:t>
      </w:r>
    </w:p>
    <w:p w14:paraId="7C634BB8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 xml:space="preserve">(1) a. </w:t>
      </w:r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Banggala</w:t>
      </w:r>
      <w:proofErr w:type="spellEnd"/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ngundi</w:t>
      </w:r>
      <w:proofErr w:type="spellEnd"/>
      <w:r>
        <w:rPr>
          <w:rFonts w:ascii="Cambria" w:hAnsi="Cambria"/>
          <w:i/>
          <w:iCs/>
          <w:color w:val="000000"/>
        </w:rPr>
        <w:tab/>
      </w:r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b/>
          <w:bCs/>
          <w:i/>
          <w:iCs/>
          <w:color w:val="000000"/>
        </w:rPr>
        <w:t>réng</w:t>
      </w:r>
      <w:proofErr w:type="spellEnd"/>
      <w:r>
        <w:rPr>
          <w:rFonts w:ascii="Cambria" w:hAnsi="Cambria"/>
          <w:i/>
          <w:iCs/>
          <w:color w:val="000000"/>
        </w:rPr>
        <w:t>-za.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chilli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green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longer-IPFV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‘The green chilli is longer.’</w:t>
      </w:r>
    </w:p>
    <w:p w14:paraId="085CD379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>(1) b.</w:t>
      </w:r>
      <w:r>
        <w:rPr>
          <w:rFonts w:ascii="Cambria" w:hAnsi="Cambria"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Banggala</w:t>
      </w:r>
      <w:proofErr w:type="spellEnd"/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ngundi</w:t>
      </w:r>
      <w:proofErr w:type="spellEnd"/>
      <w:r>
        <w:rPr>
          <w:rFonts w:ascii="Cambria" w:hAnsi="Cambria"/>
          <w:i/>
          <w:iCs/>
          <w:color w:val="000000"/>
        </w:rPr>
        <w:tab/>
      </w:r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b/>
          <w:bCs/>
          <w:i/>
          <w:iCs/>
          <w:color w:val="000000"/>
        </w:rPr>
        <w:t>ringshing</w:t>
      </w:r>
      <w:proofErr w:type="spellEnd"/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nak-sa</w:t>
      </w:r>
      <w:proofErr w:type="spellEnd"/>
      <w:r>
        <w:rPr>
          <w:rFonts w:ascii="Cambria" w:hAnsi="Cambria"/>
          <w:i/>
          <w:iCs/>
          <w:color w:val="000000"/>
        </w:rPr>
        <w:t>.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chilli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green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long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COP-IPFV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‘The green chilli is long.’</w:t>
      </w:r>
    </w:p>
    <w:p w14:paraId="6C2985B9" w14:textId="77777777" w:rsidR="00E727F6" w:rsidRDefault="00E727F6">
      <w:pPr>
        <w:rPr>
          <w:rFonts w:ascii="Cambria" w:hAnsi="Cambria" w:hint="eastAsia"/>
          <w:color w:val="000000"/>
        </w:rPr>
      </w:pPr>
    </w:p>
    <w:p w14:paraId="0FFBEFF7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ab/>
        <w:t>English (Indo-European)</w:t>
      </w:r>
    </w:p>
    <w:p w14:paraId="4F317D9E" w14:textId="77777777" w:rsidR="00E727F6" w:rsidRDefault="001615AE">
      <w:pPr>
        <w:rPr>
          <w:rFonts w:ascii="Cambria" w:hAnsi="Cambria" w:hint="eastAsia"/>
        </w:rPr>
      </w:pPr>
      <w:r>
        <w:rPr>
          <w:rFonts w:ascii="Cambria" w:hAnsi="Cambria"/>
          <w:color w:val="000000"/>
        </w:rPr>
        <w:t>(2)</w:t>
      </w:r>
      <w:r>
        <w:rPr>
          <w:rFonts w:ascii="Cambria" w:hAnsi="Cambria"/>
          <w:color w:val="000000"/>
        </w:rPr>
        <w:tab/>
      </w:r>
      <w:r>
        <w:rPr>
          <w:rFonts w:ascii="Cambria" w:hAnsi="Cambria"/>
          <w:i/>
          <w:iCs/>
          <w:color w:val="000000"/>
        </w:rPr>
        <w:t xml:space="preserve">$18 is </w:t>
      </w:r>
      <w:r>
        <w:rPr>
          <w:rFonts w:ascii="Cambria" w:hAnsi="Cambria"/>
          <w:b/>
          <w:i/>
          <w:iCs/>
          <w:color w:val="000000"/>
        </w:rPr>
        <w:t>cheap</w:t>
      </w:r>
      <w:r>
        <w:rPr>
          <w:rFonts w:ascii="Cambria" w:hAnsi="Cambria"/>
          <w:i/>
          <w:iCs/>
          <w:color w:val="000000"/>
        </w:rPr>
        <w:t xml:space="preserve">. ... This is a huge, huge deal …  that the parents spent THOUSANDS of </w:t>
      </w:r>
      <w:r>
        <w:rPr>
          <w:rFonts w:ascii="Cambria" w:hAnsi="Cambria"/>
          <w:i/>
          <w:iCs/>
          <w:color w:val="000000"/>
        </w:rPr>
        <w:tab/>
        <w:t>dollars on (even for a less expensive bar mitzvah).</w:t>
      </w:r>
    </w:p>
    <w:p w14:paraId="38ACFAA7" w14:textId="77777777" w:rsidR="00E727F6" w:rsidRDefault="001615AE">
      <w:r>
        <w:rPr>
          <w:rFonts w:ascii="Cambria" w:hAnsi="Cambria"/>
          <w:color w:val="000000"/>
        </w:rPr>
        <w:tab/>
        <w:t>(</w:t>
      </w:r>
      <w:hyperlink r:id="rId4" w:tgtFrame="_blank">
        <w:r>
          <w:rPr>
            <w:rStyle w:val="InternetLink"/>
            <w:rFonts w:ascii="Cambria" w:hAnsi="Cambria"/>
            <w:u w:val="none"/>
          </w:rPr>
          <w:t>http://www.dcurbanmom.com/jforum/posts/list</w:t>
        </w:r>
        <w:r>
          <w:rPr>
            <w:rStyle w:val="InternetLink"/>
            <w:rFonts w:ascii="Cambria" w:hAnsi="Cambria"/>
            <w:u w:val="none"/>
          </w:rPr>
          <w:t>/306728.page</w:t>
        </w:r>
      </w:hyperlink>
      <w:r>
        <w:rPr>
          <w:rFonts w:ascii="Cambria" w:hAnsi="Cambria"/>
          <w:color w:val="000000"/>
        </w:rPr>
        <w:t xml:space="preserve">, cited in </w:t>
      </w:r>
      <w:proofErr w:type="spellStart"/>
      <w:r>
        <w:rPr>
          <w:rFonts w:ascii="Cambria" w:hAnsi="Cambria"/>
          <w:color w:val="000000"/>
        </w:rPr>
        <w:t>iWeb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ab/>
        <w:t>2018)</w:t>
      </w:r>
    </w:p>
    <w:p w14:paraId="5F18B3DB" w14:textId="77777777" w:rsidR="00E727F6" w:rsidRDefault="00E727F6">
      <w:pPr>
        <w:rPr>
          <w:rFonts w:ascii="Cambria" w:hAnsi="Cambria" w:hint="eastAsia"/>
          <w:color w:val="000000"/>
        </w:rPr>
      </w:pPr>
    </w:p>
    <w:p w14:paraId="51B8B492" w14:textId="77777777" w:rsidR="00E727F6" w:rsidRDefault="001615AE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33E7C3" wp14:editId="644F14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838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000000"/>
        </w:rPr>
        <w:t>(3)</w:t>
      </w:r>
    </w:p>
    <w:p w14:paraId="35F420FA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ab/>
      </w:r>
    </w:p>
    <w:p w14:paraId="71A1EBC9" w14:textId="77777777" w:rsidR="00E727F6" w:rsidRDefault="00E727F6">
      <w:pPr>
        <w:rPr>
          <w:rFonts w:ascii="Cambria" w:hAnsi="Cambria" w:hint="eastAsia"/>
          <w:color w:val="000000"/>
        </w:rPr>
      </w:pPr>
    </w:p>
    <w:p w14:paraId="6BDF7D78" w14:textId="77777777" w:rsidR="00E727F6" w:rsidRDefault="00E727F6">
      <w:pPr>
        <w:rPr>
          <w:rFonts w:ascii="Cambria" w:hAnsi="Cambria" w:hint="eastAsia"/>
          <w:color w:val="000000"/>
        </w:rPr>
      </w:pPr>
    </w:p>
    <w:p w14:paraId="77DD63BE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ab/>
      </w:r>
    </w:p>
    <w:p w14:paraId="034879AC" w14:textId="77777777" w:rsidR="00E727F6" w:rsidRDefault="001615AE">
      <w:pPr>
        <w:jc w:val="center"/>
        <w:rPr>
          <w:rFonts w:ascii="Cambria" w:hAnsi="Cambria" w:hint="eastAsia"/>
        </w:rPr>
      </w:pPr>
      <w:r>
        <w:rPr>
          <w:rFonts w:ascii="Cambria" w:hAnsi="Cambria"/>
          <w:color w:val="000000"/>
        </w:rPr>
        <w:t>Figure 1: Schema of gradable property concepts</w:t>
      </w:r>
    </w:p>
    <w:p w14:paraId="0E706286" w14:textId="77777777" w:rsidR="00E727F6" w:rsidRDefault="00E727F6">
      <w:pPr>
        <w:rPr>
          <w:color w:val="000000"/>
        </w:rPr>
      </w:pPr>
    </w:p>
    <w:p w14:paraId="08807A83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ab/>
        <w:t>Ternate (North Halmahera)</w:t>
      </w:r>
    </w:p>
    <w:p w14:paraId="43E8B72D" w14:textId="77777777" w:rsidR="00E727F6" w:rsidRDefault="001615AE">
      <w:pPr>
        <w:rPr>
          <w:rFonts w:ascii="Cambria" w:hAnsi="Cambria" w:hint="eastAsia"/>
        </w:rPr>
      </w:pPr>
      <w:r>
        <w:rPr>
          <w:rFonts w:ascii="Cambria" w:hAnsi="Cambria"/>
          <w:color w:val="000000"/>
        </w:rPr>
        <w:t>(4)</w:t>
      </w:r>
      <w:r>
        <w:rPr>
          <w:rFonts w:ascii="Cambria" w:hAnsi="Cambria"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Irwan</w:t>
      </w:r>
      <w:proofErr w:type="spellEnd"/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b/>
          <w:bCs/>
          <w:i/>
          <w:iCs/>
          <w:color w:val="000000"/>
        </w:rPr>
        <w:t>lamo</w:t>
      </w:r>
      <w:proofErr w:type="spellEnd"/>
      <w:r>
        <w:rPr>
          <w:rFonts w:ascii="Cambria" w:hAnsi="Cambria"/>
          <w:i/>
          <w:iCs/>
          <w:color w:val="000000"/>
        </w:rPr>
        <w:t>;</w:t>
      </w:r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i/>
          <w:iCs/>
          <w:color w:val="000000"/>
        </w:rPr>
        <w:t>Sarmin</w:t>
      </w:r>
      <w:proofErr w:type="spellEnd"/>
      <w:r>
        <w:rPr>
          <w:rFonts w:ascii="Cambria" w:hAnsi="Cambria"/>
          <w:i/>
          <w:iCs/>
          <w:color w:val="000000"/>
        </w:rPr>
        <w:tab/>
      </w:r>
      <w:proofErr w:type="spellStart"/>
      <w:r>
        <w:rPr>
          <w:rFonts w:ascii="Cambria" w:hAnsi="Cambria"/>
          <w:b/>
          <w:bCs/>
          <w:i/>
          <w:iCs/>
          <w:color w:val="000000"/>
        </w:rPr>
        <w:t>ici</w:t>
      </w:r>
      <w:proofErr w:type="spellEnd"/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</w:r>
      <w:proofErr w:type="spellStart"/>
      <w:r>
        <w:rPr>
          <w:rFonts w:ascii="Cambria" w:hAnsi="Cambria"/>
          <w:color w:val="000000"/>
        </w:rPr>
        <w:t>Irwan</w:t>
      </w:r>
      <w:proofErr w:type="spellEnd"/>
      <w:r>
        <w:rPr>
          <w:rFonts w:ascii="Cambria" w:hAnsi="Cambria"/>
          <w:color w:val="000000"/>
        </w:rPr>
        <w:tab/>
        <w:t>big</w:t>
      </w:r>
      <w:r>
        <w:rPr>
          <w:rFonts w:ascii="Cambria" w:hAnsi="Cambria"/>
          <w:color w:val="000000"/>
        </w:rPr>
        <w:tab/>
      </w:r>
      <w:proofErr w:type="spellStart"/>
      <w:r>
        <w:rPr>
          <w:rFonts w:ascii="Cambria" w:hAnsi="Cambria"/>
          <w:color w:val="000000"/>
        </w:rPr>
        <w:t>Sarmin</w:t>
      </w:r>
      <w:proofErr w:type="spellEnd"/>
      <w:r>
        <w:rPr>
          <w:rFonts w:ascii="Cambria" w:hAnsi="Cambria"/>
          <w:color w:val="000000"/>
        </w:rPr>
        <w:tab/>
        <w:t>small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>‘</w:t>
      </w:r>
      <w:proofErr w:type="spellStart"/>
      <w:r>
        <w:rPr>
          <w:rFonts w:ascii="Cambria" w:hAnsi="Cambria"/>
          <w:color w:val="000000"/>
        </w:rPr>
        <w:t>Irwan</w:t>
      </w:r>
      <w:proofErr w:type="spellEnd"/>
      <w:r>
        <w:rPr>
          <w:rFonts w:ascii="Cambria" w:hAnsi="Cambria"/>
          <w:color w:val="000000"/>
        </w:rPr>
        <w:t xml:space="preserve"> is bigger than </w:t>
      </w:r>
      <w:proofErr w:type="spellStart"/>
      <w:r>
        <w:rPr>
          <w:rFonts w:ascii="Cambria" w:hAnsi="Cambria"/>
          <w:color w:val="000000"/>
        </w:rPr>
        <w:t>Sarmin</w:t>
      </w:r>
      <w:proofErr w:type="spellEnd"/>
      <w:r>
        <w:rPr>
          <w:rFonts w:ascii="Cambria" w:hAnsi="Cambria"/>
          <w:color w:val="000000"/>
        </w:rPr>
        <w:t>.’</w:t>
      </w:r>
      <w:r>
        <w:rPr>
          <w:rFonts w:ascii="Cambria" w:hAnsi="Cambria"/>
          <w:color w:val="000000"/>
        </w:rPr>
        <w:br/>
      </w:r>
      <w:r>
        <w:rPr>
          <w:rFonts w:ascii="Cambria" w:hAnsi="Cambria"/>
          <w:color w:val="000000"/>
        </w:rPr>
        <w:tab/>
        <w:t xml:space="preserve">(Hayami-Allen 2001:182, cited in </w:t>
      </w:r>
      <w:proofErr w:type="spellStart"/>
      <w:r>
        <w:rPr>
          <w:rFonts w:ascii="Cambria" w:hAnsi="Cambria"/>
          <w:color w:val="000000"/>
        </w:rPr>
        <w:t>Schapper</w:t>
      </w:r>
      <w:proofErr w:type="spellEnd"/>
      <w:r>
        <w:rPr>
          <w:rFonts w:ascii="Cambria" w:hAnsi="Cambria"/>
          <w:color w:val="000000"/>
        </w:rPr>
        <w:t xml:space="preserve"> and de </w:t>
      </w:r>
      <w:r>
        <w:rPr>
          <w:rFonts w:ascii="Cambria" w:hAnsi="Cambria"/>
          <w:color w:val="000000"/>
        </w:rPr>
        <w:t>Vries 2018)</w:t>
      </w:r>
    </w:p>
    <w:p w14:paraId="51C80D0B" w14:textId="77777777" w:rsidR="00E727F6" w:rsidRDefault="00E727F6">
      <w:pPr>
        <w:rPr>
          <w:rFonts w:ascii="Cambria" w:hAnsi="Cambria" w:hint="eastAsia"/>
          <w:color w:val="000000"/>
        </w:rPr>
      </w:pPr>
    </w:p>
    <w:p w14:paraId="02A934B8" w14:textId="77777777" w:rsidR="00E727F6" w:rsidRDefault="00E727F6">
      <w:pPr>
        <w:rPr>
          <w:rFonts w:ascii="Cambria" w:hAnsi="Cambria" w:hint="eastAsia"/>
          <w:color w:val="000000"/>
        </w:rPr>
      </w:pPr>
    </w:p>
    <w:p w14:paraId="30582287" w14:textId="77777777" w:rsidR="00E727F6" w:rsidRDefault="001615AE">
      <w:pPr>
        <w:rPr>
          <w:rFonts w:ascii="Cambria" w:hAnsi="Cambria" w:hint="eastAsia"/>
        </w:rPr>
      </w:pPr>
      <w:r>
        <w:rPr>
          <w:rFonts w:ascii="Cambria" w:hAnsi="Cambria"/>
          <w:color w:val="000000"/>
        </w:rPr>
        <w:t>References</w:t>
      </w:r>
    </w:p>
    <w:p w14:paraId="40316AEA" w14:textId="77777777" w:rsidR="00E727F6" w:rsidRDefault="00E727F6">
      <w:pPr>
        <w:rPr>
          <w:color w:val="000000"/>
        </w:rPr>
      </w:pPr>
    </w:p>
    <w:p w14:paraId="42DF63A1" w14:textId="77777777" w:rsidR="00E727F6" w:rsidRDefault="001615AE">
      <w:pPr>
        <w:rPr>
          <w:rFonts w:ascii="Calibri" w:hAnsi="Calibri"/>
          <w:color w:val="000000"/>
        </w:rPr>
      </w:pPr>
      <w:proofErr w:type="spellStart"/>
      <w:r>
        <w:rPr>
          <w:rFonts w:ascii="Cambria" w:hAnsi="Cambria"/>
          <w:color w:val="000000"/>
        </w:rPr>
        <w:t>Bobaljik</w:t>
      </w:r>
      <w:proofErr w:type="spellEnd"/>
      <w:r>
        <w:rPr>
          <w:rFonts w:ascii="Cambria" w:hAnsi="Cambria"/>
          <w:color w:val="000000"/>
        </w:rPr>
        <w:t xml:space="preserve">, Jonathan David. 2012. </w:t>
      </w:r>
      <w:r>
        <w:rPr>
          <w:rFonts w:ascii="Cambria" w:hAnsi="Cambria"/>
          <w:i/>
          <w:iCs/>
          <w:color w:val="000000"/>
        </w:rPr>
        <w:t>Universals in comparative morphology.</w:t>
      </w:r>
      <w:r>
        <w:rPr>
          <w:rFonts w:ascii="Cambria" w:hAnsi="Cambria"/>
          <w:color w:val="000000"/>
        </w:rPr>
        <w:t xml:space="preserve"> Cambridge, USA: MIT Press.</w:t>
      </w:r>
    </w:p>
    <w:p w14:paraId="0EFE026A" w14:textId="77777777" w:rsidR="00E727F6" w:rsidRDefault="001615AE">
      <w:r>
        <w:rPr>
          <w:rFonts w:ascii="Cambria" w:hAnsi="Cambria"/>
          <w:color w:val="000000"/>
        </w:rPr>
        <w:t xml:space="preserve">Davies, Mark. 2018-. </w:t>
      </w:r>
      <w:r>
        <w:rPr>
          <w:rFonts w:ascii="Cambria" w:hAnsi="Cambria"/>
          <w:i/>
          <w:iCs/>
          <w:color w:val="000000"/>
        </w:rPr>
        <w:t xml:space="preserve">The 14 Billion Word </w:t>
      </w:r>
      <w:proofErr w:type="spellStart"/>
      <w:r>
        <w:rPr>
          <w:rFonts w:ascii="Cambria" w:hAnsi="Cambria"/>
          <w:i/>
          <w:iCs/>
          <w:color w:val="000000"/>
        </w:rPr>
        <w:t>iWeb</w:t>
      </w:r>
      <w:proofErr w:type="spellEnd"/>
      <w:r>
        <w:rPr>
          <w:rFonts w:ascii="Cambria" w:hAnsi="Cambria"/>
          <w:i/>
          <w:iCs/>
          <w:color w:val="000000"/>
        </w:rPr>
        <w:t xml:space="preserve"> Corpus</w:t>
      </w:r>
      <w:r>
        <w:rPr>
          <w:rFonts w:ascii="Cambria" w:hAnsi="Cambria"/>
          <w:color w:val="000000"/>
        </w:rPr>
        <w:t xml:space="preserve">. Available online at </w:t>
      </w:r>
      <w:hyperlink r:id="rId6">
        <w:r>
          <w:rPr>
            <w:rStyle w:val="InternetLink"/>
            <w:rFonts w:ascii="Cambria" w:hAnsi="Cambria"/>
            <w:color w:val="000000"/>
          </w:rPr>
          <w:t>https://cor</w:t>
        </w:r>
        <w:r>
          <w:rPr>
            <w:rStyle w:val="InternetLink"/>
            <w:rFonts w:ascii="Cambria" w:hAnsi="Cambria"/>
            <w:color w:val="000000"/>
          </w:rPr>
          <w:t>pus.byu.edu/iWeb/</w:t>
        </w:r>
      </w:hyperlink>
      <w:r>
        <w:rPr>
          <w:rFonts w:ascii="Cambria" w:hAnsi="Cambria"/>
          <w:color w:val="000000"/>
        </w:rPr>
        <w:t xml:space="preserve">. </w:t>
      </w:r>
    </w:p>
    <w:p w14:paraId="41AF57B4" w14:textId="77777777" w:rsidR="00E727F6" w:rsidRDefault="001615AE">
      <w:pPr>
        <w:rPr>
          <w:rFonts w:ascii="Calibri" w:hAnsi="Calibri"/>
          <w:color w:val="000000"/>
        </w:rPr>
      </w:pPr>
      <w:bookmarkStart w:id="1" w:name="docs-internal-guid-6920c0b9-7fff-d491-ce"/>
      <w:bookmarkEnd w:id="1"/>
      <w:r>
        <w:rPr>
          <w:rFonts w:ascii="Cambria" w:hAnsi="Cambria"/>
          <w:color w:val="000000"/>
        </w:rPr>
        <w:t xml:space="preserve">Jakobson, Roman. 1971. Relationship between Russian stem suffixes and verbal aspects. In </w:t>
      </w:r>
      <w:r>
        <w:rPr>
          <w:rFonts w:ascii="Cambria" w:hAnsi="Cambria"/>
          <w:i/>
          <w:color w:val="000000"/>
        </w:rPr>
        <w:t>Selected Writings</w:t>
      </w:r>
      <w:r>
        <w:rPr>
          <w:rFonts w:ascii="Cambria" w:hAnsi="Cambria"/>
          <w:color w:val="000000"/>
        </w:rPr>
        <w:t>, vol. II, 198-202. The Hague: Mouton de Gruyter.</w:t>
      </w:r>
    </w:p>
    <w:p w14:paraId="7EC45AE5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 xml:space="preserve">Hayami-Allen, Rika. 2001. A descriptive study of the language of </w:t>
      </w:r>
      <w:r>
        <w:rPr>
          <w:rFonts w:ascii="Cambria" w:hAnsi="Cambria"/>
          <w:color w:val="000000"/>
        </w:rPr>
        <w:t>Ternate, the Northern Moluccas, Indonesia. PhD thesis, University of Pittsburgh.</w:t>
      </w:r>
    </w:p>
    <w:p w14:paraId="4DE00079" w14:textId="77777777" w:rsidR="00E727F6" w:rsidRDefault="001615AE">
      <w:pPr>
        <w:rPr>
          <w:rFonts w:ascii="Calibri" w:hAnsi="Calibri"/>
          <w:color w:val="000000"/>
        </w:rPr>
      </w:pPr>
      <w:proofErr w:type="spellStart"/>
      <w:r>
        <w:rPr>
          <w:rFonts w:ascii="Cambria" w:hAnsi="Cambria"/>
          <w:color w:val="000000"/>
        </w:rPr>
        <w:t>Schapper</w:t>
      </w:r>
      <w:proofErr w:type="spellEnd"/>
      <w:r>
        <w:rPr>
          <w:rFonts w:ascii="Cambria" w:hAnsi="Cambria"/>
          <w:color w:val="000000"/>
        </w:rPr>
        <w:t xml:space="preserve">, Antoinette and Lourens de Vries. 2018. Comparatives in Melanesia: Concentric circles of convergence. </w:t>
      </w:r>
      <w:r>
        <w:rPr>
          <w:rFonts w:ascii="Cambria" w:hAnsi="Cambria"/>
          <w:i/>
          <w:iCs/>
          <w:color w:val="000000"/>
        </w:rPr>
        <w:t>Linguistic Typology</w:t>
      </w:r>
      <w:r>
        <w:rPr>
          <w:rFonts w:ascii="Cambria" w:hAnsi="Cambria"/>
          <w:color w:val="000000"/>
        </w:rPr>
        <w:t>, 22(3), 437-494.</w:t>
      </w:r>
    </w:p>
    <w:p w14:paraId="257EF069" w14:textId="77777777" w:rsidR="00E727F6" w:rsidRDefault="001615AE">
      <w:pPr>
        <w:rPr>
          <w:rFonts w:ascii="Calibri" w:hAnsi="Calibri"/>
          <w:color w:val="000000"/>
        </w:rPr>
      </w:pPr>
      <w:r>
        <w:rPr>
          <w:rFonts w:ascii="Cambria" w:hAnsi="Cambria"/>
          <w:color w:val="000000"/>
          <w:highlight w:val="white"/>
        </w:rPr>
        <w:t xml:space="preserve">Stassen, Leon. 1985. </w:t>
      </w:r>
      <w:r>
        <w:rPr>
          <w:rFonts w:ascii="Cambria" w:hAnsi="Cambria"/>
          <w:i/>
          <w:color w:val="000000"/>
          <w:highlight w:val="white"/>
        </w:rPr>
        <w:t>Compar</w:t>
      </w:r>
      <w:r>
        <w:rPr>
          <w:rFonts w:ascii="Cambria" w:hAnsi="Cambria"/>
          <w:i/>
          <w:color w:val="000000"/>
          <w:highlight w:val="white"/>
        </w:rPr>
        <w:t>ison and universal grammar</w:t>
      </w:r>
      <w:r>
        <w:rPr>
          <w:rFonts w:ascii="Cambria" w:hAnsi="Cambria"/>
          <w:color w:val="000000"/>
          <w:highlight w:val="white"/>
        </w:rPr>
        <w:t>. Oxford: Blackwell.</w:t>
      </w:r>
      <w:r>
        <w:rPr>
          <w:rFonts w:ascii="Cambria" w:hAnsi="Cambria"/>
          <w:color w:val="000000"/>
        </w:rPr>
        <w:t xml:space="preserve"> </w:t>
      </w:r>
    </w:p>
    <w:p w14:paraId="11D9A671" w14:textId="77777777" w:rsidR="00E727F6" w:rsidRDefault="001615AE">
      <w:r>
        <w:rPr>
          <w:rFonts w:ascii="Cambria" w:hAnsi="Cambria"/>
          <w:color w:val="000000"/>
        </w:rPr>
        <w:t xml:space="preserve">Stassen, Leon. 2013. </w:t>
      </w:r>
      <w:r>
        <w:rPr>
          <w:rFonts w:ascii="Cambria" w:hAnsi="Cambria"/>
          <w:color w:val="000000"/>
        </w:rPr>
        <w:t xml:space="preserve">Comparative constructions. In M. </w:t>
      </w:r>
      <w:proofErr w:type="spellStart"/>
      <w:r>
        <w:rPr>
          <w:rFonts w:ascii="Cambria" w:hAnsi="Cambria"/>
          <w:color w:val="000000"/>
        </w:rPr>
        <w:t>Haspelmath</w:t>
      </w:r>
      <w:proofErr w:type="spellEnd"/>
      <w:r>
        <w:rPr>
          <w:rFonts w:ascii="Cambria" w:hAnsi="Cambria"/>
          <w:color w:val="000000"/>
        </w:rPr>
        <w:t xml:space="preserve">, M. Dryer, D. Gil &amp; B. Comrie (eds.), </w:t>
      </w:r>
      <w:r>
        <w:rPr>
          <w:rStyle w:val="Emphasis"/>
          <w:rFonts w:ascii="Cambria" w:hAnsi="Cambria"/>
          <w:color w:val="000000"/>
        </w:rPr>
        <w:t>The World Atlas of Language Structures</w:t>
      </w:r>
      <w:r>
        <w:rPr>
          <w:rFonts w:ascii="Cambria" w:hAnsi="Cambria"/>
          <w:color w:val="000000"/>
        </w:rPr>
        <w:t>, 490–491. Oxford: Oxford University Press</w:t>
      </w:r>
      <w:r>
        <w:rPr>
          <w:rFonts w:ascii="Cambria" w:hAnsi="Cambria"/>
          <w:color w:val="000000"/>
        </w:rPr>
        <w:t xml:space="preserve"> </w:t>
      </w:r>
    </w:p>
    <w:p w14:paraId="65D2FCAA" w14:textId="77777777" w:rsidR="00E727F6" w:rsidRDefault="001615AE">
      <w:r>
        <w:rPr>
          <w:rFonts w:ascii="Cambria" w:hAnsi="Cambria"/>
          <w:color w:val="000000"/>
        </w:rPr>
        <w:t xml:space="preserve">van </w:t>
      </w:r>
      <w:proofErr w:type="spellStart"/>
      <w:r>
        <w:rPr>
          <w:rFonts w:ascii="Cambria" w:hAnsi="Cambria"/>
          <w:color w:val="000000"/>
        </w:rPr>
        <w:t>Driem</w:t>
      </w:r>
      <w:proofErr w:type="spellEnd"/>
      <w:r>
        <w:rPr>
          <w:rFonts w:ascii="Cambria" w:hAnsi="Cambria"/>
          <w:color w:val="000000"/>
        </w:rPr>
        <w:t xml:space="preserve">, George. 2015. Synoptic grammar of the </w:t>
      </w:r>
      <w:proofErr w:type="spellStart"/>
      <w:r>
        <w:rPr>
          <w:rFonts w:ascii="Cambria" w:hAnsi="Cambria"/>
          <w:color w:val="000000"/>
        </w:rPr>
        <w:t>Bumthang</w:t>
      </w:r>
      <w:proofErr w:type="spellEnd"/>
      <w:r>
        <w:rPr>
          <w:rFonts w:ascii="Cambria" w:hAnsi="Cambria"/>
          <w:color w:val="000000"/>
        </w:rPr>
        <w:t xml:space="preserve"> language. </w:t>
      </w:r>
      <w:r>
        <w:rPr>
          <w:rFonts w:ascii="Cambria" w:hAnsi="Cambria"/>
          <w:i/>
          <w:iCs/>
          <w:color w:val="000000"/>
        </w:rPr>
        <w:t>Himalayan Linguistics</w:t>
      </w:r>
      <w:r>
        <w:rPr>
          <w:rFonts w:ascii="Cambria" w:hAnsi="Cambria"/>
          <w:color w:val="000000"/>
        </w:rPr>
        <w:t>, 0(0).</w:t>
      </w:r>
    </w:p>
    <w:sectPr w:rsidR="00E727F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F6"/>
    <w:rsid w:val="001615AE"/>
    <w:rsid w:val="00E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7B0"/>
  <w15:docId w15:val="{B8C999E4-7117-473E-AD1C-95F474B3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Calibri" w:hAnsi="Calibri"/>
      <w:b w:val="0"/>
      <w:i w:val="0"/>
      <w:caps w:val="0"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ListLabel2">
    <w:name w:val="ListLabel 2"/>
    <w:qFormat/>
    <w:rPr>
      <w:rFonts w:ascii="Calibri" w:hAnsi="Calibri"/>
      <w:i w:val="0"/>
      <w:iCs w:val="0"/>
      <w:color w:val="000000"/>
      <w:sz w:val="24"/>
      <w:szCs w:val="24"/>
    </w:rPr>
  </w:style>
  <w:style w:type="character" w:customStyle="1" w:styleId="ListLabel3">
    <w:name w:val="ListLabel 3"/>
    <w:qFormat/>
    <w:rPr>
      <w:rFonts w:ascii="Cambria" w:hAnsi="Cambria"/>
      <w:b w:val="0"/>
      <w:i w:val="0"/>
      <w:caps w:val="0"/>
      <w:smallCaps w:val="0"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ListLabel4">
    <w:name w:val="ListLabel 4"/>
    <w:qFormat/>
    <w:rPr>
      <w:rFonts w:ascii="Cambria" w:hAnsi="Cambria"/>
      <w:i w:val="0"/>
      <w:iCs w:val="0"/>
      <w:color w:val="00000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us.byu.edu/iWeb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dcurbanmom.com/jforum/posts/list/306728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Writer</dc:creator>
  <dc:description/>
  <cp:lastModifiedBy>Peck, Naomi</cp:lastModifiedBy>
  <cp:revision>15</cp:revision>
  <dcterms:created xsi:type="dcterms:W3CDTF">2019-01-29T23:54:00Z</dcterms:created>
  <dcterms:modified xsi:type="dcterms:W3CDTF">2019-06-18T16:01:00Z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