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3389" w14:textId="77777777" w:rsidR="00180B8E" w:rsidRDefault="00871B4C">
      <w:pPr>
        <w:pStyle w:val="Heading1"/>
      </w:pPr>
      <w:r>
        <w:t>Cornell Notes – RNA-Seq Lecture (Prof. Jun Wang, 2025/2026)</w:t>
      </w:r>
    </w:p>
    <w:p w14:paraId="4575DE1E" w14:textId="77777777" w:rsidR="00180B8E" w:rsidRDefault="00871B4C">
      <w:r>
        <w:t>This document follows the Cornell note-taking format with three sections: Cues/Keywords, Notes, and Summary. Based on uploaded lecture slides.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80B8E" w14:paraId="0A0CCA43" w14:textId="77777777">
        <w:tc>
          <w:tcPr>
            <w:tcW w:w="4320" w:type="dxa"/>
          </w:tcPr>
          <w:p w14:paraId="55D70C73" w14:textId="77777777" w:rsidR="00180B8E" w:rsidRDefault="00871B4C">
            <w:r>
              <w:t>Cues / Keywords</w:t>
            </w:r>
          </w:p>
        </w:tc>
        <w:tc>
          <w:tcPr>
            <w:tcW w:w="4320" w:type="dxa"/>
          </w:tcPr>
          <w:p w14:paraId="360572AB" w14:textId="77777777" w:rsidR="00180B8E" w:rsidRDefault="00871B4C">
            <w:r>
              <w:t>Notes</w:t>
            </w:r>
          </w:p>
        </w:tc>
      </w:tr>
      <w:tr w:rsidR="00180B8E" w14:paraId="1B0869DC" w14:textId="77777777">
        <w:tc>
          <w:tcPr>
            <w:tcW w:w="4320" w:type="dxa"/>
          </w:tcPr>
          <w:p w14:paraId="27B83266" w14:textId="77777777" w:rsidR="00180B8E" w:rsidRDefault="00871B4C">
            <w:r>
              <w:t>RNA-seq definition</w:t>
            </w:r>
          </w:p>
        </w:tc>
        <w:tc>
          <w:tcPr>
            <w:tcW w:w="4320" w:type="dxa"/>
          </w:tcPr>
          <w:p w14:paraId="60724686" w14:textId="77777777" w:rsidR="00180B8E" w:rsidRDefault="00871B4C">
            <w:r>
              <w:t>Sequencing of mRNA to study transcriptome; powerful NGS tool.</w:t>
            </w:r>
          </w:p>
        </w:tc>
      </w:tr>
      <w:tr w:rsidR="00180B8E" w14:paraId="2E4DB64B" w14:textId="77777777">
        <w:tc>
          <w:tcPr>
            <w:tcW w:w="4320" w:type="dxa"/>
          </w:tcPr>
          <w:p w14:paraId="2CD1D4F8" w14:textId="77777777" w:rsidR="00180B8E" w:rsidRDefault="00871B4C">
            <w:r>
              <w:t>Bulk RNA-seq vs scRNA-seq</w:t>
            </w:r>
          </w:p>
        </w:tc>
        <w:tc>
          <w:tcPr>
            <w:tcW w:w="4320" w:type="dxa"/>
          </w:tcPr>
          <w:p w14:paraId="08E402D7" w14:textId="77777777" w:rsidR="00180B8E" w:rsidRDefault="00871B4C">
            <w:r>
              <w:t>Bulk: average expression across all cells. scRNA-seq: captures heterogeneity and microenvironment at single-cell resolution.</w:t>
            </w:r>
          </w:p>
        </w:tc>
      </w:tr>
      <w:tr w:rsidR="00180B8E" w14:paraId="3C56BCBA" w14:textId="77777777">
        <w:tc>
          <w:tcPr>
            <w:tcW w:w="4320" w:type="dxa"/>
          </w:tcPr>
          <w:p w14:paraId="765719F5" w14:textId="77777777" w:rsidR="00180B8E" w:rsidRDefault="00871B4C">
            <w:r>
              <w:t>Poly-A selection vs ribosomal depletion</w:t>
            </w:r>
          </w:p>
        </w:tc>
        <w:tc>
          <w:tcPr>
            <w:tcW w:w="4320" w:type="dxa"/>
          </w:tcPr>
          <w:p w14:paraId="068BCD7C" w14:textId="77777777" w:rsidR="00180B8E" w:rsidRDefault="00871B4C">
            <w:r>
              <w:t>Poly-A: captures coding RNAs. Ribosomal depletion: retains lncRNAs and non-coding RNAs.</w:t>
            </w:r>
          </w:p>
        </w:tc>
      </w:tr>
      <w:tr w:rsidR="00180B8E" w14:paraId="416DA63E" w14:textId="77777777">
        <w:tc>
          <w:tcPr>
            <w:tcW w:w="4320" w:type="dxa"/>
          </w:tcPr>
          <w:p w14:paraId="66930BA0" w14:textId="77777777" w:rsidR="00180B8E" w:rsidRDefault="00871B4C">
            <w:r>
              <w:t>Applications of RNA-seq</w:t>
            </w:r>
          </w:p>
        </w:tc>
        <w:tc>
          <w:tcPr>
            <w:tcW w:w="4320" w:type="dxa"/>
          </w:tcPr>
          <w:p w14:paraId="3231F415" w14:textId="77777777" w:rsidR="00180B8E" w:rsidRDefault="00871B4C">
            <w:r>
              <w:t>Differential expression, alternative splicing, gene fusion, novel transcripts, RNA-level variants, allelic expression, co-expression networks.</w:t>
            </w:r>
          </w:p>
        </w:tc>
      </w:tr>
      <w:tr w:rsidR="00180B8E" w14:paraId="1AF6C473" w14:textId="77777777">
        <w:tc>
          <w:tcPr>
            <w:tcW w:w="4320" w:type="dxa"/>
          </w:tcPr>
          <w:p w14:paraId="268F5F7B" w14:textId="77777777" w:rsidR="00180B8E" w:rsidRDefault="00871B4C">
            <w:r>
              <w:t>Analysis methods</w:t>
            </w:r>
          </w:p>
        </w:tc>
        <w:tc>
          <w:tcPr>
            <w:tcW w:w="4320" w:type="dxa"/>
          </w:tcPr>
          <w:p w14:paraId="654ECC0C" w14:textId="77777777" w:rsidR="00180B8E" w:rsidRDefault="00871B4C">
            <w:r>
              <w:t>Sequence alignment, expression analysis, PCA/clustering, pathway analysis (DAVID, GSEA), IGVtools visualization.</w:t>
            </w:r>
          </w:p>
        </w:tc>
      </w:tr>
      <w:tr w:rsidR="00180B8E" w14:paraId="7BB144AD" w14:textId="77777777">
        <w:tc>
          <w:tcPr>
            <w:tcW w:w="4320" w:type="dxa"/>
          </w:tcPr>
          <w:p w14:paraId="07DB2C53" w14:textId="77777777" w:rsidR="00180B8E" w:rsidRDefault="00871B4C">
            <w:r>
              <w:t>Pathways (example)</w:t>
            </w:r>
          </w:p>
        </w:tc>
        <w:tc>
          <w:tcPr>
            <w:tcW w:w="4320" w:type="dxa"/>
          </w:tcPr>
          <w:p w14:paraId="7E4016A2" w14:textId="77777777" w:rsidR="00180B8E" w:rsidRDefault="00871B4C">
            <w:r>
              <w:t>Cell cycle downregulated; oxidative phosphorylation upregulated under estrogen treatment in breast cancer cells.</w:t>
            </w:r>
          </w:p>
        </w:tc>
      </w:tr>
      <w:tr w:rsidR="00180B8E" w14:paraId="1D32A784" w14:textId="77777777">
        <w:tc>
          <w:tcPr>
            <w:tcW w:w="4320" w:type="dxa"/>
          </w:tcPr>
          <w:p w14:paraId="5AA49C8E" w14:textId="77777777" w:rsidR="00180B8E" w:rsidRDefault="00871B4C">
            <w:r>
              <w:t>lncRNAs</w:t>
            </w:r>
          </w:p>
        </w:tc>
        <w:tc>
          <w:tcPr>
            <w:tcW w:w="4320" w:type="dxa"/>
          </w:tcPr>
          <w:p w14:paraId="7816C93A" w14:textId="77777777" w:rsidR="00180B8E" w:rsidRDefault="00871B4C">
            <w:r>
              <w:t>Long noncoding RNAs &gt;200nt, low expression, regulatory roles; example MALAT1 linked to metastasis and poor prognosis.</w:t>
            </w:r>
          </w:p>
        </w:tc>
      </w:tr>
      <w:tr w:rsidR="00180B8E" w14:paraId="5D1696CD" w14:textId="77777777">
        <w:tc>
          <w:tcPr>
            <w:tcW w:w="4320" w:type="dxa"/>
          </w:tcPr>
          <w:p w14:paraId="3B5126BB" w14:textId="77777777" w:rsidR="00180B8E" w:rsidRDefault="00871B4C">
            <w:r>
              <w:t>scRNA-seq applications</w:t>
            </w:r>
          </w:p>
        </w:tc>
        <w:tc>
          <w:tcPr>
            <w:tcW w:w="4320" w:type="dxa"/>
          </w:tcPr>
          <w:p w14:paraId="33479B1E" w14:textId="77777777" w:rsidR="00180B8E" w:rsidRDefault="00871B4C">
            <w:r>
              <w:t>Study tumour microenvironment (immune/stroma), tumour heterogeneity, resistant clones, trajectory analysis.</w:t>
            </w:r>
          </w:p>
        </w:tc>
      </w:tr>
      <w:tr w:rsidR="00180B8E" w14:paraId="0E125C78" w14:textId="77777777">
        <w:tc>
          <w:tcPr>
            <w:tcW w:w="4320" w:type="dxa"/>
          </w:tcPr>
          <w:p w14:paraId="46A42C8F" w14:textId="77777777" w:rsidR="00180B8E" w:rsidRDefault="00871B4C">
            <w:r>
              <w:t>Challenges</w:t>
            </w:r>
          </w:p>
        </w:tc>
        <w:tc>
          <w:tcPr>
            <w:tcW w:w="4320" w:type="dxa"/>
          </w:tcPr>
          <w:p w14:paraId="234E4DFB" w14:textId="77777777" w:rsidR="00180B8E" w:rsidRDefault="00871B4C">
            <w:r>
              <w:t>Expensive, preparation-sensitive, requires optimization.</w:t>
            </w:r>
          </w:p>
        </w:tc>
      </w:tr>
    </w:tbl>
    <w:p w14:paraId="7172299A" w14:textId="77777777" w:rsidR="00180B8E" w:rsidRDefault="00871B4C">
      <w:pPr>
        <w:pStyle w:val="Heading2"/>
      </w:pPr>
      <w:r>
        <w:t>Summary</w:t>
      </w:r>
    </w:p>
    <w:p w14:paraId="43B2FA1F" w14:textId="77777777" w:rsidR="00180B8E" w:rsidRDefault="00871B4C">
      <w:r>
        <w:lastRenderedPageBreak/>
        <w:t>RNA-seq enables comprehensive analysis of the transcriptome, identifying gene expression changes, splicing events, fusions, variants, and noncoding RNAs. Bulk RNA-seq provides averaged data, while scRNA-seq uncovers cellular heterogeneity and tumour microenvironment composition. Applications include cancer research, pathway analysis, and biomarker discovery.</w:t>
      </w:r>
    </w:p>
    <w:sectPr w:rsidR="00180B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0B8E"/>
    <w:rsid w:val="001D0979"/>
    <w:rsid w:val="0029639D"/>
    <w:rsid w:val="00326F90"/>
    <w:rsid w:val="00871B4C"/>
    <w:rsid w:val="00AA1D8D"/>
    <w:rsid w:val="00B47730"/>
    <w:rsid w:val="00C410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89A4A"/>
  <w14:defaultImageDpi w14:val="300"/>
  <w15:docId w15:val="{7850571A-D562-2D41-847C-49F676C9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Naomi Torrisi</cp:lastModifiedBy>
  <cp:revision>2</cp:revision>
  <dcterms:created xsi:type="dcterms:W3CDTF">2025-09-24T14:28:00Z</dcterms:created>
  <dcterms:modified xsi:type="dcterms:W3CDTF">2025-09-24T14:28:00Z</dcterms:modified>
  <cp:category/>
</cp:coreProperties>
</file>