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892D" w14:textId="2C53F8E1" w:rsidR="00645B37" w:rsidRDefault="00F07FBD">
      <w:pPr>
        <w:pStyle w:val="Title"/>
      </w:pPr>
      <w:r>
        <w:t xml:space="preserve">Cornell Notes – RNA‑seq &amp; scRNA‑seq in Cancer Genomics (Prof. Jun Wang, </w:t>
      </w:r>
      <w:r w:rsidR="00C82885">
        <w:t>24SEP2025</w:t>
      </w:r>
      <w:r>
        <w:t>)</w:t>
      </w:r>
    </w:p>
    <w:p w14:paraId="61155D1C" w14:textId="790C2ACF" w:rsidR="00645B37" w:rsidRDefault="00F07FBD">
      <w:r>
        <w:rPr>
          <w:sz w:val="20"/>
        </w:rPr>
        <w:t xml:space="preserve">Aligned to lecture slides; expanded with contextual notes and primary literature. </w:t>
      </w:r>
      <w:r w:rsidR="00C82885">
        <w:rPr>
          <w:sz w:val="20"/>
        </w:rPr>
        <w:t xml:space="preserve"> </w:t>
      </w:r>
    </w:p>
    <w:p w14:paraId="0BA1EC3E" w14:textId="77777777" w:rsidR="00645B37" w:rsidRDefault="00F07FBD">
      <w:pPr>
        <w:pStyle w:val="Heading1"/>
      </w:pPr>
      <w:r>
        <w:t>1) Introduction &amp; NGS Context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32A2DB84" w14:textId="77777777">
        <w:tc>
          <w:tcPr>
            <w:tcW w:w="4320" w:type="dxa"/>
          </w:tcPr>
          <w:p w14:paraId="5DF0BDAB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77A93D55" w14:textId="77777777" w:rsidR="00645B37" w:rsidRDefault="00F07FBD">
            <w:r>
              <w:t xml:space="preserve">Notes (Detailed </w:t>
            </w:r>
            <w:r>
              <w:t>explanations)</w:t>
            </w:r>
          </w:p>
        </w:tc>
      </w:tr>
      <w:tr w:rsidR="00645B37" w14:paraId="41EFC934" w14:textId="77777777">
        <w:tc>
          <w:tcPr>
            <w:tcW w:w="4320" w:type="dxa"/>
          </w:tcPr>
          <w:p w14:paraId="2CCC37B0" w14:textId="77777777" w:rsidR="00645B37" w:rsidRDefault="00F07FBD">
            <w:r>
              <w:t>What problem does RNA‑seq solve?</w:t>
            </w:r>
          </w:p>
        </w:tc>
        <w:tc>
          <w:tcPr>
            <w:tcW w:w="4320" w:type="dxa"/>
          </w:tcPr>
          <w:p w14:paraId="31812185" w14:textId="77777777" w:rsidR="00645B37" w:rsidRDefault="00F07FBD">
            <w:r>
              <w:t>RNA‑seq profiles the transcriptome (which genes are expressed and at what levels), enabling discovery of differential expression, splicing, fusions, novel transcripts, RNA‑level variants, and co‑expression ne</w:t>
            </w:r>
            <w:r>
              <w:t>tworks in cancer. Compared with microarrays, RNA‑seq captures a broader dynamic range and novel isoforms without prior probe design.</w:t>
            </w:r>
          </w:p>
        </w:tc>
      </w:tr>
      <w:tr w:rsidR="00645B37" w14:paraId="03F44056" w14:textId="77777777">
        <w:tc>
          <w:tcPr>
            <w:tcW w:w="4320" w:type="dxa"/>
          </w:tcPr>
          <w:p w14:paraId="27069A39" w14:textId="77777777" w:rsidR="00645B37" w:rsidRDefault="00F07FBD">
            <w:r>
              <w:t>Bulk vs single‑cell RNA‑seq</w:t>
            </w:r>
          </w:p>
        </w:tc>
        <w:tc>
          <w:tcPr>
            <w:tcW w:w="4320" w:type="dxa"/>
          </w:tcPr>
          <w:p w14:paraId="43573760" w14:textId="77777777" w:rsidR="00645B37" w:rsidRDefault="00F07FBD">
            <w:r>
              <w:t>Bulk RNA‑seq averages signal across many cells (good for group‑level changes but masks heterog</w:t>
            </w:r>
            <w:r>
              <w:t>eneity). Single‑cell RNA‑seq (scRNA‑seq) measures each cell separately, resolving intra‑tumour heterogeneity, rare clones, and immune/stromal states.</w:t>
            </w:r>
          </w:p>
        </w:tc>
      </w:tr>
      <w:tr w:rsidR="00645B37" w14:paraId="3096517E" w14:textId="77777777">
        <w:tc>
          <w:tcPr>
            <w:tcW w:w="4320" w:type="dxa"/>
          </w:tcPr>
          <w:p w14:paraId="4C54CA48" w14:textId="77777777" w:rsidR="00645B37" w:rsidRDefault="00F07FBD">
            <w:r>
              <w:t>Human Genome Project → NGS</w:t>
            </w:r>
          </w:p>
        </w:tc>
        <w:tc>
          <w:tcPr>
            <w:tcW w:w="4320" w:type="dxa"/>
          </w:tcPr>
          <w:p w14:paraId="6BE0F7FB" w14:textId="77777777" w:rsidR="00645B37" w:rsidRDefault="00F07FBD">
            <w:r>
              <w:t>HGP took ~15 years and ~$3B. With NGS, whole genomes now sequenced in ~24 h at</w:t>
            </w:r>
            <w:r>
              <w:t xml:space="preserve"> ~$1K, making RNA‑seq routine in translational oncology.</w:t>
            </w:r>
          </w:p>
        </w:tc>
      </w:tr>
    </w:tbl>
    <w:p w14:paraId="11C12B9D" w14:textId="77777777" w:rsidR="00645B37" w:rsidRDefault="00F07FBD">
      <w:r>
        <w:rPr>
          <w:b/>
        </w:rPr>
        <w:t xml:space="preserve">Summary: </w:t>
      </w:r>
      <w:r>
        <w:t>RNA‑seq (bulk) quantifies average expression; scRNA‑seq resolves cell‑to‑cell heterogeneity—critical for cancer where mixed cell states drive outcome.</w:t>
      </w:r>
    </w:p>
    <w:p w14:paraId="3AB2DB89" w14:textId="77777777" w:rsidR="00645B37" w:rsidRDefault="00645B37"/>
    <w:p w14:paraId="7A9CE4C4" w14:textId="77777777" w:rsidR="00645B37" w:rsidRDefault="00F07FBD">
      <w:pPr>
        <w:pStyle w:val="Heading1"/>
      </w:pPr>
      <w:r>
        <w:t>2) NGS Strategies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6EB24EAF" w14:textId="77777777">
        <w:tc>
          <w:tcPr>
            <w:tcW w:w="4320" w:type="dxa"/>
          </w:tcPr>
          <w:p w14:paraId="700136C6" w14:textId="77777777" w:rsidR="00645B37" w:rsidRDefault="00F07FBD">
            <w:r>
              <w:t>Cue (Keywords / Que</w:t>
            </w:r>
            <w:r>
              <w:t>stions)</w:t>
            </w:r>
          </w:p>
        </w:tc>
        <w:tc>
          <w:tcPr>
            <w:tcW w:w="4320" w:type="dxa"/>
          </w:tcPr>
          <w:p w14:paraId="799F48A1" w14:textId="77777777" w:rsidR="00645B37" w:rsidRDefault="00F07FBD">
            <w:r>
              <w:t>Notes (Detailed explanations)</w:t>
            </w:r>
          </w:p>
        </w:tc>
      </w:tr>
      <w:tr w:rsidR="00645B37" w14:paraId="74784909" w14:textId="77777777">
        <w:tc>
          <w:tcPr>
            <w:tcW w:w="4320" w:type="dxa"/>
          </w:tcPr>
          <w:p w14:paraId="498175B4" w14:textId="77777777" w:rsidR="00645B37" w:rsidRDefault="00F07FBD">
            <w:r>
              <w:lastRenderedPageBreak/>
              <w:t>WGS vs WES vs RNA‑seq</w:t>
            </w:r>
          </w:p>
        </w:tc>
        <w:tc>
          <w:tcPr>
            <w:tcW w:w="4320" w:type="dxa"/>
          </w:tcPr>
          <w:p w14:paraId="068D440D" w14:textId="77777777" w:rsidR="00645B37" w:rsidRDefault="00F07FBD">
            <w:r>
              <w:t>WGS: all genomic sequence (3 Gb). WES: coding exons (~1–2%). RNA‑seq: expressed transcripts (mRNA ± ncRNA). Choose WES to focus on protein‑altering variants; RNA‑seq to connect genotype to gene a</w:t>
            </w:r>
            <w:r>
              <w:t>ctivity and splicing.</w:t>
            </w:r>
          </w:p>
        </w:tc>
      </w:tr>
    </w:tbl>
    <w:p w14:paraId="4596E5D1" w14:textId="77777777" w:rsidR="00645B37" w:rsidRDefault="00F07FBD">
      <w:r>
        <w:rPr>
          <w:b/>
        </w:rPr>
        <w:t xml:space="preserve">Summary: </w:t>
      </w:r>
      <w:r>
        <w:t>Pick WES for coding mutations; RNA‑seq when expression/splicing/pathways matter; WGS for comprehensive variant landscapes.</w:t>
      </w:r>
    </w:p>
    <w:p w14:paraId="48FB4D08" w14:textId="77777777" w:rsidR="00645B37" w:rsidRDefault="00645B37"/>
    <w:p w14:paraId="6BC6F808" w14:textId="77777777" w:rsidR="00645B37" w:rsidRDefault="00F07FBD">
      <w:pPr>
        <w:pStyle w:val="Heading1"/>
      </w:pPr>
      <w:r>
        <w:t>3) Bulk RNA‑seq – Experimental Design &amp; Library Prep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42701B18" w14:textId="77777777">
        <w:tc>
          <w:tcPr>
            <w:tcW w:w="4320" w:type="dxa"/>
          </w:tcPr>
          <w:p w14:paraId="4B2639BA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148160ED" w14:textId="77777777" w:rsidR="00645B37" w:rsidRDefault="00F07FBD">
            <w:r>
              <w:t xml:space="preserve">Notes </w:t>
            </w:r>
            <w:r>
              <w:t>(Detailed explanations)</w:t>
            </w:r>
          </w:p>
        </w:tc>
      </w:tr>
      <w:tr w:rsidR="00645B37" w14:paraId="21F44301" w14:textId="77777777">
        <w:tc>
          <w:tcPr>
            <w:tcW w:w="4320" w:type="dxa"/>
          </w:tcPr>
          <w:p w14:paraId="61CC4DFE" w14:textId="77777777" w:rsidR="00645B37" w:rsidRDefault="00F07FBD">
            <w:r>
              <w:t>Poly‑A selection vs rRNA depletion</w:t>
            </w:r>
          </w:p>
        </w:tc>
        <w:tc>
          <w:tcPr>
            <w:tcW w:w="4320" w:type="dxa"/>
          </w:tcPr>
          <w:p w14:paraId="75D90726" w14:textId="77777777" w:rsidR="00645B37" w:rsidRDefault="00F07FBD">
            <w:r>
              <w:t>Poly‑A selection enriches mature mRNAs (efficient for coding transcriptomes). rRNA depletion removes rRNA and retains mRNA plus non‑coding RNAs (e.g., lncRNAs), better for degraded RNA or ncRNA st</w:t>
            </w:r>
            <w:r>
              <w:t>udies.</w:t>
            </w:r>
          </w:p>
        </w:tc>
      </w:tr>
      <w:tr w:rsidR="00645B37" w14:paraId="266176C1" w14:textId="77777777">
        <w:tc>
          <w:tcPr>
            <w:tcW w:w="4320" w:type="dxa"/>
          </w:tcPr>
          <w:p w14:paraId="32BB3D21" w14:textId="77777777" w:rsidR="00645B37" w:rsidRDefault="00F07FBD">
            <w:r>
              <w:t>Data generation pipeline (high level)</w:t>
            </w:r>
          </w:p>
        </w:tc>
        <w:tc>
          <w:tcPr>
            <w:tcW w:w="4320" w:type="dxa"/>
          </w:tcPr>
          <w:p w14:paraId="5424E491" w14:textId="77777777" w:rsidR="00645B37" w:rsidRDefault="00F07FBD">
            <w:r>
              <w:t>1) RNA isolation → 2) Library prep (Poly‑A or rRNA‑depletion) → 3) Sequencing (short reads) → 4) Alignment to genome/transcriptome → 5) Quantification of gene/isoform counts → 6) QC/normalisation → 7) Downstrea</w:t>
            </w:r>
            <w:r>
              <w:t>m analyses.</w:t>
            </w:r>
          </w:p>
        </w:tc>
      </w:tr>
      <w:tr w:rsidR="00645B37" w14:paraId="772AECB3" w14:textId="77777777">
        <w:tc>
          <w:tcPr>
            <w:tcW w:w="4320" w:type="dxa"/>
          </w:tcPr>
          <w:p w14:paraId="0415890F" w14:textId="77777777" w:rsidR="00645B37" w:rsidRDefault="00F07FBD">
            <w:r>
              <w:t>Visualising alignments</w:t>
            </w:r>
          </w:p>
        </w:tc>
        <w:tc>
          <w:tcPr>
            <w:tcW w:w="4320" w:type="dxa"/>
          </w:tcPr>
          <w:p w14:paraId="4937A7BD" w14:textId="77777777" w:rsidR="00645B37" w:rsidRDefault="00F07FBD">
            <w:r>
              <w:t>Genome browsers (e.g., IGV) display read coverage across exons and splice junctions to sanity‑check mappings and splicing signatures.</w:t>
            </w:r>
          </w:p>
        </w:tc>
      </w:tr>
    </w:tbl>
    <w:p w14:paraId="44C79693" w14:textId="77777777" w:rsidR="00645B37" w:rsidRDefault="00F07FBD">
      <w:r>
        <w:rPr>
          <w:b/>
        </w:rPr>
        <w:t xml:space="preserve">Summary: </w:t>
      </w:r>
      <w:r>
        <w:t>Library choice determines what you see: Poly‑A for coding mRNA; rRNA‑depleti</w:t>
      </w:r>
      <w:r>
        <w:t>on to include lncRNAs. IGV is essential for qualitative checks.</w:t>
      </w:r>
    </w:p>
    <w:p w14:paraId="37E84F82" w14:textId="77777777" w:rsidR="00645B37" w:rsidRDefault="00645B37"/>
    <w:p w14:paraId="663EFA5A" w14:textId="77777777" w:rsidR="00645B37" w:rsidRDefault="00F07FBD">
      <w:pPr>
        <w:pStyle w:val="Heading1"/>
      </w:pPr>
      <w:r>
        <w:t>4) Bulk RNA‑seq – Core Analyses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2A2B56D4" w14:textId="77777777">
        <w:tc>
          <w:tcPr>
            <w:tcW w:w="4320" w:type="dxa"/>
          </w:tcPr>
          <w:p w14:paraId="19173D84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2B9FBD3B" w14:textId="77777777" w:rsidR="00645B37" w:rsidRDefault="00F07FBD">
            <w:r>
              <w:t>Notes (Detailed explanations)</w:t>
            </w:r>
          </w:p>
        </w:tc>
      </w:tr>
      <w:tr w:rsidR="00645B37" w14:paraId="1F8845A4" w14:textId="77777777">
        <w:tc>
          <w:tcPr>
            <w:tcW w:w="4320" w:type="dxa"/>
          </w:tcPr>
          <w:p w14:paraId="5BAEC70D" w14:textId="77777777" w:rsidR="00645B37" w:rsidRDefault="00F07FBD">
            <w:r>
              <w:t>Alignment &amp; expression quantification</w:t>
            </w:r>
          </w:p>
        </w:tc>
        <w:tc>
          <w:tcPr>
            <w:tcW w:w="4320" w:type="dxa"/>
          </w:tcPr>
          <w:p w14:paraId="5B1714DD" w14:textId="77777777" w:rsidR="00645B37" w:rsidRDefault="00F07FBD">
            <w:r>
              <w:t xml:space="preserve">Short reads mapped to reference (transcriptome and/or genome). </w:t>
            </w:r>
            <w:r>
              <w:lastRenderedPageBreak/>
              <w:t>Expression summarised as counts per gene/isoform (then normalised).</w:t>
            </w:r>
          </w:p>
        </w:tc>
      </w:tr>
      <w:tr w:rsidR="00645B37" w14:paraId="140B31FB" w14:textId="77777777">
        <w:tc>
          <w:tcPr>
            <w:tcW w:w="4320" w:type="dxa"/>
          </w:tcPr>
          <w:p w14:paraId="49E478DF" w14:textId="77777777" w:rsidR="00645B37" w:rsidRDefault="00F07FBD">
            <w:r>
              <w:lastRenderedPageBreak/>
              <w:t>Differential expression (DE)</w:t>
            </w:r>
          </w:p>
        </w:tc>
        <w:tc>
          <w:tcPr>
            <w:tcW w:w="4320" w:type="dxa"/>
          </w:tcPr>
          <w:p w14:paraId="5CFDEA1D" w14:textId="77777777" w:rsidR="00645B37" w:rsidRDefault="00F07FBD">
            <w:r>
              <w:t>Compare tumour vs control (or time points) to find significantly up/downregulated genes (control false discovery rate, e.g., FDR &lt; 0.05).</w:t>
            </w:r>
          </w:p>
        </w:tc>
      </w:tr>
      <w:tr w:rsidR="00645B37" w14:paraId="3CE63AFD" w14:textId="77777777">
        <w:tc>
          <w:tcPr>
            <w:tcW w:w="4320" w:type="dxa"/>
          </w:tcPr>
          <w:p w14:paraId="0C891CB0" w14:textId="77777777" w:rsidR="00645B37" w:rsidRDefault="00F07FBD">
            <w:r>
              <w:t xml:space="preserve">PCA &amp; </w:t>
            </w:r>
            <w:r>
              <w:t>clustering</w:t>
            </w:r>
          </w:p>
        </w:tc>
        <w:tc>
          <w:tcPr>
            <w:tcW w:w="4320" w:type="dxa"/>
          </w:tcPr>
          <w:p w14:paraId="031E4FC0" w14:textId="77777777" w:rsidR="00645B37" w:rsidRDefault="00F07FBD">
            <w:r>
              <w:t>Principal component analysis and clustering check whether biological groups separate as expected and detect outliers/batch effects.</w:t>
            </w:r>
          </w:p>
        </w:tc>
      </w:tr>
      <w:tr w:rsidR="00645B37" w14:paraId="123398FA" w14:textId="77777777">
        <w:tc>
          <w:tcPr>
            <w:tcW w:w="4320" w:type="dxa"/>
          </w:tcPr>
          <w:p w14:paraId="6771C544" w14:textId="77777777" w:rsidR="00645B37" w:rsidRDefault="00F07FBD">
            <w:r>
              <w:t>Pathway analysis</w:t>
            </w:r>
          </w:p>
        </w:tc>
        <w:tc>
          <w:tcPr>
            <w:tcW w:w="4320" w:type="dxa"/>
          </w:tcPr>
          <w:p w14:paraId="12A9ABE1" w14:textId="77777777" w:rsidR="00645B37" w:rsidRDefault="00F07FBD">
            <w:r>
              <w:t>From DE genes, perform enrichment (DAVID, Ingenuity Pathway Analysis). Alternatively, GSEA rank</w:t>
            </w:r>
            <w:r>
              <w:t>s all genes to detect subtle, coordinated pathway shifts. EnrichmentMap can visualise pathway communities.</w:t>
            </w:r>
          </w:p>
        </w:tc>
      </w:tr>
    </w:tbl>
    <w:p w14:paraId="6080782C" w14:textId="77777777" w:rsidR="00645B37" w:rsidRDefault="00F07FBD">
      <w:r>
        <w:rPr>
          <w:b/>
        </w:rPr>
        <w:t xml:space="preserve">Summary: </w:t>
      </w:r>
      <w:r>
        <w:t>DE pinpoints gene‑level shifts; PCA/clustering checks global structure; pathway tools translate gene lists into biology (processes, pathway</w:t>
      </w:r>
      <w:r>
        <w:t>s).</w:t>
      </w:r>
    </w:p>
    <w:p w14:paraId="3B8F2985" w14:textId="77777777" w:rsidR="00645B37" w:rsidRDefault="00645B37"/>
    <w:p w14:paraId="7E389E9E" w14:textId="77777777" w:rsidR="00645B37" w:rsidRDefault="00F07FBD">
      <w:pPr>
        <w:pStyle w:val="Heading1"/>
      </w:pPr>
      <w:r>
        <w:t>5) Cancer Biology Applications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2CB3160C" w14:textId="77777777">
        <w:tc>
          <w:tcPr>
            <w:tcW w:w="4320" w:type="dxa"/>
          </w:tcPr>
          <w:p w14:paraId="5D2A024A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2FA6CA7E" w14:textId="77777777" w:rsidR="00645B37" w:rsidRDefault="00F07FBD">
            <w:r>
              <w:t>Notes (Detailed explanations)</w:t>
            </w:r>
          </w:p>
        </w:tc>
      </w:tr>
      <w:tr w:rsidR="00645B37" w14:paraId="1C1AD331" w14:textId="77777777">
        <w:tc>
          <w:tcPr>
            <w:tcW w:w="4320" w:type="dxa"/>
          </w:tcPr>
          <w:p w14:paraId="6D618EC4" w14:textId="77777777" w:rsidR="00645B37" w:rsidRDefault="00F07FBD">
            <w:r>
              <w:t>Example: estrogen treatment of breast cancer cells</w:t>
            </w:r>
          </w:p>
        </w:tc>
        <w:tc>
          <w:tcPr>
            <w:tcW w:w="4320" w:type="dxa"/>
          </w:tcPr>
          <w:p w14:paraId="52AEEF30" w14:textId="77777777" w:rsidR="00645B37" w:rsidRDefault="00F07FBD">
            <w:r>
              <w:t>Observed patterns: cell‑cycle programmes down; oxidative phosphorylation up. Suggests metabolic re‑wiring under</w:t>
            </w:r>
            <w:r>
              <w:t xml:space="preserve"> estrogen signalling.</w:t>
            </w:r>
          </w:p>
        </w:tc>
      </w:tr>
      <w:tr w:rsidR="00645B37" w14:paraId="00C1ACFB" w14:textId="77777777">
        <w:tc>
          <w:tcPr>
            <w:tcW w:w="4320" w:type="dxa"/>
          </w:tcPr>
          <w:p w14:paraId="4C24AE9B" w14:textId="77777777" w:rsidR="00645B37" w:rsidRDefault="00F07FBD">
            <w:r>
              <w:t>Why OXPHOS matters</w:t>
            </w:r>
          </w:p>
        </w:tc>
        <w:tc>
          <w:tcPr>
            <w:tcW w:w="4320" w:type="dxa"/>
          </w:tcPr>
          <w:p w14:paraId="364B45CD" w14:textId="77777777" w:rsidR="00645B37" w:rsidRDefault="00F07FBD">
            <w:r>
              <w:t>Upregulated OXPHOS indicates increased mitochondrial ATP production and a survival/adaptation route under treatment pressure.</w:t>
            </w:r>
          </w:p>
        </w:tc>
      </w:tr>
    </w:tbl>
    <w:p w14:paraId="2115D50E" w14:textId="77777777" w:rsidR="00645B37" w:rsidRDefault="00F07FBD">
      <w:r>
        <w:rPr>
          <w:b/>
        </w:rPr>
        <w:t xml:space="preserve">Summary: </w:t>
      </w:r>
      <w:r>
        <w:t xml:space="preserve">RNA‑seq reveals treatment‑induced programme shifts (e.g., </w:t>
      </w:r>
      <w:r>
        <w:t>metabolism), informing mechanisms of response and resistance.</w:t>
      </w:r>
    </w:p>
    <w:p w14:paraId="5D9B3295" w14:textId="77777777" w:rsidR="00645B37" w:rsidRDefault="00645B37"/>
    <w:p w14:paraId="25F061D3" w14:textId="77777777" w:rsidR="00645B37" w:rsidRDefault="00F07FBD">
      <w:pPr>
        <w:pStyle w:val="Heading1"/>
      </w:pPr>
      <w:r>
        <w:t>6) RNA‑level Variants, ASE, Fusions &amp; Splicing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22D71B0E" w14:textId="77777777">
        <w:tc>
          <w:tcPr>
            <w:tcW w:w="4320" w:type="dxa"/>
          </w:tcPr>
          <w:p w14:paraId="11E595CD" w14:textId="77777777" w:rsidR="00645B37" w:rsidRDefault="00F07FBD">
            <w:r>
              <w:lastRenderedPageBreak/>
              <w:t>Cue (Keywords / Questions)</w:t>
            </w:r>
          </w:p>
        </w:tc>
        <w:tc>
          <w:tcPr>
            <w:tcW w:w="4320" w:type="dxa"/>
          </w:tcPr>
          <w:p w14:paraId="2FB08B27" w14:textId="77777777" w:rsidR="00645B37" w:rsidRDefault="00F07FBD">
            <w:r>
              <w:t>Notes (Detailed explanations)</w:t>
            </w:r>
          </w:p>
        </w:tc>
      </w:tr>
      <w:tr w:rsidR="00645B37" w14:paraId="58F8F53A" w14:textId="77777777">
        <w:tc>
          <w:tcPr>
            <w:tcW w:w="4320" w:type="dxa"/>
          </w:tcPr>
          <w:p w14:paraId="3135B14B" w14:textId="77777777" w:rsidR="00645B37" w:rsidRDefault="00F07FBD">
            <w:r>
              <w:t>Variant &amp; allele‑specific expression (ASE)</w:t>
            </w:r>
          </w:p>
        </w:tc>
        <w:tc>
          <w:tcPr>
            <w:tcW w:w="4320" w:type="dxa"/>
          </w:tcPr>
          <w:p w14:paraId="73DF4F7A" w14:textId="77777777" w:rsidR="00645B37" w:rsidRDefault="00F07FBD">
            <w:r>
              <w:t xml:space="preserve">RNA‑seq can capture expressed </w:t>
            </w:r>
            <w:r>
              <w:t>variants and allelic imbalance (bi‑ vs mono‑allelic expression) impacting dosage and function.</w:t>
            </w:r>
          </w:p>
        </w:tc>
      </w:tr>
      <w:tr w:rsidR="00645B37" w14:paraId="0838EE14" w14:textId="77777777">
        <w:tc>
          <w:tcPr>
            <w:tcW w:w="4320" w:type="dxa"/>
          </w:tcPr>
          <w:p w14:paraId="61E4A04A" w14:textId="77777777" w:rsidR="00645B37" w:rsidRDefault="00F07FBD">
            <w:r>
              <w:t>Gene fusions</w:t>
            </w:r>
          </w:p>
        </w:tc>
        <w:tc>
          <w:tcPr>
            <w:tcW w:w="4320" w:type="dxa"/>
          </w:tcPr>
          <w:p w14:paraId="1AE61824" w14:textId="77777777" w:rsidR="00645B37" w:rsidRDefault="00F07FBD">
            <w:r>
              <w:t>Chimeric transcripts from genomic rearrangements (e.g., BCR–ABL). Detected by split‑reads/read‑pairs spanning fusion junctions. Tools mentioned: To</w:t>
            </w:r>
            <w:r>
              <w:t>pHat‑fusion, SOAPfusion.</w:t>
            </w:r>
          </w:p>
        </w:tc>
      </w:tr>
      <w:tr w:rsidR="00645B37" w14:paraId="02B5AE45" w14:textId="77777777">
        <w:tc>
          <w:tcPr>
            <w:tcW w:w="4320" w:type="dxa"/>
          </w:tcPr>
          <w:p w14:paraId="0B12364F" w14:textId="77777777" w:rsidR="00645B37" w:rsidRDefault="00F07FBD">
            <w:r>
              <w:t>Alternative splicing &amp; isoforms</w:t>
            </w:r>
          </w:p>
        </w:tc>
        <w:tc>
          <w:tcPr>
            <w:tcW w:w="4320" w:type="dxa"/>
          </w:tcPr>
          <w:p w14:paraId="54BA1B49" w14:textId="77777777" w:rsidR="00645B37" w:rsidRDefault="00F07FBD">
            <w:r>
              <w:t>Coverage over exons and splice junctions reveals exon skipping, alternative donors/acceptors, intron retention; isoform‑specific expression can be estimated.</w:t>
            </w:r>
          </w:p>
        </w:tc>
      </w:tr>
    </w:tbl>
    <w:p w14:paraId="0EEB2C04" w14:textId="77777777" w:rsidR="00645B37" w:rsidRDefault="00F07FBD">
      <w:r>
        <w:rPr>
          <w:b/>
        </w:rPr>
        <w:t xml:space="preserve">Summary: </w:t>
      </w:r>
      <w:r>
        <w:t>Beyond expression, RNA‑seq rev</w:t>
      </w:r>
      <w:r>
        <w:t>eals functional variants, allele bias, oncogenic fusions, and isoform re‑wiring relevant to tumour behaviour.</w:t>
      </w:r>
    </w:p>
    <w:p w14:paraId="6F04499A" w14:textId="77777777" w:rsidR="00645B37" w:rsidRDefault="00645B37"/>
    <w:p w14:paraId="128899FA" w14:textId="77777777" w:rsidR="00645B37" w:rsidRDefault="00F07FBD">
      <w:pPr>
        <w:pStyle w:val="Heading1"/>
      </w:pPr>
      <w:r>
        <w:t>7) Co‑expression Networks &amp; lncRNAs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6DA42F5A" w14:textId="77777777">
        <w:tc>
          <w:tcPr>
            <w:tcW w:w="4320" w:type="dxa"/>
          </w:tcPr>
          <w:p w14:paraId="1D87B735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7A8C263F" w14:textId="77777777" w:rsidR="00645B37" w:rsidRDefault="00F07FBD">
            <w:r>
              <w:t>Notes (Detailed explanations)</w:t>
            </w:r>
          </w:p>
        </w:tc>
      </w:tr>
      <w:tr w:rsidR="00645B37" w14:paraId="1950EE3C" w14:textId="77777777">
        <w:tc>
          <w:tcPr>
            <w:tcW w:w="4320" w:type="dxa"/>
          </w:tcPr>
          <w:p w14:paraId="4EB98243" w14:textId="77777777" w:rsidR="00645B37" w:rsidRDefault="00F07FBD">
            <w:r>
              <w:t>Co‑expression</w:t>
            </w:r>
          </w:p>
        </w:tc>
        <w:tc>
          <w:tcPr>
            <w:tcW w:w="4320" w:type="dxa"/>
          </w:tcPr>
          <w:p w14:paraId="3DC713D7" w14:textId="77777777" w:rsidR="00645B37" w:rsidRDefault="00F07FBD">
            <w:r>
              <w:t>Genes with correlated expression impl</w:t>
            </w:r>
            <w:r>
              <w:t>y shared regulation or pathway membership; network modules can associate with phenotypes.</w:t>
            </w:r>
          </w:p>
        </w:tc>
      </w:tr>
      <w:tr w:rsidR="00645B37" w14:paraId="47145B55" w14:textId="77777777">
        <w:tc>
          <w:tcPr>
            <w:tcW w:w="4320" w:type="dxa"/>
          </w:tcPr>
          <w:p w14:paraId="50D02014" w14:textId="77777777" w:rsidR="00645B37" w:rsidRDefault="00F07FBD">
            <w:r>
              <w:t>Long non‑coding RNAs (lncRNAs)</w:t>
            </w:r>
          </w:p>
        </w:tc>
        <w:tc>
          <w:tcPr>
            <w:tcW w:w="4320" w:type="dxa"/>
          </w:tcPr>
          <w:p w14:paraId="5B6B8684" w14:textId="77777777" w:rsidR="00645B37" w:rsidRDefault="00F07FBD">
            <w:r>
              <w:t>Typically &gt;200 nt, often lowly expressed and cell‑type specific; participate in DNA/RNA/protein interactions to regulate transcription</w:t>
            </w:r>
            <w:r>
              <w:t xml:space="preserve"> and chromatin. Ribo‑depletion is preferred to capture non‑polyadenylated lncRNAs.</w:t>
            </w:r>
          </w:p>
        </w:tc>
      </w:tr>
      <w:tr w:rsidR="00645B37" w14:paraId="5C22A1DD" w14:textId="77777777">
        <w:tc>
          <w:tcPr>
            <w:tcW w:w="4320" w:type="dxa"/>
          </w:tcPr>
          <w:p w14:paraId="73009C80" w14:textId="77777777" w:rsidR="00645B37" w:rsidRDefault="00F07FBD">
            <w:r>
              <w:t>MALAT1 example</w:t>
            </w:r>
          </w:p>
        </w:tc>
        <w:tc>
          <w:tcPr>
            <w:tcW w:w="4320" w:type="dxa"/>
          </w:tcPr>
          <w:p w14:paraId="7980C56B" w14:textId="77777777" w:rsidR="00645B37" w:rsidRDefault="00F07FBD">
            <w:r>
              <w:t>lncRNA linked to metastasis and poor prognosis across tumours; highly conserved and transcriptionally active.</w:t>
            </w:r>
          </w:p>
        </w:tc>
      </w:tr>
    </w:tbl>
    <w:p w14:paraId="37A88F33" w14:textId="77777777" w:rsidR="00645B37" w:rsidRDefault="00F07FBD">
      <w:r>
        <w:rPr>
          <w:b/>
        </w:rPr>
        <w:t xml:space="preserve">Summary: </w:t>
      </w:r>
      <w:r>
        <w:t xml:space="preserve">Network‑level views reveal </w:t>
      </w:r>
      <w:r>
        <w:t>coordinated programmes; lncRNAs (e.g., MALAT1) add a regulatory layer tied to prognosis and metastasis.</w:t>
      </w:r>
    </w:p>
    <w:p w14:paraId="588A714A" w14:textId="77777777" w:rsidR="00645B37" w:rsidRDefault="00645B37"/>
    <w:p w14:paraId="522914F3" w14:textId="77777777" w:rsidR="00645B37" w:rsidRDefault="00F07FBD">
      <w:pPr>
        <w:pStyle w:val="Heading1"/>
      </w:pPr>
      <w:r>
        <w:lastRenderedPageBreak/>
        <w:t>8) scRNA‑seq – Wet‑lab Workflow &amp; Platforms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4116D712" w14:textId="77777777">
        <w:tc>
          <w:tcPr>
            <w:tcW w:w="4320" w:type="dxa"/>
          </w:tcPr>
          <w:p w14:paraId="0D158BCB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0EA0923D" w14:textId="77777777" w:rsidR="00645B37" w:rsidRDefault="00F07FBD">
            <w:r>
              <w:t>Notes (Detailed explanations)</w:t>
            </w:r>
          </w:p>
        </w:tc>
      </w:tr>
      <w:tr w:rsidR="00645B37" w14:paraId="4837CF32" w14:textId="77777777">
        <w:tc>
          <w:tcPr>
            <w:tcW w:w="4320" w:type="dxa"/>
          </w:tcPr>
          <w:p w14:paraId="2445AE20" w14:textId="77777777" w:rsidR="00645B37" w:rsidRDefault="00F07FBD">
            <w:r>
              <w:t>Plate vs droplet</w:t>
            </w:r>
          </w:p>
        </w:tc>
        <w:tc>
          <w:tcPr>
            <w:tcW w:w="4320" w:type="dxa"/>
          </w:tcPr>
          <w:p w14:paraId="2035BA46" w14:textId="77777777" w:rsidR="00645B37" w:rsidRDefault="00F07FBD">
            <w:r>
              <w:t>Plate‑based: cells sorted into w</w:t>
            </w:r>
            <w:r>
              <w:t>ells; high per‑cell depth; lower throughput. Droplet‑based (e.g., 10x): cells barcoded in oil droplets; high throughput (~10k cells/run; ~5–8k usable; ~50k reads/cell).</w:t>
            </w:r>
          </w:p>
        </w:tc>
      </w:tr>
      <w:tr w:rsidR="00645B37" w14:paraId="71A4AB62" w14:textId="77777777">
        <w:tc>
          <w:tcPr>
            <w:tcW w:w="4320" w:type="dxa"/>
          </w:tcPr>
          <w:p w14:paraId="20147ABF" w14:textId="77777777" w:rsidR="00645B37" w:rsidRDefault="00F07FBD">
            <w:r>
              <w:t>General 10x workflow</w:t>
            </w:r>
          </w:p>
        </w:tc>
        <w:tc>
          <w:tcPr>
            <w:tcW w:w="4320" w:type="dxa"/>
          </w:tcPr>
          <w:p w14:paraId="4CB5B319" w14:textId="77777777" w:rsidR="00645B37" w:rsidRDefault="00F07FBD">
            <w:r>
              <w:t>Encapsulate single cells + barcoded beads → reverse transcription</w:t>
            </w:r>
            <w:r>
              <w:t xml:space="preserve"> → library prep → sequencing → count matrix per cell (UMIs).</w:t>
            </w:r>
          </w:p>
        </w:tc>
      </w:tr>
    </w:tbl>
    <w:p w14:paraId="554FBE9E" w14:textId="77777777" w:rsidR="00645B37" w:rsidRDefault="00F07FBD">
      <w:r>
        <w:rPr>
          <w:b/>
        </w:rPr>
        <w:t xml:space="preserve">Summary: </w:t>
      </w:r>
      <w:r>
        <w:t>Plate methods suit targeted, deep profiling; droplet methods scale to thousands of cells, enabling atlas‑level tumour microenvironment maps.</w:t>
      </w:r>
    </w:p>
    <w:p w14:paraId="6F50A284" w14:textId="77777777" w:rsidR="00645B37" w:rsidRDefault="00645B37"/>
    <w:p w14:paraId="03778A1C" w14:textId="77777777" w:rsidR="00645B37" w:rsidRDefault="00F07FBD">
      <w:pPr>
        <w:pStyle w:val="Heading1"/>
      </w:pPr>
      <w:r>
        <w:t>9) scRNA‑seq – What We Learn in Cancer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1F06E914" w14:textId="77777777">
        <w:tc>
          <w:tcPr>
            <w:tcW w:w="4320" w:type="dxa"/>
          </w:tcPr>
          <w:p w14:paraId="1BF9F3DE" w14:textId="77777777" w:rsidR="00645B37" w:rsidRDefault="00F07FBD">
            <w:r>
              <w:t xml:space="preserve">Cue </w:t>
            </w:r>
            <w:r>
              <w:t>(Keywords / Questions)</w:t>
            </w:r>
          </w:p>
        </w:tc>
        <w:tc>
          <w:tcPr>
            <w:tcW w:w="4320" w:type="dxa"/>
          </w:tcPr>
          <w:p w14:paraId="5F0D5F1E" w14:textId="77777777" w:rsidR="00645B37" w:rsidRDefault="00F07FBD">
            <w:r>
              <w:t>Notes (Detailed explanations)</w:t>
            </w:r>
          </w:p>
        </w:tc>
      </w:tr>
      <w:tr w:rsidR="00645B37" w14:paraId="10D1F263" w14:textId="77777777">
        <w:tc>
          <w:tcPr>
            <w:tcW w:w="4320" w:type="dxa"/>
          </w:tcPr>
          <w:p w14:paraId="67285C4F" w14:textId="77777777" w:rsidR="00645B37" w:rsidRDefault="00F07FBD">
            <w:r>
              <w:t>Tumour microenvironment (TME)</w:t>
            </w:r>
          </w:p>
        </w:tc>
        <w:tc>
          <w:tcPr>
            <w:tcW w:w="4320" w:type="dxa"/>
          </w:tcPr>
          <w:p w14:paraId="126A3DCF" w14:textId="77777777" w:rsidR="00645B37" w:rsidRDefault="00F07FBD">
            <w:r>
              <w:t>Resolve T/NK/B cells, macrophages, fibroblasts, endothelial and stromal subsets; quantify states (e.g., exhausted vs effector CD8+).</w:t>
            </w:r>
          </w:p>
        </w:tc>
      </w:tr>
      <w:tr w:rsidR="00645B37" w14:paraId="1FA6A933" w14:textId="77777777">
        <w:tc>
          <w:tcPr>
            <w:tcW w:w="4320" w:type="dxa"/>
          </w:tcPr>
          <w:p w14:paraId="614C7EAE" w14:textId="77777777" w:rsidR="00645B37" w:rsidRDefault="00F07FBD">
            <w:r>
              <w:t xml:space="preserve">Tumour heterogeneity &amp; </w:t>
            </w:r>
            <w:r>
              <w:t>evolution</w:t>
            </w:r>
          </w:p>
        </w:tc>
        <w:tc>
          <w:tcPr>
            <w:tcW w:w="4320" w:type="dxa"/>
          </w:tcPr>
          <w:p w14:paraId="4EA4B453" w14:textId="77777777" w:rsidR="00645B37" w:rsidRDefault="00F07FBD">
            <w:r>
              <w:t>Identify malignant subclones and lineage/state hierarchies; track differentiation trajectories and potential resistance precursors.</w:t>
            </w:r>
          </w:p>
        </w:tc>
      </w:tr>
      <w:tr w:rsidR="00645B37" w14:paraId="29A30496" w14:textId="77777777">
        <w:tc>
          <w:tcPr>
            <w:tcW w:w="4320" w:type="dxa"/>
          </w:tcPr>
          <w:p w14:paraId="57B5C339" w14:textId="77777777" w:rsidR="00645B37" w:rsidRDefault="00F07FBD">
            <w:r>
              <w:t>Cross‑patient patterns</w:t>
            </w:r>
          </w:p>
        </w:tc>
        <w:tc>
          <w:tcPr>
            <w:tcW w:w="4320" w:type="dxa"/>
          </w:tcPr>
          <w:p w14:paraId="730F364C" w14:textId="77777777" w:rsidR="00645B37" w:rsidRDefault="00F07FBD">
            <w:r>
              <w:t>Non‑cancer cells often cluster by cell type across patients; malignant epithelial cells sh</w:t>
            </w:r>
            <w:r>
              <w:t>ow pronounced inter‑ and intra‑patient heterogeneity.</w:t>
            </w:r>
          </w:p>
        </w:tc>
      </w:tr>
    </w:tbl>
    <w:p w14:paraId="6DF3B572" w14:textId="77777777" w:rsidR="00645B37" w:rsidRDefault="00F07FBD">
      <w:r>
        <w:rPr>
          <w:b/>
        </w:rPr>
        <w:t xml:space="preserve">Summary: </w:t>
      </w:r>
      <w:r>
        <w:t>scRNA‑seq dissects TME composition and malignant cell states, exposing mechanisms of immune evasion and therapeutic resistance.</w:t>
      </w:r>
    </w:p>
    <w:p w14:paraId="3984D724" w14:textId="77777777" w:rsidR="00645B37" w:rsidRDefault="00645B37"/>
    <w:p w14:paraId="383E5C51" w14:textId="77777777" w:rsidR="00645B37" w:rsidRDefault="00F07FBD">
      <w:pPr>
        <w:pStyle w:val="Heading1"/>
      </w:pPr>
      <w:r>
        <w:t>10) scRNA‑seq – Computational Approaches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2FDF9BAE" w14:textId="77777777">
        <w:tc>
          <w:tcPr>
            <w:tcW w:w="4320" w:type="dxa"/>
          </w:tcPr>
          <w:p w14:paraId="4B6859E7" w14:textId="77777777" w:rsidR="00645B37" w:rsidRDefault="00F07FBD">
            <w:r>
              <w:t>Cue (Keywords / Questi</w:t>
            </w:r>
            <w:r>
              <w:t>ons)</w:t>
            </w:r>
          </w:p>
        </w:tc>
        <w:tc>
          <w:tcPr>
            <w:tcW w:w="4320" w:type="dxa"/>
          </w:tcPr>
          <w:p w14:paraId="7D4DE1E2" w14:textId="77777777" w:rsidR="00645B37" w:rsidRDefault="00F07FBD">
            <w:r>
              <w:t>Notes (Detailed explanations)</w:t>
            </w:r>
          </w:p>
        </w:tc>
      </w:tr>
      <w:tr w:rsidR="00645B37" w14:paraId="30A7C523" w14:textId="77777777">
        <w:tc>
          <w:tcPr>
            <w:tcW w:w="4320" w:type="dxa"/>
          </w:tcPr>
          <w:p w14:paraId="3064305D" w14:textId="77777777" w:rsidR="00645B37" w:rsidRDefault="00F07FBD">
            <w:r>
              <w:lastRenderedPageBreak/>
              <w:t>Sub‑clustering &amp; NMF</w:t>
            </w:r>
          </w:p>
        </w:tc>
        <w:tc>
          <w:tcPr>
            <w:tcW w:w="4320" w:type="dxa"/>
          </w:tcPr>
          <w:p w14:paraId="0EA02493" w14:textId="77777777" w:rsidR="00645B37" w:rsidRDefault="00F07FBD">
            <w:r>
              <w:t>Unsupervised methods (incl. NMF) discover gene programmes and fine‑grained subpopulations within major lineages (e.g., T‑cell or fibroblast subsets).</w:t>
            </w:r>
          </w:p>
        </w:tc>
      </w:tr>
      <w:tr w:rsidR="00645B37" w14:paraId="45C653A3" w14:textId="77777777">
        <w:tc>
          <w:tcPr>
            <w:tcW w:w="4320" w:type="dxa"/>
          </w:tcPr>
          <w:p w14:paraId="2F42B039" w14:textId="77777777" w:rsidR="00645B37" w:rsidRDefault="00F07FBD">
            <w:r>
              <w:t>Trajectory (pseudotime)</w:t>
            </w:r>
          </w:p>
        </w:tc>
        <w:tc>
          <w:tcPr>
            <w:tcW w:w="4320" w:type="dxa"/>
          </w:tcPr>
          <w:p w14:paraId="2C6F52C0" w14:textId="77777777" w:rsidR="00645B37" w:rsidRDefault="00F07FBD">
            <w:r>
              <w:t>Orders cells along diffe</w:t>
            </w:r>
            <w:r>
              <w:t>rentiation/transition paths to infer gene programmes changing en route to resistant or metastatic states.</w:t>
            </w:r>
          </w:p>
        </w:tc>
      </w:tr>
    </w:tbl>
    <w:p w14:paraId="64835D6B" w14:textId="77777777" w:rsidR="00645B37" w:rsidRDefault="00F07FBD">
      <w:r>
        <w:rPr>
          <w:b/>
        </w:rPr>
        <w:t xml:space="preserve">Summary: </w:t>
      </w:r>
      <w:r>
        <w:t>Clustering/program discovery + trajectories connect discrete cell states into processes, illuminating how tumours adapt.</w:t>
      </w:r>
    </w:p>
    <w:p w14:paraId="1EA3BD78" w14:textId="77777777" w:rsidR="00645B37" w:rsidRDefault="00645B37"/>
    <w:p w14:paraId="0AA87824" w14:textId="77777777" w:rsidR="00645B37" w:rsidRDefault="00F07FBD">
      <w:pPr>
        <w:pStyle w:val="Heading1"/>
      </w:pPr>
      <w:r>
        <w:t xml:space="preserve">11) </w:t>
      </w:r>
      <w:r>
        <w:t>Practical Limitations &amp; Integration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02B11AD1" w14:textId="77777777">
        <w:tc>
          <w:tcPr>
            <w:tcW w:w="4320" w:type="dxa"/>
          </w:tcPr>
          <w:p w14:paraId="7C15C4DB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6A2E0635" w14:textId="77777777" w:rsidR="00645B37" w:rsidRDefault="00F07FBD">
            <w:r>
              <w:t>Notes (Detailed explanations)</w:t>
            </w:r>
          </w:p>
        </w:tc>
      </w:tr>
      <w:tr w:rsidR="00645B37" w14:paraId="6129EB51" w14:textId="77777777">
        <w:tc>
          <w:tcPr>
            <w:tcW w:w="4320" w:type="dxa"/>
          </w:tcPr>
          <w:p w14:paraId="5F5E6531" w14:textId="77777777" w:rsidR="00645B37" w:rsidRDefault="00F07FBD">
            <w:r>
              <w:t>Challenges</w:t>
            </w:r>
          </w:p>
        </w:tc>
        <w:tc>
          <w:tcPr>
            <w:tcW w:w="4320" w:type="dxa"/>
          </w:tcPr>
          <w:p w14:paraId="435CFB85" w14:textId="77777777" w:rsidR="00645B37" w:rsidRDefault="00F07FBD">
            <w:r>
              <w:t>Cost; technical noise (dropout); sample dissociation biases; batch effects; complex analysis pipelines.</w:t>
            </w:r>
          </w:p>
        </w:tc>
      </w:tr>
      <w:tr w:rsidR="00645B37" w14:paraId="11F4CF59" w14:textId="77777777">
        <w:tc>
          <w:tcPr>
            <w:tcW w:w="4320" w:type="dxa"/>
          </w:tcPr>
          <w:p w14:paraId="20355FA4" w14:textId="77777777" w:rsidR="00645B37" w:rsidRDefault="00F07FBD">
            <w:r>
              <w:t>Multi‑omics integration</w:t>
            </w:r>
          </w:p>
        </w:tc>
        <w:tc>
          <w:tcPr>
            <w:tcW w:w="4320" w:type="dxa"/>
          </w:tcPr>
          <w:p w14:paraId="3AA2C88E" w14:textId="77777777" w:rsidR="00645B37" w:rsidRDefault="00F07FBD">
            <w:r>
              <w:t xml:space="preserve">Combine </w:t>
            </w:r>
            <w:r>
              <w:t>scRNA‑seq/bulk RNA‑seq with chromatin accessibility, methylation, CNV/mutation and limited proteomics to link regulation → expression → phenotype.</w:t>
            </w:r>
          </w:p>
        </w:tc>
      </w:tr>
    </w:tbl>
    <w:p w14:paraId="77C3420D" w14:textId="77777777" w:rsidR="00645B37" w:rsidRDefault="00F07FBD">
      <w:r>
        <w:rPr>
          <w:b/>
        </w:rPr>
        <w:t xml:space="preserve">Summary: </w:t>
      </w:r>
      <w:r>
        <w:t>Mind the technical caveats. Integrated multi‑omics offers mechanism‑level insight beyond expression</w:t>
      </w:r>
      <w:r>
        <w:t xml:space="preserve"> alone.</w:t>
      </w:r>
    </w:p>
    <w:p w14:paraId="18C9D9D2" w14:textId="77777777" w:rsidR="00645B37" w:rsidRDefault="00645B37"/>
    <w:p w14:paraId="12B612C0" w14:textId="77777777" w:rsidR="00645B37" w:rsidRDefault="00F07FBD">
      <w:pPr>
        <w:pStyle w:val="Heading1"/>
      </w:pPr>
      <w:r>
        <w:t>12) Suggested/Referenced Papers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B37" w14:paraId="4D6B902B" w14:textId="77777777">
        <w:tc>
          <w:tcPr>
            <w:tcW w:w="4320" w:type="dxa"/>
          </w:tcPr>
          <w:p w14:paraId="6DFA11D6" w14:textId="77777777" w:rsidR="00645B37" w:rsidRDefault="00F07FBD">
            <w:r>
              <w:t>Cue (Keywords / Questions)</w:t>
            </w:r>
          </w:p>
        </w:tc>
        <w:tc>
          <w:tcPr>
            <w:tcW w:w="4320" w:type="dxa"/>
          </w:tcPr>
          <w:p w14:paraId="2D8B2086" w14:textId="77777777" w:rsidR="00645B37" w:rsidRDefault="00F07FBD">
            <w:r>
              <w:t>Notes (Detailed explanations)</w:t>
            </w:r>
          </w:p>
        </w:tc>
      </w:tr>
      <w:tr w:rsidR="00645B37" w14:paraId="5CCCD0A8" w14:textId="77777777">
        <w:tc>
          <w:tcPr>
            <w:tcW w:w="4320" w:type="dxa"/>
          </w:tcPr>
          <w:p w14:paraId="32869325" w14:textId="77777777" w:rsidR="00645B37" w:rsidRDefault="00F07FBD">
            <w:r>
              <w:t>Tumour microenvironment (lung)</w:t>
            </w:r>
          </w:p>
        </w:tc>
        <w:tc>
          <w:tcPr>
            <w:tcW w:w="4320" w:type="dxa"/>
          </w:tcPr>
          <w:p w14:paraId="6FC7BDE4" w14:textId="77777777" w:rsidR="00645B37" w:rsidRDefault="00F07FBD">
            <w:r>
              <w:t>Lambrechts D. et al., Nat Med 2018 – phenotype moulding of stromal cells in lung TME; landmark for stromal/immune diversity.</w:t>
            </w:r>
          </w:p>
        </w:tc>
      </w:tr>
      <w:tr w:rsidR="00645B37" w14:paraId="168E5A6B" w14:textId="77777777">
        <w:tc>
          <w:tcPr>
            <w:tcW w:w="4320" w:type="dxa"/>
          </w:tcPr>
          <w:p w14:paraId="386DAE8C" w14:textId="77777777" w:rsidR="00645B37" w:rsidRDefault="00F07FBD">
            <w:r>
              <w:t>Breast cancer heterogeneity (mouse)</w:t>
            </w:r>
          </w:p>
        </w:tc>
        <w:tc>
          <w:tcPr>
            <w:tcW w:w="4320" w:type="dxa"/>
          </w:tcPr>
          <w:p w14:paraId="62CE11D1" w14:textId="77777777" w:rsidR="00645B37" w:rsidRDefault="00F07FBD">
            <w:r>
              <w:t>Yeo S.K. et al., eLife 2020 – distinct patterns of cell‑state heterogeneity and differentiation trajectories in breast cancer models.</w:t>
            </w:r>
          </w:p>
        </w:tc>
      </w:tr>
      <w:tr w:rsidR="00645B37" w14:paraId="1E68FBF7" w14:textId="77777777">
        <w:tc>
          <w:tcPr>
            <w:tcW w:w="4320" w:type="dxa"/>
          </w:tcPr>
          <w:p w14:paraId="6E2F6607" w14:textId="77777777" w:rsidR="00645B37" w:rsidRDefault="00F07FBD">
            <w:r>
              <w:lastRenderedPageBreak/>
              <w:t>Esophageal SCC ecosystem</w:t>
            </w:r>
          </w:p>
        </w:tc>
        <w:tc>
          <w:tcPr>
            <w:tcW w:w="4320" w:type="dxa"/>
          </w:tcPr>
          <w:p w14:paraId="2B6A0C5C" w14:textId="77777777" w:rsidR="00645B37" w:rsidRDefault="00F07FBD">
            <w:r>
              <w:t>Zhang X. et al., Nat Commun 2021 – intra‑/inter‑tumour epith</w:t>
            </w:r>
            <w:r>
              <w:t>elial heterogeneity; immune/stromal contrasts between tumour and normal.</w:t>
            </w:r>
          </w:p>
        </w:tc>
      </w:tr>
      <w:tr w:rsidR="00645B37" w14:paraId="6CC1C6FC" w14:textId="77777777">
        <w:tc>
          <w:tcPr>
            <w:tcW w:w="4320" w:type="dxa"/>
          </w:tcPr>
          <w:p w14:paraId="3C9704B4" w14:textId="77777777" w:rsidR="00645B37" w:rsidRDefault="00F07FBD">
            <w:r>
              <w:t>Cancer lncRNA census</w:t>
            </w:r>
          </w:p>
        </w:tc>
        <w:tc>
          <w:tcPr>
            <w:tcW w:w="4320" w:type="dxa"/>
          </w:tcPr>
          <w:p w14:paraId="089C3C4B" w14:textId="77777777" w:rsidR="00645B37" w:rsidRDefault="00F07FBD">
            <w:r>
              <w:t>Carlevaro‑Fita J. et al., Commun Biol 2020 – conservation and functional evidence of lncRNAs in tumorigenesis (PCAWG).</w:t>
            </w:r>
          </w:p>
        </w:tc>
      </w:tr>
    </w:tbl>
    <w:p w14:paraId="60FBA529" w14:textId="77777777" w:rsidR="00645B37" w:rsidRDefault="00F07FBD">
      <w:r>
        <w:rPr>
          <w:b/>
        </w:rPr>
        <w:t xml:space="preserve">Summary: </w:t>
      </w:r>
      <w:r>
        <w:t xml:space="preserve">Key studies validate </w:t>
      </w:r>
      <w:r>
        <w:t>scRNA‑seq’s power for TME and heterogeneity; lncRNA resources frame non‑coding drivers in cancer.</w:t>
      </w:r>
    </w:p>
    <w:p w14:paraId="30FBFA3A" w14:textId="77777777" w:rsidR="00645B37" w:rsidRDefault="00645B37"/>
    <w:p w14:paraId="4DBB3EDD" w14:textId="77777777" w:rsidR="00645B37" w:rsidRDefault="00F07FBD">
      <w:pPr>
        <w:pStyle w:val="Heading1"/>
      </w:pPr>
      <w:r>
        <w:t>References (selected)</w:t>
      </w:r>
    </w:p>
    <w:p w14:paraId="23677C2E" w14:textId="77777777" w:rsidR="00645B37" w:rsidRDefault="00F07FBD">
      <w:pPr>
        <w:pStyle w:val="ListBullet"/>
      </w:pPr>
      <w:r>
        <w:t>Lambrechts D, et al. Phenotype molding of stromal cells in the lung tumor microenvironment. Nature Medicine. 2018;24(8):1277–1289.</w:t>
      </w:r>
    </w:p>
    <w:p w14:paraId="5413A6A9" w14:textId="77777777" w:rsidR="00645B37" w:rsidRDefault="00F07FBD">
      <w:pPr>
        <w:pStyle w:val="ListBullet"/>
      </w:pPr>
      <w:r>
        <w:t xml:space="preserve">Yeo </w:t>
      </w:r>
      <w:r>
        <w:t>SK, et al. Single-cell RNA-sequencing reveals distinct patterns of cell state heterogeneity in mouse models of breast cancer. eLife. 2020;9:e58810.</w:t>
      </w:r>
    </w:p>
    <w:p w14:paraId="10ED72D8" w14:textId="77777777" w:rsidR="00645B37" w:rsidRDefault="00F07FBD">
      <w:pPr>
        <w:pStyle w:val="ListBullet"/>
      </w:pPr>
      <w:r>
        <w:t>Zhang X, et al. Dissecting esophageal squamous-cell carcinoma ecosystem by single-cell transcriptomic analys</w:t>
      </w:r>
      <w:r>
        <w:t>is. Nature Communications. 2021;12:5291.</w:t>
      </w:r>
    </w:p>
    <w:p w14:paraId="005B8CF5" w14:textId="77777777" w:rsidR="00645B37" w:rsidRDefault="00F07FBD">
      <w:pPr>
        <w:pStyle w:val="ListBullet"/>
      </w:pPr>
      <w:r>
        <w:t>Carlevaro-Fita J, et al.; PCAWG. Cancer LncRNA Census reveals evidence for deep functional conservation of long noncoding RNAs in tumorigenesis. Communications Biology. 2020;3:56.</w:t>
      </w:r>
    </w:p>
    <w:sectPr w:rsidR="00645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5B37"/>
    <w:rsid w:val="00AA1D8D"/>
    <w:rsid w:val="00B47730"/>
    <w:rsid w:val="00C82885"/>
    <w:rsid w:val="00CB0664"/>
    <w:rsid w:val="00F07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86D11"/>
  <w14:defaultImageDpi w14:val="300"/>
  <w15:docId w15:val="{7850571A-D562-2D41-847C-49F676C9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Naomi Torrisi</cp:lastModifiedBy>
  <cp:revision>2</cp:revision>
  <dcterms:created xsi:type="dcterms:W3CDTF">2025-09-25T15:19:00Z</dcterms:created>
  <dcterms:modified xsi:type="dcterms:W3CDTF">2025-09-25T15:19:00Z</dcterms:modified>
  <cp:category/>
</cp:coreProperties>
</file>