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F54" w:rsidRPr="00977F54" w:rsidRDefault="00977F54" w:rsidP="00977F54">
      <w:pPr>
        <w:spacing w:after="0"/>
        <w:jc w:val="center"/>
        <w:rPr>
          <w:b/>
        </w:rPr>
      </w:pPr>
      <w:r w:rsidRPr="00977F54">
        <w:rPr>
          <w:b/>
        </w:rPr>
        <w:t xml:space="preserve">ANALISIS ESTADÍSTICO PARA INSTRUMENTO </w:t>
      </w:r>
      <w:proofErr w:type="spellStart"/>
      <w:r w:rsidRPr="00977F54">
        <w:rPr>
          <w:b/>
        </w:rPr>
        <w:t>IdeA</w:t>
      </w:r>
      <w:proofErr w:type="spellEnd"/>
      <w:r w:rsidRPr="00977F54">
        <w:rPr>
          <w:b/>
        </w:rPr>
        <w:t xml:space="preserve"> CAS </w:t>
      </w:r>
    </w:p>
    <w:p w:rsidR="00977F54" w:rsidRPr="00977F54" w:rsidRDefault="00977F54" w:rsidP="00977F54">
      <w:pPr>
        <w:spacing w:after="0"/>
        <w:jc w:val="center"/>
        <w:rPr>
          <w:b/>
        </w:rPr>
      </w:pPr>
      <w:r w:rsidRPr="00977F54">
        <w:rPr>
          <w:b/>
        </w:rPr>
        <w:t>SECUNDARIA</w:t>
      </w:r>
    </w:p>
    <w:p w:rsidR="00977F54" w:rsidRDefault="00977F54" w:rsidP="00FE781A">
      <w:pPr>
        <w:spacing w:after="0"/>
        <w:jc w:val="both"/>
      </w:pPr>
    </w:p>
    <w:p w:rsidR="00EE46A8" w:rsidRDefault="00977F54" w:rsidP="00FE781A">
      <w:pPr>
        <w:jc w:val="both"/>
      </w:pPr>
      <w:r>
        <w:t xml:space="preserve">Se asignaron los siguientes valores a las categorías de respuesta para calificar el instrumento de identificación </w:t>
      </w:r>
      <w:proofErr w:type="spellStart"/>
      <w:r>
        <w:t>IdeA</w:t>
      </w:r>
      <w:proofErr w:type="spellEnd"/>
      <w:r>
        <w:t xml:space="preserve"> CAS de secundaria: </w:t>
      </w:r>
    </w:p>
    <w:tbl>
      <w:tblPr>
        <w:tblStyle w:val="Tablaconcuadrcula"/>
        <w:tblW w:w="0" w:type="auto"/>
        <w:tblLook w:val="04A0"/>
      </w:tblPr>
      <w:tblGrid>
        <w:gridCol w:w="1734"/>
        <w:gridCol w:w="1513"/>
        <w:gridCol w:w="1357"/>
        <w:gridCol w:w="1454"/>
        <w:gridCol w:w="1498"/>
        <w:gridCol w:w="1498"/>
      </w:tblGrid>
      <w:tr w:rsidR="00977F54" w:rsidTr="00977F54">
        <w:tc>
          <w:tcPr>
            <w:tcW w:w="1343" w:type="dxa"/>
          </w:tcPr>
          <w:p w:rsidR="00977F54" w:rsidRDefault="00977F54" w:rsidP="00977F54">
            <w:pPr>
              <w:jc w:val="center"/>
            </w:pPr>
            <w:r>
              <w:t>PLANTILLA</w:t>
            </w:r>
          </w:p>
        </w:tc>
        <w:tc>
          <w:tcPr>
            <w:tcW w:w="1569" w:type="dxa"/>
          </w:tcPr>
          <w:p w:rsidR="00977F54" w:rsidRDefault="00977F54" w:rsidP="00977F54">
            <w:pPr>
              <w:jc w:val="center"/>
            </w:pPr>
            <w:r>
              <w:t>2</w:t>
            </w:r>
          </w:p>
        </w:tc>
        <w:tc>
          <w:tcPr>
            <w:tcW w:w="1569" w:type="dxa"/>
          </w:tcPr>
          <w:p w:rsidR="00977F54" w:rsidRDefault="00977F54" w:rsidP="00977F54">
            <w:pPr>
              <w:jc w:val="center"/>
            </w:pPr>
            <w:r>
              <w:t>1</w:t>
            </w:r>
          </w:p>
        </w:tc>
        <w:tc>
          <w:tcPr>
            <w:tcW w:w="1503" w:type="dxa"/>
          </w:tcPr>
          <w:p w:rsidR="00977F54" w:rsidRDefault="00977F54" w:rsidP="00977F54">
            <w:pPr>
              <w:jc w:val="center"/>
            </w:pPr>
            <w:r>
              <w:t>0</w:t>
            </w:r>
          </w:p>
        </w:tc>
        <w:tc>
          <w:tcPr>
            <w:tcW w:w="1535" w:type="dxa"/>
          </w:tcPr>
          <w:p w:rsidR="00977F54" w:rsidRDefault="00977F54" w:rsidP="00977F54">
            <w:pPr>
              <w:jc w:val="center"/>
            </w:pPr>
            <w:r>
              <w:t>-1</w:t>
            </w:r>
          </w:p>
        </w:tc>
        <w:tc>
          <w:tcPr>
            <w:tcW w:w="1535" w:type="dxa"/>
          </w:tcPr>
          <w:p w:rsidR="00977F54" w:rsidRDefault="00977F54" w:rsidP="00977F54">
            <w:pPr>
              <w:jc w:val="center"/>
            </w:pPr>
            <w:r>
              <w:t>-2</w:t>
            </w:r>
          </w:p>
        </w:tc>
      </w:tr>
      <w:tr w:rsidR="00977F54" w:rsidTr="00977F54">
        <w:tc>
          <w:tcPr>
            <w:tcW w:w="1343" w:type="dxa"/>
          </w:tcPr>
          <w:p w:rsidR="00977F54" w:rsidRDefault="00977F54" w:rsidP="00977F54">
            <w:pPr>
              <w:jc w:val="center"/>
            </w:pPr>
          </w:p>
          <w:p w:rsidR="00977F54" w:rsidRDefault="00977F54" w:rsidP="00977F54">
            <w:pPr>
              <w:jc w:val="center"/>
            </w:pPr>
            <w:r>
              <w:t>FUNCIONALIDAD</w:t>
            </w:r>
          </w:p>
          <w:p w:rsidR="00977F54" w:rsidRDefault="00977F54" w:rsidP="00977F54">
            <w:pPr>
              <w:jc w:val="center"/>
            </w:pPr>
          </w:p>
        </w:tc>
        <w:tc>
          <w:tcPr>
            <w:tcW w:w="1569" w:type="dxa"/>
          </w:tcPr>
          <w:p w:rsidR="00977F54" w:rsidRDefault="00977F54" w:rsidP="00977F54">
            <w:pPr>
              <w:jc w:val="center"/>
            </w:pPr>
          </w:p>
          <w:p w:rsidR="00977F54" w:rsidRDefault="00977F54" w:rsidP="00977F54">
            <w:pPr>
              <w:jc w:val="center"/>
            </w:pPr>
            <w:r>
              <w:t>SIEMPRE</w:t>
            </w:r>
          </w:p>
        </w:tc>
        <w:tc>
          <w:tcPr>
            <w:tcW w:w="1569" w:type="dxa"/>
          </w:tcPr>
          <w:p w:rsidR="00977F54" w:rsidRDefault="00977F54" w:rsidP="00977F54">
            <w:pPr>
              <w:jc w:val="center"/>
            </w:pPr>
            <w:r>
              <w:t>CASI SIEMPRE</w:t>
            </w:r>
          </w:p>
        </w:tc>
        <w:tc>
          <w:tcPr>
            <w:tcW w:w="1503" w:type="dxa"/>
          </w:tcPr>
          <w:p w:rsidR="00977F54" w:rsidRDefault="00977F54" w:rsidP="00977F54">
            <w:pPr>
              <w:jc w:val="center"/>
            </w:pPr>
          </w:p>
          <w:p w:rsidR="00977F54" w:rsidRDefault="00977F54" w:rsidP="00977F54">
            <w:pPr>
              <w:jc w:val="center"/>
            </w:pPr>
            <w:r>
              <w:t>A VECES</w:t>
            </w:r>
          </w:p>
        </w:tc>
        <w:tc>
          <w:tcPr>
            <w:tcW w:w="1535" w:type="dxa"/>
          </w:tcPr>
          <w:p w:rsidR="00977F54" w:rsidRDefault="00977F54" w:rsidP="00977F54">
            <w:pPr>
              <w:jc w:val="center"/>
            </w:pPr>
          </w:p>
          <w:p w:rsidR="00977F54" w:rsidRDefault="00977F54" w:rsidP="00977F54">
            <w:pPr>
              <w:jc w:val="center"/>
            </w:pPr>
            <w:r>
              <w:t>CASI NUNCA</w:t>
            </w:r>
          </w:p>
        </w:tc>
        <w:tc>
          <w:tcPr>
            <w:tcW w:w="1535" w:type="dxa"/>
          </w:tcPr>
          <w:p w:rsidR="00977F54" w:rsidRDefault="00977F54" w:rsidP="00977F54">
            <w:pPr>
              <w:jc w:val="center"/>
            </w:pPr>
          </w:p>
          <w:p w:rsidR="00977F54" w:rsidRDefault="00977F54" w:rsidP="00977F54">
            <w:pPr>
              <w:jc w:val="center"/>
            </w:pPr>
            <w:r>
              <w:t>NUNCA</w:t>
            </w:r>
          </w:p>
        </w:tc>
      </w:tr>
      <w:tr w:rsidR="00977F54" w:rsidTr="00977F54">
        <w:tc>
          <w:tcPr>
            <w:tcW w:w="1343" w:type="dxa"/>
          </w:tcPr>
          <w:p w:rsidR="00977F54" w:rsidRDefault="00977F54" w:rsidP="00977F54">
            <w:pPr>
              <w:jc w:val="center"/>
            </w:pPr>
          </w:p>
          <w:p w:rsidR="00977F54" w:rsidRDefault="00977F54" w:rsidP="00977F54">
            <w:pPr>
              <w:jc w:val="center"/>
            </w:pPr>
            <w:r>
              <w:t>DOMINIO</w:t>
            </w:r>
          </w:p>
          <w:p w:rsidR="00977F54" w:rsidRDefault="00977F54" w:rsidP="00977F54">
            <w:pPr>
              <w:jc w:val="center"/>
            </w:pPr>
          </w:p>
        </w:tc>
        <w:tc>
          <w:tcPr>
            <w:tcW w:w="1569" w:type="dxa"/>
          </w:tcPr>
          <w:p w:rsidR="00977F54" w:rsidRDefault="00977F54" w:rsidP="00977F54">
            <w:pPr>
              <w:jc w:val="center"/>
            </w:pPr>
          </w:p>
          <w:p w:rsidR="00977F54" w:rsidRDefault="00977F54" w:rsidP="00977F54">
            <w:pPr>
              <w:jc w:val="center"/>
            </w:pPr>
            <w:r>
              <w:t>MUY BIEN</w:t>
            </w:r>
          </w:p>
        </w:tc>
        <w:tc>
          <w:tcPr>
            <w:tcW w:w="1569" w:type="dxa"/>
          </w:tcPr>
          <w:p w:rsidR="00977F54" w:rsidRDefault="00977F54" w:rsidP="00977F54">
            <w:pPr>
              <w:jc w:val="center"/>
            </w:pPr>
          </w:p>
          <w:p w:rsidR="00977F54" w:rsidRDefault="00977F54" w:rsidP="00977F54">
            <w:pPr>
              <w:jc w:val="center"/>
            </w:pPr>
            <w:r>
              <w:t>BIEN</w:t>
            </w:r>
          </w:p>
        </w:tc>
        <w:tc>
          <w:tcPr>
            <w:tcW w:w="1503" w:type="dxa"/>
          </w:tcPr>
          <w:p w:rsidR="00977F54" w:rsidRDefault="00977F54" w:rsidP="00977F54">
            <w:pPr>
              <w:jc w:val="center"/>
            </w:pPr>
          </w:p>
          <w:p w:rsidR="00977F54" w:rsidRDefault="00977F54" w:rsidP="00977F54">
            <w:pPr>
              <w:jc w:val="center"/>
            </w:pPr>
            <w:r>
              <w:t>REGULAR</w:t>
            </w:r>
          </w:p>
        </w:tc>
        <w:tc>
          <w:tcPr>
            <w:tcW w:w="1535" w:type="dxa"/>
          </w:tcPr>
          <w:p w:rsidR="00977F54" w:rsidRDefault="00977F54" w:rsidP="00977F54">
            <w:pPr>
              <w:jc w:val="center"/>
            </w:pPr>
          </w:p>
          <w:p w:rsidR="00977F54" w:rsidRDefault="00977F54" w:rsidP="00977F54">
            <w:pPr>
              <w:jc w:val="center"/>
            </w:pPr>
            <w:r>
              <w:t>SUFICIENTE</w:t>
            </w:r>
          </w:p>
        </w:tc>
        <w:tc>
          <w:tcPr>
            <w:tcW w:w="1535" w:type="dxa"/>
          </w:tcPr>
          <w:p w:rsidR="00977F54" w:rsidRDefault="00977F54" w:rsidP="00977F54">
            <w:pPr>
              <w:jc w:val="center"/>
            </w:pPr>
          </w:p>
          <w:p w:rsidR="00977F54" w:rsidRDefault="00977F54" w:rsidP="00977F54">
            <w:pPr>
              <w:jc w:val="center"/>
            </w:pPr>
            <w:r>
              <w:t>NADA</w:t>
            </w:r>
          </w:p>
        </w:tc>
      </w:tr>
      <w:tr w:rsidR="00977F54" w:rsidTr="00977F54">
        <w:tc>
          <w:tcPr>
            <w:tcW w:w="1343" w:type="dxa"/>
          </w:tcPr>
          <w:p w:rsidR="00977F54" w:rsidRDefault="00977F54" w:rsidP="00977F54">
            <w:pPr>
              <w:jc w:val="center"/>
            </w:pPr>
          </w:p>
          <w:p w:rsidR="00977F54" w:rsidRDefault="00977F54" w:rsidP="00977F54">
            <w:pPr>
              <w:jc w:val="center"/>
            </w:pPr>
            <w:r>
              <w:t>INTERÉS</w:t>
            </w:r>
          </w:p>
        </w:tc>
        <w:tc>
          <w:tcPr>
            <w:tcW w:w="1569" w:type="dxa"/>
          </w:tcPr>
          <w:p w:rsidR="00977F54" w:rsidRDefault="00977F54" w:rsidP="00977F54">
            <w:pPr>
              <w:jc w:val="center"/>
            </w:pPr>
            <w:r>
              <w:t>TOTALMENTE DE ACUERDO</w:t>
            </w:r>
          </w:p>
        </w:tc>
        <w:tc>
          <w:tcPr>
            <w:tcW w:w="1569" w:type="dxa"/>
          </w:tcPr>
          <w:p w:rsidR="00977F54" w:rsidRDefault="00977F54" w:rsidP="00977F54">
            <w:pPr>
              <w:jc w:val="center"/>
            </w:pPr>
            <w:r>
              <w:t>DE ACUERDO</w:t>
            </w:r>
          </w:p>
        </w:tc>
        <w:tc>
          <w:tcPr>
            <w:tcW w:w="1503" w:type="dxa"/>
          </w:tcPr>
          <w:p w:rsidR="00977F54" w:rsidRDefault="00977F54" w:rsidP="00977F54">
            <w:pPr>
              <w:jc w:val="center"/>
            </w:pPr>
          </w:p>
          <w:p w:rsidR="00977F54" w:rsidRDefault="00977F54" w:rsidP="00977F54">
            <w:pPr>
              <w:jc w:val="center"/>
            </w:pPr>
            <w:r>
              <w:t>INDIFERENTE</w:t>
            </w:r>
          </w:p>
        </w:tc>
        <w:tc>
          <w:tcPr>
            <w:tcW w:w="1535" w:type="dxa"/>
          </w:tcPr>
          <w:p w:rsidR="00977F54" w:rsidRDefault="00977F54" w:rsidP="00977F54">
            <w:pPr>
              <w:jc w:val="center"/>
            </w:pPr>
            <w:r>
              <w:t>EN DESACUERDO</w:t>
            </w:r>
          </w:p>
        </w:tc>
        <w:tc>
          <w:tcPr>
            <w:tcW w:w="1535" w:type="dxa"/>
          </w:tcPr>
          <w:p w:rsidR="00977F54" w:rsidRDefault="00977F54" w:rsidP="00977F54">
            <w:pPr>
              <w:jc w:val="center"/>
            </w:pPr>
            <w:r>
              <w:t>TOTALMENTE EN DESACUERDO</w:t>
            </w:r>
          </w:p>
        </w:tc>
      </w:tr>
    </w:tbl>
    <w:p w:rsidR="000218BB" w:rsidRDefault="000218BB" w:rsidP="00977F54">
      <w:pPr>
        <w:jc w:val="both"/>
      </w:pPr>
    </w:p>
    <w:p w:rsidR="00977F54" w:rsidRDefault="00977F54" w:rsidP="00977F54">
      <w:pPr>
        <w:jc w:val="both"/>
      </w:pPr>
      <w:r>
        <w:t>Se consideraron dichos valores como los adecuados para la identificación de los alumnos con CAS, debido a la coherencia de asignar una puntuación positiva únicamente a las posturas de respuesta más altas</w:t>
      </w:r>
      <w:r w:rsidR="000218BB">
        <w:t>. Es decir, un alumno que seleccione</w:t>
      </w:r>
      <w:r>
        <w:t xml:space="preserve"> un valor neutro (cero) a un reactivo, no obtend</w:t>
      </w:r>
      <w:r w:rsidR="00FE781A">
        <w:t>rá puntuación debido a que la</w:t>
      </w:r>
      <w:r>
        <w:t xml:space="preserve"> neutralida</w:t>
      </w:r>
      <w:r w:rsidR="000218BB">
        <w:t xml:space="preserve">d no lo describe como un alumno que destaque en dicho reactivo. Asimismo, el alumno que seleccione </w:t>
      </w:r>
      <w:r w:rsidR="00FE781A">
        <w:t>un valor menor a</w:t>
      </w:r>
      <w:r w:rsidR="000218BB">
        <w:t>l neutro, no sólo no o</w:t>
      </w:r>
      <w:r w:rsidR="00FE781A">
        <w:t>btendrá una puntuación, restará puntaje al resultado final. Esto le brinda un carácter con mayor nivel de exigencia y confiabilidad</w:t>
      </w:r>
      <w:r w:rsidR="000218BB">
        <w:t xml:space="preserve"> al instrumento</w:t>
      </w:r>
      <w:r w:rsidR="00FE781A">
        <w:t xml:space="preserve"> para la</w:t>
      </w:r>
      <w:r w:rsidR="000218BB">
        <w:t xml:space="preserve"> identificación de alumnos con CAS y talentos específicos.</w:t>
      </w:r>
    </w:p>
    <w:p w:rsidR="000218BB" w:rsidRDefault="000218BB" w:rsidP="00977F54">
      <w:pPr>
        <w:jc w:val="both"/>
      </w:pPr>
      <w:r>
        <w:t xml:space="preserve">Siguiendo esta lógica, la puntuación máxima que puede obtener un alumno en un área de desempeño </w:t>
      </w:r>
      <w:r w:rsidR="00FE781A">
        <w:t>será</w:t>
      </w:r>
      <w:r>
        <w:t xml:space="preserve"> de 18 en caso de seleccionar el valor máximo</w:t>
      </w:r>
      <w:r w:rsidR="00FE781A">
        <w:t xml:space="preserve"> (2)</w:t>
      </w:r>
      <w:r>
        <w:t xml:space="preserve"> en los 9 reactivos correspondientes al mismo. </w:t>
      </w:r>
    </w:p>
    <w:p w:rsidR="00FE736D" w:rsidRDefault="00FE736D" w:rsidP="00977F54">
      <w:pPr>
        <w:jc w:val="both"/>
      </w:pPr>
      <w:r>
        <w:t xml:space="preserve">El rango para suponer fortaleza en cualquiera de las áreas de desempeño será de 12 a 18; la puntuación mínima del rango (12) se determinó con la combinación de respuestas consideradas como coherentes en un alumno con </w:t>
      </w:r>
      <w:r w:rsidR="00FE781A">
        <w:t xml:space="preserve">posibles </w:t>
      </w:r>
      <w:r>
        <w:t>CAS o talento</w:t>
      </w:r>
      <w:r w:rsidR="00FE781A">
        <w:t>s</w:t>
      </w:r>
      <w:r>
        <w:t xml:space="preserve"> específico</w:t>
      </w:r>
      <w:r w:rsidR="00FE781A">
        <w:t>s</w:t>
      </w:r>
      <w:r>
        <w:t>, ejemplo:</w:t>
      </w:r>
    </w:p>
    <w:tbl>
      <w:tblPr>
        <w:tblStyle w:val="Tablaconcuadrcula"/>
        <w:tblW w:w="0" w:type="auto"/>
        <w:tblLook w:val="04A0"/>
      </w:tblPr>
      <w:tblGrid>
        <w:gridCol w:w="1969"/>
        <w:gridCol w:w="2541"/>
        <w:gridCol w:w="2297"/>
        <w:gridCol w:w="2247"/>
      </w:tblGrid>
      <w:tr w:rsidR="0060176C" w:rsidTr="0060176C">
        <w:tc>
          <w:tcPr>
            <w:tcW w:w="1969" w:type="dxa"/>
            <w:vMerge w:val="restart"/>
          </w:tcPr>
          <w:p w:rsidR="0060176C" w:rsidRDefault="0060176C" w:rsidP="0060176C">
            <w:pPr>
              <w:rPr>
                <w:b/>
              </w:rPr>
            </w:pPr>
          </w:p>
          <w:p w:rsidR="00632F19" w:rsidRDefault="00632F19" w:rsidP="0060176C">
            <w:pPr>
              <w:jc w:val="center"/>
              <w:rPr>
                <w:b/>
              </w:rPr>
            </w:pPr>
          </w:p>
          <w:p w:rsidR="0060176C" w:rsidRDefault="0060176C" w:rsidP="0060176C">
            <w:pPr>
              <w:jc w:val="center"/>
              <w:rPr>
                <w:b/>
              </w:rPr>
            </w:pPr>
            <w:r>
              <w:rPr>
                <w:b/>
              </w:rPr>
              <w:t>ÁREA DE DESEMPEÑO</w:t>
            </w:r>
          </w:p>
          <w:p w:rsidR="0060176C" w:rsidRPr="0060176C" w:rsidRDefault="0060176C" w:rsidP="0060176C">
            <w:pPr>
              <w:jc w:val="center"/>
              <w:rPr>
                <w:b/>
              </w:rPr>
            </w:pPr>
            <w:r>
              <w:rPr>
                <w:b/>
              </w:rPr>
              <w:t>SOCIOAFECTIVA</w:t>
            </w:r>
          </w:p>
        </w:tc>
        <w:tc>
          <w:tcPr>
            <w:tcW w:w="2541" w:type="dxa"/>
          </w:tcPr>
          <w:p w:rsidR="0060176C" w:rsidRPr="0060176C" w:rsidRDefault="00632F19" w:rsidP="0060176C">
            <w:pPr>
              <w:jc w:val="center"/>
              <w:rPr>
                <w:b/>
              </w:rPr>
            </w:pPr>
            <w:r>
              <w:rPr>
                <w:b/>
              </w:rPr>
              <w:t xml:space="preserve">PLANTILLA </w:t>
            </w:r>
            <w:r w:rsidR="0060176C" w:rsidRPr="0060176C">
              <w:rPr>
                <w:b/>
              </w:rPr>
              <w:t>FUNCIONALIDAD</w:t>
            </w:r>
          </w:p>
        </w:tc>
        <w:tc>
          <w:tcPr>
            <w:tcW w:w="2297" w:type="dxa"/>
          </w:tcPr>
          <w:p w:rsidR="00632F19" w:rsidRDefault="00632F19" w:rsidP="0060176C">
            <w:pPr>
              <w:jc w:val="center"/>
              <w:rPr>
                <w:b/>
              </w:rPr>
            </w:pPr>
            <w:r>
              <w:rPr>
                <w:b/>
              </w:rPr>
              <w:t xml:space="preserve">PLANTILLA </w:t>
            </w:r>
          </w:p>
          <w:p w:rsidR="0060176C" w:rsidRPr="0060176C" w:rsidRDefault="0060176C" w:rsidP="0060176C">
            <w:pPr>
              <w:jc w:val="center"/>
              <w:rPr>
                <w:b/>
              </w:rPr>
            </w:pPr>
            <w:r w:rsidRPr="0060176C">
              <w:rPr>
                <w:b/>
              </w:rPr>
              <w:t>DOMINIO</w:t>
            </w:r>
          </w:p>
        </w:tc>
        <w:tc>
          <w:tcPr>
            <w:tcW w:w="2247" w:type="dxa"/>
          </w:tcPr>
          <w:p w:rsidR="00632F19" w:rsidRDefault="00632F19" w:rsidP="0060176C">
            <w:pPr>
              <w:jc w:val="center"/>
              <w:rPr>
                <w:b/>
              </w:rPr>
            </w:pPr>
            <w:r>
              <w:rPr>
                <w:b/>
              </w:rPr>
              <w:t>PLANTILLA</w:t>
            </w:r>
          </w:p>
          <w:p w:rsidR="0060176C" w:rsidRPr="0060176C" w:rsidRDefault="0060176C" w:rsidP="0060176C">
            <w:pPr>
              <w:jc w:val="center"/>
              <w:rPr>
                <w:b/>
              </w:rPr>
            </w:pPr>
            <w:r w:rsidRPr="0060176C">
              <w:rPr>
                <w:b/>
              </w:rPr>
              <w:t>INTERÉS</w:t>
            </w:r>
          </w:p>
        </w:tc>
      </w:tr>
      <w:tr w:rsidR="0060176C" w:rsidTr="0060176C">
        <w:tc>
          <w:tcPr>
            <w:tcW w:w="1969" w:type="dxa"/>
            <w:vMerge/>
          </w:tcPr>
          <w:p w:rsidR="0060176C" w:rsidRDefault="0060176C" w:rsidP="00977F54">
            <w:pPr>
              <w:jc w:val="both"/>
            </w:pPr>
          </w:p>
        </w:tc>
        <w:tc>
          <w:tcPr>
            <w:tcW w:w="2541" w:type="dxa"/>
          </w:tcPr>
          <w:p w:rsidR="0060176C" w:rsidRDefault="0060176C" w:rsidP="00977F54">
            <w:pPr>
              <w:jc w:val="both"/>
            </w:pPr>
            <w:r>
              <w:t>CASI SIEMPRE (1)</w:t>
            </w:r>
          </w:p>
        </w:tc>
        <w:tc>
          <w:tcPr>
            <w:tcW w:w="2297" w:type="dxa"/>
          </w:tcPr>
          <w:p w:rsidR="0060176C" w:rsidRDefault="0060176C" w:rsidP="00977F54">
            <w:pPr>
              <w:jc w:val="both"/>
            </w:pPr>
            <w:r>
              <w:t>BIEN             (1)</w:t>
            </w:r>
          </w:p>
        </w:tc>
        <w:tc>
          <w:tcPr>
            <w:tcW w:w="2247" w:type="dxa"/>
          </w:tcPr>
          <w:p w:rsidR="0060176C" w:rsidRDefault="0060176C" w:rsidP="00977F54">
            <w:pPr>
              <w:jc w:val="both"/>
            </w:pPr>
            <w:r>
              <w:t>TOTALMENTE DE ACUERDO        (2)</w:t>
            </w:r>
          </w:p>
        </w:tc>
      </w:tr>
      <w:tr w:rsidR="0060176C" w:rsidTr="0060176C">
        <w:tc>
          <w:tcPr>
            <w:tcW w:w="1969" w:type="dxa"/>
            <w:vMerge/>
          </w:tcPr>
          <w:p w:rsidR="0060176C" w:rsidRDefault="0060176C" w:rsidP="00977F54">
            <w:pPr>
              <w:jc w:val="both"/>
            </w:pPr>
          </w:p>
        </w:tc>
        <w:tc>
          <w:tcPr>
            <w:tcW w:w="2541" w:type="dxa"/>
          </w:tcPr>
          <w:p w:rsidR="0060176C" w:rsidRDefault="0060176C" w:rsidP="00977F54">
            <w:pPr>
              <w:jc w:val="both"/>
            </w:pPr>
            <w:r>
              <w:t>CASI SIEMPRE (1)</w:t>
            </w:r>
          </w:p>
        </w:tc>
        <w:tc>
          <w:tcPr>
            <w:tcW w:w="2297" w:type="dxa"/>
          </w:tcPr>
          <w:p w:rsidR="0060176C" w:rsidRDefault="0060176C" w:rsidP="00977F54">
            <w:pPr>
              <w:jc w:val="both"/>
            </w:pPr>
            <w:r>
              <w:t>MUY BIEN   (2)</w:t>
            </w:r>
          </w:p>
        </w:tc>
        <w:tc>
          <w:tcPr>
            <w:tcW w:w="2247" w:type="dxa"/>
          </w:tcPr>
          <w:p w:rsidR="0060176C" w:rsidRDefault="0060176C" w:rsidP="00977F54">
            <w:pPr>
              <w:jc w:val="both"/>
            </w:pPr>
            <w:r>
              <w:t>DE ACUERDO  (1)</w:t>
            </w:r>
          </w:p>
        </w:tc>
      </w:tr>
      <w:tr w:rsidR="0060176C" w:rsidTr="0060176C">
        <w:tc>
          <w:tcPr>
            <w:tcW w:w="1969" w:type="dxa"/>
            <w:vMerge/>
          </w:tcPr>
          <w:p w:rsidR="0060176C" w:rsidRDefault="0060176C" w:rsidP="00977F54">
            <w:pPr>
              <w:jc w:val="both"/>
            </w:pPr>
          </w:p>
        </w:tc>
        <w:tc>
          <w:tcPr>
            <w:tcW w:w="2541" w:type="dxa"/>
          </w:tcPr>
          <w:p w:rsidR="0060176C" w:rsidRDefault="0060176C" w:rsidP="00977F54">
            <w:pPr>
              <w:jc w:val="both"/>
            </w:pPr>
            <w:r>
              <w:t>SIEMPRE          (2)</w:t>
            </w:r>
          </w:p>
        </w:tc>
        <w:tc>
          <w:tcPr>
            <w:tcW w:w="2297" w:type="dxa"/>
          </w:tcPr>
          <w:p w:rsidR="0060176C" w:rsidRDefault="0060176C" w:rsidP="00977F54">
            <w:pPr>
              <w:jc w:val="both"/>
            </w:pPr>
            <w:r>
              <w:t xml:space="preserve">BIEN             (1)     </w:t>
            </w:r>
          </w:p>
        </w:tc>
        <w:tc>
          <w:tcPr>
            <w:tcW w:w="2247" w:type="dxa"/>
          </w:tcPr>
          <w:p w:rsidR="0060176C" w:rsidRDefault="0060176C" w:rsidP="00977F54">
            <w:pPr>
              <w:jc w:val="both"/>
            </w:pPr>
            <w:r>
              <w:t>DE ACUERDO  (1)</w:t>
            </w:r>
          </w:p>
        </w:tc>
      </w:tr>
      <w:tr w:rsidR="0060176C" w:rsidTr="0060176C">
        <w:tc>
          <w:tcPr>
            <w:tcW w:w="1969" w:type="dxa"/>
            <w:vMerge/>
          </w:tcPr>
          <w:p w:rsidR="0060176C" w:rsidRPr="0060176C" w:rsidRDefault="0060176C" w:rsidP="0060176C">
            <w:pPr>
              <w:jc w:val="center"/>
              <w:rPr>
                <w:b/>
              </w:rPr>
            </w:pPr>
          </w:p>
        </w:tc>
        <w:tc>
          <w:tcPr>
            <w:tcW w:w="2541" w:type="dxa"/>
          </w:tcPr>
          <w:p w:rsidR="0060176C" w:rsidRDefault="0060176C" w:rsidP="0060176C">
            <w:pPr>
              <w:jc w:val="center"/>
            </w:pPr>
            <w:r>
              <w:t>4</w:t>
            </w:r>
          </w:p>
        </w:tc>
        <w:tc>
          <w:tcPr>
            <w:tcW w:w="2297" w:type="dxa"/>
          </w:tcPr>
          <w:p w:rsidR="0060176C" w:rsidRDefault="0060176C" w:rsidP="0060176C">
            <w:pPr>
              <w:jc w:val="center"/>
            </w:pPr>
            <w:r>
              <w:t>4</w:t>
            </w:r>
          </w:p>
        </w:tc>
        <w:tc>
          <w:tcPr>
            <w:tcW w:w="2247" w:type="dxa"/>
          </w:tcPr>
          <w:p w:rsidR="0060176C" w:rsidRDefault="0060176C" w:rsidP="0060176C">
            <w:pPr>
              <w:jc w:val="center"/>
            </w:pPr>
            <w:r>
              <w:t>4</w:t>
            </w:r>
          </w:p>
        </w:tc>
      </w:tr>
      <w:tr w:rsidR="0060176C" w:rsidTr="003A2FCE">
        <w:tc>
          <w:tcPr>
            <w:tcW w:w="1969" w:type="dxa"/>
          </w:tcPr>
          <w:p w:rsidR="0060176C" w:rsidRPr="0060176C" w:rsidRDefault="0060176C" w:rsidP="0060176C">
            <w:pPr>
              <w:jc w:val="center"/>
              <w:rPr>
                <w:b/>
              </w:rPr>
            </w:pPr>
            <w:r w:rsidRPr="0060176C">
              <w:rPr>
                <w:b/>
              </w:rPr>
              <w:t>TOTAL</w:t>
            </w:r>
          </w:p>
        </w:tc>
        <w:tc>
          <w:tcPr>
            <w:tcW w:w="7085" w:type="dxa"/>
            <w:gridSpan w:val="3"/>
          </w:tcPr>
          <w:p w:rsidR="0060176C" w:rsidRPr="0060176C" w:rsidRDefault="0060176C" w:rsidP="0060176C">
            <w:pPr>
              <w:jc w:val="center"/>
              <w:rPr>
                <w:b/>
              </w:rPr>
            </w:pPr>
            <w:r w:rsidRPr="0060176C">
              <w:rPr>
                <w:b/>
              </w:rPr>
              <w:t>12</w:t>
            </w:r>
          </w:p>
        </w:tc>
      </w:tr>
    </w:tbl>
    <w:p w:rsidR="00FE736D" w:rsidRDefault="00FE736D" w:rsidP="00977F54">
      <w:pPr>
        <w:jc w:val="both"/>
      </w:pPr>
    </w:p>
    <w:p w:rsidR="0060176C" w:rsidRDefault="0060176C" w:rsidP="00977F54">
      <w:pPr>
        <w:jc w:val="both"/>
      </w:pPr>
      <w:r>
        <w:t xml:space="preserve">Es decir, un alumno que tenga fortaleza en el área ejemplificada en el recuadro de arriba, necesariamente tendrá que tener una respuesta máxima </w:t>
      </w:r>
      <w:r w:rsidR="00F03A9F">
        <w:t xml:space="preserve">(2) </w:t>
      </w:r>
      <w:r>
        <w:t>en combinación con dos respuestas de la categoría siguiente</w:t>
      </w:r>
      <w:r w:rsidR="00F03A9F">
        <w:t xml:space="preserve"> (1)</w:t>
      </w:r>
      <w:r>
        <w:t xml:space="preserve"> </w:t>
      </w:r>
      <w:r w:rsidR="00632F19">
        <w:t xml:space="preserve">por plantilla para obtener una puntuación significativamente alta. Una o más respuestas neutrales o negativas, descartarían al área de desempeño como fortaleza. </w:t>
      </w:r>
    </w:p>
    <w:p w:rsidR="00632F19" w:rsidRDefault="00632F19" w:rsidP="00977F54">
      <w:pPr>
        <w:jc w:val="both"/>
      </w:pPr>
      <w:r>
        <w:t xml:space="preserve">De esta manera se podrá determinar la posibilidad de la existencia de un talento específico. </w:t>
      </w:r>
    </w:p>
    <w:p w:rsidR="00632F19" w:rsidRDefault="00632F19" w:rsidP="00977F54">
      <w:pPr>
        <w:jc w:val="both"/>
      </w:pPr>
      <w:r>
        <w:t>Para considerar la posibilidad de la existencia de un alumno con Capacidades y Aptitudes Sobresalientes, se tendrán que obtener puntuaciones dentro del rango mencionado</w:t>
      </w:r>
      <w:r w:rsidR="00F03A9F">
        <w:t>,</w:t>
      </w:r>
      <w:r>
        <w:t xml:space="preserve"> en el área de desempeño lingüístico, en el área de desempeño científico y en una o más de las demás áreas de desempeño humano.</w:t>
      </w:r>
    </w:p>
    <w:p w:rsidR="00F03A9F" w:rsidRDefault="00F03A9F" w:rsidP="00977F54">
      <w:pPr>
        <w:jc w:val="both"/>
      </w:pPr>
    </w:p>
    <w:p w:rsidR="00F03A9F" w:rsidRDefault="00F03A9F" w:rsidP="00977F54">
      <w:pPr>
        <w:jc w:val="both"/>
      </w:pPr>
      <w:r>
        <w:t>EJEMPLOS:</w:t>
      </w:r>
    </w:p>
    <w:p w:rsidR="000218BB" w:rsidRDefault="000218BB" w:rsidP="00977F54">
      <w:pPr>
        <w:jc w:val="both"/>
      </w:pPr>
    </w:p>
    <w:sectPr w:rsidR="000218BB" w:rsidSect="0060176C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77F54"/>
    <w:rsid w:val="000218BB"/>
    <w:rsid w:val="0060176C"/>
    <w:rsid w:val="00632F19"/>
    <w:rsid w:val="007D76F0"/>
    <w:rsid w:val="00977F54"/>
    <w:rsid w:val="00CD3846"/>
    <w:rsid w:val="00EE46A8"/>
    <w:rsid w:val="00F03A9F"/>
    <w:rsid w:val="00FE736D"/>
    <w:rsid w:val="00FE7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A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77F5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4294967276</TotalTime>
  <Pages>1</Pages>
  <Words>408</Words>
  <Characters>2248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Casandra</dc:creator>
  <cp:lastModifiedBy>Casandra</cp:lastModifiedBy>
  <cp:revision>1</cp:revision>
  <cp:lastPrinted>2012-06-18T18:33:00Z</cp:lastPrinted>
  <dcterms:created xsi:type="dcterms:W3CDTF">2012-06-18T18:00:00Z</dcterms:created>
  <dcterms:modified xsi:type="dcterms:W3CDTF">2012-06-18T17:49:00Z</dcterms:modified>
</cp:coreProperties>
</file>