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F5D0C" w14:textId="78557A4A" w:rsidR="0043386A" w:rsidRDefault="2642CD03" w:rsidP="7FF3ABA2">
      <w:pPr>
        <w:pStyle w:val="Heading3"/>
        <w:shd w:val="clear" w:color="auto" w:fill="FFFFFF" w:themeFill="background1"/>
        <w:spacing w:before="0" w:after="120"/>
        <w:rPr>
          <w:rFonts w:ascii="system-ui" w:eastAsia="system-ui" w:hAnsi="system-ui" w:cs="system-ui"/>
          <w:b/>
          <w:bCs/>
          <w:color w:val="0D0D0D" w:themeColor="text1" w:themeTint="F2"/>
          <w:sz w:val="24"/>
          <w:szCs w:val="24"/>
        </w:rPr>
      </w:pPr>
      <w:r w:rsidRPr="7FF3ABA2">
        <w:rPr>
          <w:rFonts w:ascii="system-ui" w:eastAsia="system-ui" w:hAnsi="system-ui" w:cs="system-ui"/>
          <w:b/>
          <w:bCs/>
          <w:color w:val="0D0D0D" w:themeColor="text1" w:themeTint="F2"/>
          <w:sz w:val="24"/>
          <w:szCs w:val="24"/>
        </w:rPr>
        <w:t>Ascent Offerings from Credera: Detailed Overview</w:t>
      </w:r>
    </w:p>
    <w:p w14:paraId="36374589" w14:textId="2FC9E9CE" w:rsidR="00FB2743" w:rsidRPr="00FB2743" w:rsidRDefault="00FB2743" w:rsidP="00FB2743">
      <w:r>
        <w:t>-Navdeep Pandey</w:t>
      </w:r>
    </w:p>
    <w:p w14:paraId="52D1611C" w14:textId="78557A4A" w:rsidR="0043386A" w:rsidRDefault="2642CD03" w:rsidP="7FF3ABA2">
      <w:pPr>
        <w:shd w:val="clear" w:color="auto" w:fill="FFFFFF" w:themeFill="background1"/>
        <w:spacing w:after="300"/>
      </w:pPr>
      <w:r w:rsidRPr="7FF3ABA2">
        <w:rPr>
          <w:rFonts w:ascii="system-ui" w:eastAsia="system-ui" w:hAnsi="system-ui" w:cs="system-ui"/>
          <w:color w:val="0D0D0D" w:themeColor="text1" w:themeTint="F2"/>
        </w:rPr>
        <w:t>Credera's Ascent offerings, through TA Digital, provide tailored solutions using Adobe Experience Platform (AEP) for both B2B and B2C clients, focusing on accelerating digital transformation and improving customer experience across various digital touchpoints. Here’s an overview of these offerings:</w:t>
      </w:r>
    </w:p>
    <w:p w14:paraId="1FFCE8F3" w14:textId="78557A4A" w:rsidR="0043386A" w:rsidRDefault="2642CD03" w:rsidP="7FF3ABA2">
      <w:pPr>
        <w:shd w:val="clear" w:color="auto" w:fill="FFFFFF" w:themeFill="background1"/>
        <w:spacing w:before="300" w:after="300"/>
      </w:pPr>
      <w:r w:rsidRPr="7FF3ABA2">
        <w:rPr>
          <w:rFonts w:ascii="system-ui" w:eastAsia="system-ui" w:hAnsi="system-ui" w:cs="system-ui"/>
          <w:b/>
          <w:bCs/>
          <w:color w:val="0D0D0D" w:themeColor="text1" w:themeTint="F2"/>
        </w:rPr>
        <w:t>Ascent Offering for B2B:</w:t>
      </w:r>
    </w:p>
    <w:p w14:paraId="4BE83BFA" w14:textId="78557A4A" w:rsidR="0043386A" w:rsidRDefault="2642CD03" w:rsidP="7FF3ABA2">
      <w:pPr>
        <w:pStyle w:val="ListParagraph"/>
        <w:numPr>
          <w:ilvl w:val="0"/>
          <w:numId w:val="1"/>
        </w:numPr>
        <w:shd w:val="clear" w:color="auto" w:fill="FFFFFF" w:themeFill="background1"/>
        <w:spacing w:after="0"/>
        <w:rPr>
          <w:rFonts w:ascii="system-ui" w:eastAsia="system-ui" w:hAnsi="system-ui" w:cs="system-ui"/>
          <w:color w:val="0D0D0D" w:themeColor="text1" w:themeTint="F2"/>
        </w:rPr>
      </w:pPr>
      <w:r w:rsidRPr="7FF3ABA2">
        <w:rPr>
          <w:rFonts w:ascii="system-ui" w:eastAsia="system-ui" w:hAnsi="system-ui" w:cs="system-ui"/>
          <w:b/>
          <w:bCs/>
          <w:color w:val="0D0D0D" w:themeColor="text1" w:themeTint="F2"/>
        </w:rPr>
        <w:t>Target Market</w:t>
      </w:r>
      <w:r w:rsidRPr="7FF3ABA2">
        <w:rPr>
          <w:rFonts w:ascii="system-ui" w:eastAsia="system-ui" w:hAnsi="system-ui" w:cs="system-ui"/>
          <w:color w:val="0D0D0D" w:themeColor="text1" w:themeTint="F2"/>
        </w:rPr>
        <w:t>: Ascent B2B offerings are designed for enterprise B2B clients, midmarket content plus commerce clients, midmarket commerce-only, and midmarket content-only clients.</w:t>
      </w:r>
    </w:p>
    <w:p w14:paraId="394DA599" w14:textId="78557A4A" w:rsidR="0043386A" w:rsidRDefault="2642CD03" w:rsidP="7FF3ABA2">
      <w:pPr>
        <w:pStyle w:val="ListParagraph"/>
        <w:numPr>
          <w:ilvl w:val="0"/>
          <w:numId w:val="1"/>
        </w:numPr>
        <w:shd w:val="clear" w:color="auto" w:fill="FFFFFF" w:themeFill="background1"/>
        <w:spacing w:after="0"/>
        <w:rPr>
          <w:rFonts w:ascii="system-ui" w:eastAsia="system-ui" w:hAnsi="system-ui" w:cs="system-ui"/>
          <w:color w:val="0D0D0D" w:themeColor="text1" w:themeTint="F2"/>
        </w:rPr>
      </w:pPr>
      <w:r w:rsidRPr="7FF3ABA2">
        <w:rPr>
          <w:rFonts w:ascii="system-ui" w:eastAsia="system-ui" w:hAnsi="system-ui" w:cs="system-ui"/>
          <w:b/>
          <w:bCs/>
          <w:color w:val="0D0D0D" w:themeColor="text1" w:themeTint="F2"/>
        </w:rPr>
        <w:t>Services Duration</w:t>
      </w:r>
      <w:r w:rsidRPr="7FF3ABA2">
        <w:rPr>
          <w:rFonts w:ascii="system-ui" w:eastAsia="system-ui" w:hAnsi="system-ui" w:cs="system-ui"/>
          <w:color w:val="0D0D0D" w:themeColor="text1" w:themeTint="F2"/>
        </w:rPr>
        <w:t>: The services are structured to last between 14 and 26 weeks depending on the client's specific needs, with fixed-price, fixed-scope, and fixed-timeline baselines, allowing for optional upgrades like different UI, more customizations, and additional integrations.</w:t>
      </w:r>
    </w:p>
    <w:p w14:paraId="267376D4" w14:textId="78557A4A" w:rsidR="0043386A" w:rsidRDefault="2642CD03" w:rsidP="7FF3ABA2">
      <w:pPr>
        <w:pStyle w:val="ListParagraph"/>
        <w:numPr>
          <w:ilvl w:val="0"/>
          <w:numId w:val="1"/>
        </w:numPr>
        <w:shd w:val="clear" w:color="auto" w:fill="FFFFFF" w:themeFill="background1"/>
        <w:spacing w:after="0"/>
        <w:rPr>
          <w:rFonts w:ascii="system-ui" w:eastAsia="system-ui" w:hAnsi="system-ui" w:cs="system-ui"/>
          <w:color w:val="0D0D0D" w:themeColor="text1" w:themeTint="F2"/>
        </w:rPr>
      </w:pPr>
      <w:r w:rsidRPr="7FF3ABA2">
        <w:rPr>
          <w:rFonts w:ascii="system-ui" w:eastAsia="system-ui" w:hAnsi="system-ui" w:cs="system-ui"/>
          <w:b/>
          <w:bCs/>
          <w:color w:val="0D0D0D" w:themeColor="text1" w:themeTint="F2"/>
        </w:rPr>
        <w:t>Adobe Platform Expertise</w:t>
      </w:r>
      <w:r w:rsidRPr="7FF3ABA2">
        <w:rPr>
          <w:rFonts w:ascii="system-ui" w:eastAsia="system-ui" w:hAnsi="system-ui" w:cs="system-ui"/>
          <w:color w:val="0D0D0D" w:themeColor="text1" w:themeTint="F2"/>
        </w:rPr>
        <w:t>: Specializations include Marketo, Adobe Campaign, Adobe Audience Manager, Adobe Experience Manager, Adobe Analytics, Adobe Target, and Magento, demonstrating deep expertise across Adobe’s suite.</w:t>
      </w:r>
    </w:p>
    <w:p w14:paraId="6C241FCB" w14:textId="78557A4A" w:rsidR="0043386A" w:rsidRDefault="2642CD03" w:rsidP="7FF3ABA2">
      <w:pPr>
        <w:pStyle w:val="ListParagraph"/>
        <w:numPr>
          <w:ilvl w:val="0"/>
          <w:numId w:val="1"/>
        </w:numPr>
        <w:shd w:val="clear" w:color="auto" w:fill="FFFFFF" w:themeFill="background1"/>
        <w:spacing w:after="0"/>
        <w:rPr>
          <w:rFonts w:ascii="system-ui" w:eastAsia="system-ui" w:hAnsi="system-ui" w:cs="system-ui"/>
          <w:color w:val="0D0D0D" w:themeColor="text1" w:themeTint="F2"/>
        </w:rPr>
      </w:pPr>
      <w:r w:rsidRPr="7FF3ABA2">
        <w:rPr>
          <w:rFonts w:ascii="system-ui" w:eastAsia="system-ui" w:hAnsi="system-ui" w:cs="system-ui"/>
          <w:b/>
          <w:bCs/>
          <w:color w:val="0D0D0D" w:themeColor="text1" w:themeTint="F2"/>
        </w:rPr>
        <w:t>Digital Transformation Strategy</w:t>
      </w:r>
      <w:r w:rsidRPr="7FF3ABA2">
        <w:rPr>
          <w:rFonts w:ascii="system-ui" w:eastAsia="system-ui" w:hAnsi="system-ui" w:cs="system-ui"/>
          <w:color w:val="0D0D0D" w:themeColor="text1" w:themeTint="F2"/>
        </w:rPr>
        <w:t>: The approach focuses on leveraging data and experience to enhance forecasting with machine learning, innovate digital experiences for specific customer segments like millennials, and provide superior self-service support.</w:t>
      </w:r>
    </w:p>
    <w:p w14:paraId="000EEAE6" w14:textId="78557A4A" w:rsidR="0043386A" w:rsidRDefault="2642CD03" w:rsidP="7FF3ABA2">
      <w:pPr>
        <w:shd w:val="clear" w:color="auto" w:fill="FFFFFF" w:themeFill="background1"/>
        <w:spacing w:before="300" w:after="300"/>
      </w:pPr>
      <w:r w:rsidRPr="7FF3ABA2">
        <w:rPr>
          <w:rFonts w:ascii="system-ui" w:eastAsia="system-ui" w:hAnsi="system-ui" w:cs="system-ui"/>
          <w:b/>
          <w:bCs/>
          <w:color w:val="0D0D0D" w:themeColor="text1" w:themeTint="F2"/>
        </w:rPr>
        <w:t>Ascent Offering for B2C:</w:t>
      </w:r>
    </w:p>
    <w:p w14:paraId="2A5928EF" w14:textId="78557A4A" w:rsidR="0043386A" w:rsidRDefault="2642CD03" w:rsidP="7FF3ABA2">
      <w:pPr>
        <w:pStyle w:val="ListParagraph"/>
        <w:numPr>
          <w:ilvl w:val="0"/>
          <w:numId w:val="1"/>
        </w:numPr>
        <w:shd w:val="clear" w:color="auto" w:fill="FFFFFF" w:themeFill="background1"/>
        <w:spacing w:after="0"/>
        <w:rPr>
          <w:rFonts w:ascii="system-ui" w:eastAsia="system-ui" w:hAnsi="system-ui" w:cs="system-ui"/>
          <w:color w:val="0D0D0D" w:themeColor="text1" w:themeTint="F2"/>
        </w:rPr>
      </w:pPr>
      <w:r w:rsidRPr="7FF3ABA2">
        <w:rPr>
          <w:rFonts w:ascii="system-ui" w:eastAsia="system-ui" w:hAnsi="system-ui" w:cs="system-ui"/>
          <w:b/>
          <w:bCs/>
          <w:color w:val="0D0D0D" w:themeColor="text1" w:themeTint="F2"/>
        </w:rPr>
        <w:t>Target Market</w:t>
      </w:r>
      <w:r w:rsidRPr="7FF3ABA2">
        <w:rPr>
          <w:rFonts w:ascii="system-ui" w:eastAsia="system-ui" w:hAnsi="system-ui" w:cs="system-ui"/>
          <w:color w:val="0D0D0D" w:themeColor="text1" w:themeTint="F2"/>
        </w:rPr>
        <w:t>: Tailored to enterprise B2C clients, midmarket segments that involve content plus commerce, commerce only, and content only.</w:t>
      </w:r>
    </w:p>
    <w:p w14:paraId="0D545A7E" w14:textId="78557A4A" w:rsidR="0043386A" w:rsidRDefault="2642CD03" w:rsidP="7FF3ABA2">
      <w:pPr>
        <w:pStyle w:val="ListParagraph"/>
        <w:numPr>
          <w:ilvl w:val="0"/>
          <w:numId w:val="1"/>
        </w:numPr>
        <w:shd w:val="clear" w:color="auto" w:fill="FFFFFF" w:themeFill="background1"/>
        <w:spacing w:after="0"/>
        <w:rPr>
          <w:rFonts w:ascii="system-ui" w:eastAsia="system-ui" w:hAnsi="system-ui" w:cs="system-ui"/>
          <w:color w:val="0D0D0D" w:themeColor="text1" w:themeTint="F2"/>
        </w:rPr>
      </w:pPr>
      <w:r w:rsidRPr="7FF3ABA2">
        <w:rPr>
          <w:rFonts w:ascii="system-ui" w:eastAsia="system-ui" w:hAnsi="system-ui" w:cs="system-ui"/>
          <w:b/>
          <w:bCs/>
          <w:color w:val="0D0D0D" w:themeColor="text1" w:themeTint="F2"/>
        </w:rPr>
        <w:t>Services Duration</w:t>
      </w:r>
      <w:r w:rsidRPr="7FF3ABA2">
        <w:rPr>
          <w:rFonts w:ascii="system-ui" w:eastAsia="system-ui" w:hAnsi="system-ui" w:cs="system-ui"/>
          <w:color w:val="0D0D0D" w:themeColor="text1" w:themeTint="F2"/>
        </w:rPr>
        <w:t xml:space="preserve">: </w:t>
      </w:r>
      <w:proofErr w:type="gramStart"/>
      <w:r w:rsidRPr="7FF3ABA2">
        <w:rPr>
          <w:rFonts w:ascii="system-ui" w:eastAsia="system-ui" w:hAnsi="system-ui" w:cs="system-ui"/>
          <w:color w:val="0D0D0D" w:themeColor="text1" w:themeTint="F2"/>
        </w:rPr>
        <w:t>Similar to</w:t>
      </w:r>
      <w:proofErr w:type="gramEnd"/>
      <w:r w:rsidRPr="7FF3ABA2">
        <w:rPr>
          <w:rFonts w:ascii="system-ui" w:eastAsia="system-ui" w:hAnsi="system-ui" w:cs="system-ui"/>
          <w:color w:val="0D0D0D" w:themeColor="text1" w:themeTint="F2"/>
        </w:rPr>
        <w:t xml:space="preserve"> the B2B offering, the B2C services range from 14 to 26 weeks, with the flexibility to adapt the scope based on client requirements.</w:t>
      </w:r>
    </w:p>
    <w:p w14:paraId="1869E3B2" w14:textId="78557A4A" w:rsidR="0043386A" w:rsidRDefault="2642CD03" w:rsidP="7FF3ABA2">
      <w:pPr>
        <w:pStyle w:val="ListParagraph"/>
        <w:numPr>
          <w:ilvl w:val="0"/>
          <w:numId w:val="1"/>
        </w:numPr>
        <w:shd w:val="clear" w:color="auto" w:fill="FFFFFF" w:themeFill="background1"/>
        <w:spacing w:after="0"/>
        <w:rPr>
          <w:rFonts w:ascii="system-ui" w:eastAsia="system-ui" w:hAnsi="system-ui" w:cs="system-ui"/>
          <w:color w:val="0D0D0D" w:themeColor="text1" w:themeTint="F2"/>
        </w:rPr>
      </w:pPr>
      <w:r w:rsidRPr="7FF3ABA2">
        <w:rPr>
          <w:rFonts w:ascii="system-ui" w:eastAsia="system-ui" w:hAnsi="system-ui" w:cs="system-ui"/>
          <w:b/>
          <w:bCs/>
          <w:color w:val="0D0D0D" w:themeColor="text1" w:themeTint="F2"/>
        </w:rPr>
        <w:t>Integrated Approach</w:t>
      </w:r>
      <w:r w:rsidRPr="7FF3ABA2">
        <w:rPr>
          <w:rFonts w:ascii="system-ui" w:eastAsia="system-ui" w:hAnsi="system-ui" w:cs="system-ui"/>
          <w:color w:val="0D0D0D" w:themeColor="text1" w:themeTint="F2"/>
        </w:rPr>
        <w:t>: Utilizes a comprehensive range of Adobe products to manage customer journeys from awareness through conversion. This includes a detailed strategy for using Adobe tools to create personalized customer experiences and optimize marketing efficiency.</w:t>
      </w:r>
    </w:p>
    <w:p w14:paraId="08B572C6" w14:textId="78557A4A" w:rsidR="0043386A" w:rsidRDefault="2642CD03" w:rsidP="7FF3ABA2">
      <w:pPr>
        <w:shd w:val="clear" w:color="auto" w:fill="FFFFFF" w:themeFill="background1"/>
        <w:spacing w:before="300" w:after="300"/>
      </w:pPr>
      <w:r w:rsidRPr="7FF3ABA2">
        <w:rPr>
          <w:rFonts w:ascii="system-ui" w:eastAsia="system-ui" w:hAnsi="system-ui" w:cs="system-ui"/>
          <w:b/>
          <w:bCs/>
          <w:color w:val="0D0D0D" w:themeColor="text1" w:themeTint="F2"/>
        </w:rPr>
        <w:t>Common Features across B2B and B2C Offerings:</w:t>
      </w:r>
    </w:p>
    <w:p w14:paraId="3B449519" w14:textId="78557A4A" w:rsidR="0043386A" w:rsidRDefault="2642CD03" w:rsidP="7FF3ABA2">
      <w:pPr>
        <w:pStyle w:val="ListParagraph"/>
        <w:numPr>
          <w:ilvl w:val="0"/>
          <w:numId w:val="1"/>
        </w:numPr>
        <w:shd w:val="clear" w:color="auto" w:fill="FFFFFF" w:themeFill="background1"/>
        <w:spacing w:after="0"/>
        <w:rPr>
          <w:rFonts w:ascii="system-ui" w:eastAsia="system-ui" w:hAnsi="system-ui" w:cs="system-ui"/>
          <w:color w:val="0D0D0D" w:themeColor="text1" w:themeTint="F2"/>
        </w:rPr>
      </w:pPr>
      <w:r w:rsidRPr="7FF3ABA2">
        <w:rPr>
          <w:rFonts w:ascii="system-ui" w:eastAsia="system-ui" w:hAnsi="system-ui" w:cs="system-ui"/>
          <w:b/>
          <w:bCs/>
          <w:color w:val="0D0D0D" w:themeColor="text1" w:themeTint="F2"/>
        </w:rPr>
        <w:t>Personalization and Customer Journey Optimization</w:t>
      </w:r>
      <w:r w:rsidRPr="7FF3ABA2">
        <w:rPr>
          <w:rFonts w:ascii="system-ui" w:eastAsia="system-ui" w:hAnsi="system-ui" w:cs="system-ui"/>
          <w:color w:val="0D0D0D" w:themeColor="text1" w:themeTint="F2"/>
        </w:rPr>
        <w:t xml:space="preserve">: Both offerings focus heavily on personalizing customer interactions and optimizing the customer </w:t>
      </w:r>
      <w:r w:rsidRPr="7FF3ABA2">
        <w:rPr>
          <w:rFonts w:ascii="system-ui" w:eastAsia="system-ui" w:hAnsi="system-ui" w:cs="system-ui"/>
          <w:color w:val="0D0D0D" w:themeColor="text1" w:themeTint="F2"/>
        </w:rPr>
        <w:lastRenderedPageBreak/>
        <w:t>journey using Adobe’s cutting-edge tools. This involves detailed data analysis, customer segmentation, and targeted marketing strategies to enhance engagement and conversions.</w:t>
      </w:r>
    </w:p>
    <w:p w14:paraId="54A13861" w14:textId="78557A4A" w:rsidR="0043386A" w:rsidRDefault="2642CD03" w:rsidP="7FF3ABA2">
      <w:pPr>
        <w:pStyle w:val="ListParagraph"/>
        <w:numPr>
          <w:ilvl w:val="0"/>
          <w:numId w:val="1"/>
        </w:numPr>
        <w:shd w:val="clear" w:color="auto" w:fill="FFFFFF" w:themeFill="background1"/>
        <w:spacing w:after="0"/>
        <w:rPr>
          <w:rFonts w:ascii="system-ui" w:eastAsia="system-ui" w:hAnsi="system-ui" w:cs="system-ui"/>
          <w:color w:val="0D0D0D" w:themeColor="text1" w:themeTint="F2"/>
        </w:rPr>
      </w:pPr>
      <w:r w:rsidRPr="7FF3ABA2">
        <w:rPr>
          <w:rFonts w:ascii="system-ui" w:eastAsia="system-ui" w:hAnsi="system-ui" w:cs="system-ui"/>
          <w:b/>
          <w:bCs/>
          <w:color w:val="0D0D0D" w:themeColor="text1" w:themeTint="F2"/>
        </w:rPr>
        <w:t>Comprehensive Adobe Integration</w:t>
      </w:r>
      <w:r w:rsidRPr="7FF3ABA2">
        <w:rPr>
          <w:rFonts w:ascii="system-ui" w:eastAsia="system-ui" w:hAnsi="system-ui" w:cs="system-ui"/>
          <w:color w:val="0D0D0D" w:themeColor="text1" w:themeTint="F2"/>
        </w:rPr>
        <w:t>: Both sectors benefit from an integrated approach that leverages multiple Adobe tools to deliver seamless, omnichannel experiences. This includes the management of digital assets, campaign orchestration, data analytics, and personalized content delivery.</w:t>
      </w:r>
    </w:p>
    <w:p w14:paraId="47285654" w14:textId="78557A4A" w:rsidR="0043386A" w:rsidRDefault="2642CD03" w:rsidP="7FF3ABA2">
      <w:pPr>
        <w:pStyle w:val="ListParagraph"/>
        <w:numPr>
          <w:ilvl w:val="0"/>
          <w:numId w:val="1"/>
        </w:numPr>
        <w:shd w:val="clear" w:color="auto" w:fill="FFFFFF" w:themeFill="background1"/>
        <w:spacing w:after="0"/>
        <w:rPr>
          <w:rFonts w:ascii="system-ui" w:eastAsia="system-ui" w:hAnsi="system-ui" w:cs="system-ui"/>
          <w:color w:val="0D0D0D" w:themeColor="text1" w:themeTint="F2"/>
        </w:rPr>
      </w:pPr>
      <w:r w:rsidRPr="7FF3ABA2">
        <w:rPr>
          <w:rFonts w:ascii="system-ui" w:eastAsia="system-ui" w:hAnsi="system-ui" w:cs="system-ui"/>
          <w:b/>
          <w:bCs/>
          <w:color w:val="0D0D0D" w:themeColor="text1" w:themeTint="F2"/>
        </w:rPr>
        <w:t>Strategic Business Impact</w:t>
      </w:r>
      <w:r w:rsidRPr="7FF3ABA2">
        <w:rPr>
          <w:rFonts w:ascii="system-ui" w:eastAsia="system-ui" w:hAnsi="system-ui" w:cs="system-ui"/>
          <w:color w:val="0D0D0D" w:themeColor="text1" w:themeTint="F2"/>
        </w:rPr>
        <w:t>: The Ascent offerings are structured to deliver measurable business impacts, such as increased conversion rates, higher customer engagement levels, and enhanced digital presence, all while ensuring compliance with industry best practices and standards.</w:t>
      </w:r>
    </w:p>
    <w:p w14:paraId="128A34BA" w14:textId="78557A4A" w:rsidR="0043386A" w:rsidRDefault="2642CD03" w:rsidP="7FF3ABA2">
      <w:pPr>
        <w:shd w:val="clear" w:color="auto" w:fill="FFFFFF" w:themeFill="background1"/>
        <w:spacing w:before="300" w:after="0"/>
      </w:pPr>
      <w:r w:rsidRPr="7FF3ABA2">
        <w:rPr>
          <w:rFonts w:ascii="system-ui" w:eastAsia="system-ui" w:hAnsi="system-ui" w:cs="system-ui"/>
          <w:color w:val="0D0D0D" w:themeColor="text1" w:themeTint="F2"/>
        </w:rPr>
        <w:t>Credera's Ascent offerings highlight the firm's commitment to delivering high-value, strategically focused digital transformation initiatives that leverage the full capabilities of the Adobe Experience Platform, helping clients achieve significant advancements in their digital maturity and market positioning.</w:t>
      </w:r>
    </w:p>
    <w:p w14:paraId="2C078E63" w14:textId="78557A4A" w:rsidR="0043386A" w:rsidRDefault="0043386A" w:rsidP="7FF3ABA2"/>
    <w:sectPr w:rsidR="0043386A">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019A5D" w14:textId="77777777" w:rsidR="002D213A" w:rsidRDefault="002D213A" w:rsidP="009838CB">
      <w:pPr>
        <w:spacing w:after="0" w:line="240" w:lineRule="auto"/>
      </w:pPr>
      <w:r>
        <w:separator/>
      </w:r>
    </w:p>
  </w:endnote>
  <w:endnote w:type="continuationSeparator" w:id="0">
    <w:p w14:paraId="1ABAFA06" w14:textId="77777777" w:rsidR="002D213A" w:rsidRDefault="002D213A" w:rsidP="00983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437064" w14:textId="4E008276" w:rsidR="009838CB" w:rsidRDefault="009838CB">
    <w:pPr>
      <w:pStyle w:val="Footer"/>
    </w:pPr>
    <w:r>
      <w:rPr>
        <w:noProof/>
      </w:rPr>
      <mc:AlternateContent>
        <mc:Choice Requires="wps">
          <w:drawing>
            <wp:anchor distT="0" distB="0" distL="0" distR="0" simplePos="0" relativeHeight="251659264" behindDoc="0" locked="0" layoutInCell="1" allowOverlap="1" wp14:anchorId="0499DAB0" wp14:editId="568BC4A2">
              <wp:simplePos x="635" y="635"/>
              <wp:positionH relativeFrom="page">
                <wp:align>center</wp:align>
              </wp:positionH>
              <wp:positionV relativeFrom="page">
                <wp:align>bottom</wp:align>
              </wp:positionV>
              <wp:extent cx="2895600" cy="352425"/>
              <wp:effectExtent l="0" t="0" r="0" b="0"/>
              <wp:wrapNone/>
              <wp:docPr id="98987087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52425"/>
                      </a:xfrm>
                      <a:prstGeom prst="rect">
                        <a:avLst/>
                      </a:prstGeom>
                      <a:noFill/>
                      <a:ln>
                        <a:noFill/>
                      </a:ln>
                    </wps:spPr>
                    <wps:txbx>
                      <w:txbxContent>
                        <w:p w14:paraId="23DEB206" w14:textId="31604D8C" w:rsidR="009838CB" w:rsidRPr="009838CB" w:rsidRDefault="009838CB" w:rsidP="009838CB">
                          <w:pPr>
                            <w:spacing w:after="0"/>
                            <w:rPr>
                              <w:rFonts w:ascii="Calibri" w:eastAsia="Calibri" w:hAnsi="Calibri" w:cs="Calibri"/>
                              <w:noProof/>
                              <w:color w:val="000000"/>
                              <w:sz w:val="20"/>
                              <w:szCs w:val="20"/>
                            </w:rPr>
                          </w:pPr>
                          <w:r w:rsidRPr="009838CB">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99DAB0"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28pt;height:27.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" filled="f" stroked="f">
              <v:fill o:detectmouseclick="t"/>
              <v:textbox style="mso-fit-shape-to-text:t" inset="0,0,0,15pt">
                <w:txbxContent>
                  <w:p w14:paraId="23DEB206" w14:textId="31604D8C" w:rsidR="009838CB" w:rsidRPr="009838CB" w:rsidRDefault="009838CB" w:rsidP="009838CB">
                    <w:pPr>
                      <w:spacing w:after="0"/>
                      <w:rPr>
                        <w:rFonts w:ascii="Calibri" w:eastAsia="Calibri" w:hAnsi="Calibri" w:cs="Calibri"/>
                        <w:noProof/>
                        <w:color w:val="000000"/>
                        <w:sz w:val="20"/>
                        <w:szCs w:val="20"/>
                      </w:rPr>
                    </w:pPr>
                    <w:r w:rsidRPr="009838CB">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8F35E" w14:textId="58BB28A5" w:rsidR="009838CB" w:rsidRDefault="009838CB">
    <w:pPr>
      <w:pStyle w:val="Footer"/>
    </w:pPr>
    <w:r>
      <w:rPr>
        <w:noProof/>
      </w:rPr>
      <mc:AlternateContent>
        <mc:Choice Requires="wps">
          <w:drawing>
            <wp:anchor distT="0" distB="0" distL="0" distR="0" simplePos="0" relativeHeight="251660288" behindDoc="0" locked="0" layoutInCell="1" allowOverlap="1" wp14:anchorId="1F132F90" wp14:editId="7DD88C75">
              <wp:simplePos x="635" y="635"/>
              <wp:positionH relativeFrom="page">
                <wp:align>center</wp:align>
              </wp:positionH>
              <wp:positionV relativeFrom="page">
                <wp:align>bottom</wp:align>
              </wp:positionV>
              <wp:extent cx="2895600" cy="352425"/>
              <wp:effectExtent l="0" t="0" r="0" b="0"/>
              <wp:wrapNone/>
              <wp:docPr id="1712284920"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52425"/>
                      </a:xfrm>
                      <a:prstGeom prst="rect">
                        <a:avLst/>
                      </a:prstGeom>
                      <a:noFill/>
                      <a:ln>
                        <a:noFill/>
                      </a:ln>
                    </wps:spPr>
                    <wps:txbx>
                      <w:txbxContent>
                        <w:p w14:paraId="0BCBBC0A" w14:textId="21F98E65" w:rsidR="009838CB" w:rsidRPr="009838CB" w:rsidRDefault="009838CB" w:rsidP="009838CB">
                          <w:pPr>
                            <w:spacing w:after="0"/>
                            <w:rPr>
                              <w:rFonts w:ascii="Calibri" w:eastAsia="Calibri" w:hAnsi="Calibri" w:cs="Calibri"/>
                              <w:noProof/>
                              <w:color w:val="000000"/>
                              <w:sz w:val="20"/>
                              <w:szCs w:val="20"/>
                            </w:rPr>
                          </w:pPr>
                          <w:r w:rsidRPr="009838CB">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132F90"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28pt;height:27.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" filled="f" stroked="f">
              <v:fill o:detectmouseclick="t"/>
              <v:textbox style="mso-fit-shape-to-text:t" inset="0,0,0,15pt">
                <w:txbxContent>
                  <w:p w14:paraId="0BCBBC0A" w14:textId="21F98E65" w:rsidR="009838CB" w:rsidRPr="009838CB" w:rsidRDefault="009838CB" w:rsidP="009838CB">
                    <w:pPr>
                      <w:spacing w:after="0"/>
                      <w:rPr>
                        <w:rFonts w:ascii="Calibri" w:eastAsia="Calibri" w:hAnsi="Calibri" w:cs="Calibri"/>
                        <w:noProof/>
                        <w:color w:val="000000"/>
                        <w:sz w:val="20"/>
                        <w:szCs w:val="20"/>
                      </w:rPr>
                    </w:pPr>
                    <w:r w:rsidRPr="009838CB">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D0897" w14:textId="5ABAAEE6" w:rsidR="009838CB" w:rsidRDefault="009838CB">
    <w:pPr>
      <w:pStyle w:val="Footer"/>
    </w:pPr>
    <w:r>
      <w:rPr>
        <w:noProof/>
      </w:rPr>
      <mc:AlternateContent>
        <mc:Choice Requires="wps">
          <w:drawing>
            <wp:anchor distT="0" distB="0" distL="0" distR="0" simplePos="0" relativeHeight="251658240" behindDoc="0" locked="0" layoutInCell="1" allowOverlap="1" wp14:anchorId="46D49063" wp14:editId="1F20D649">
              <wp:simplePos x="635" y="635"/>
              <wp:positionH relativeFrom="page">
                <wp:align>center</wp:align>
              </wp:positionH>
              <wp:positionV relativeFrom="page">
                <wp:align>bottom</wp:align>
              </wp:positionV>
              <wp:extent cx="2895600" cy="352425"/>
              <wp:effectExtent l="0" t="0" r="0" b="0"/>
              <wp:wrapNone/>
              <wp:docPr id="503505449"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52425"/>
                      </a:xfrm>
                      <a:prstGeom prst="rect">
                        <a:avLst/>
                      </a:prstGeom>
                      <a:noFill/>
                      <a:ln>
                        <a:noFill/>
                      </a:ln>
                    </wps:spPr>
                    <wps:txbx>
                      <w:txbxContent>
                        <w:p w14:paraId="221F60E8" w14:textId="28D56F70" w:rsidR="009838CB" w:rsidRPr="009838CB" w:rsidRDefault="009838CB" w:rsidP="009838CB">
                          <w:pPr>
                            <w:spacing w:after="0"/>
                            <w:rPr>
                              <w:rFonts w:ascii="Calibri" w:eastAsia="Calibri" w:hAnsi="Calibri" w:cs="Calibri"/>
                              <w:noProof/>
                              <w:color w:val="000000"/>
                              <w:sz w:val="20"/>
                              <w:szCs w:val="20"/>
                            </w:rPr>
                          </w:pPr>
                          <w:r w:rsidRPr="009838CB">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D49063"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28pt;height:27.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" filled="f" stroked="f">
              <v:fill o:detectmouseclick="t"/>
              <v:textbox style="mso-fit-shape-to-text:t" inset="0,0,0,15pt">
                <w:txbxContent>
                  <w:p w14:paraId="221F60E8" w14:textId="28D56F70" w:rsidR="009838CB" w:rsidRPr="009838CB" w:rsidRDefault="009838CB" w:rsidP="009838CB">
                    <w:pPr>
                      <w:spacing w:after="0"/>
                      <w:rPr>
                        <w:rFonts w:ascii="Calibri" w:eastAsia="Calibri" w:hAnsi="Calibri" w:cs="Calibri"/>
                        <w:noProof/>
                        <w:color w:val="000000"/>
                        <w:sz w:val="20"/>
                        <w:szCs w:val="20"/>
                      </w:rPr>
                    </w:pPr>
                    <w:r w:rsidRPr="009838CB">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FB0253" w14:textId="77777777" w:rsidR="002D213A" w:rsidRDefault="002D213A" w:rsidP="009838CB">
      <w:pPr>
        <w:spacing w:after="0" w:line="240" w:lineRule="auto"/>
      </w:pPr>
      <w:r>
        <w:separator/>
      </w:r>
    </w:p>
  </w:footnote>
  <w:footnote w:type="continuationSeparator" w:id="0">
    <w:p w14:paraId="3F089371" w14:textId="77777777" w:rsidR="002D213A" w:rsidRDefault="002D213A" w:rsidP="00983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EEDE4A"/>
    <w:multiLevelType w:val="hybridMultilevel"/>
    <w:tmpl w:val="FFFFFFFF"/>
    <w:lvl w:ilvl="0" w:tplc="539C080E">
      <w:start w:val="1"/>
      <w:numFmt w:val="bullet"/>
      <w:lvlText w:val=""/>
      <w:lvlJc w:val="left"/>
      <w:pPr>
        <w:ind w:left="720" w:hanging="360"/>
      </w:pPr>
      <w:rPr>
        <w:rFonts w:ascii="Symbol" w:hAnsi="Symbol" w:hint="default"/>
      </w:rPr>
    </w:lvl>
    <w:lvl w:ilvl="1" w:tplc="732CFE90">
      <w:start w:val="1"/>
      <w:numFmt w:val="bullet"/>
      <w:lvlText w:val="o"/>
      <w:lvlJc w:val="left"/>
      <w:pPr>
        <w:ind w:left="1440" w:hanging="360"/>
      </w:pPr>
      <w:rPr>
        <w:rFonts w:ascii="Courier New" w:hAnsi="Courier New" w:hint="default"/>
      </w:rPr>
    </w:lvl>
    <w:lvl w:ilvl="2" w:tplc="60D07C76">
      <w:start w:val="1"/>
      <w:numFmt w:val="bullet"/>
      <w:lvlText w:val=""/>
      <w:lvlJc w:val="left"/>
      <w:pPr>
        <w:ind w:left="2160" w:hanging="360"/>
      </w:pPr>
      <w:rPr>
        <w:rFonts w:ascii="Wingdings" w:hAnsi="Wingdings" w:hint="default"/>
      </w:rPr>
    </w:lvl>
    <w:lvl w:ilvl="3" w:tplc="3014D394">
      <w:start w:val="1"/>
      <w:numFmt w:val="bullet"/>
      <w:lvlText w:val=""/>
      <w:lvlJc w:val="left"/>
      <w:pPr>
        <w:ind w:left="2880" w:hanging="360"/>
      </w:pPr>
      <w:rPr>
        <w:rFonts w:ascii="Symbol" w:hAnsi="Symbol" w:hint="default"/>
      </w:rPr>
    </w:lvl>
    <w:lvl w:ilvl="4" w:tplc="4CB2C17A">
      <w:start w:val="1"/>
      <w:numFmt w:val="bullet"/>
      <w:lvlText w:val="o"/>
      <w:lvlJc w:val="left"/>
      <w:pPr>
        <w:ind w:left="3600" w:hanging="360"/>
      </w:pPr>
      <w:rPr>
        <w:rFonts w:ascii="Courier New" w:hAnsi="Courier New" w:hint="default"/>
      </w:rPr>
    </w:lvl>
    <w:lvl w:ilvl="5" w:tplc="0E8A2088">
      <w:start w:val="1"/>
      <w:numFmt w:val="bullet"/>
      <w:lvlText w:val=""/>
      <w:lvlJc w:val="left"/>
      <w:pPr>
        <w:ind w:left="4320" w:hanging="360"/>
      </w:pPr>
      <w:rPr>
        <w:rFonts w:ascii="Wingdings" w:hAnsi="Wingdings" w:hint="default"/>
      </w:rPr>
    </w:lvl>
    <w:lvl w:ilvl="6" w:tplc="64688198">
      <w:start w:val="1"/>
      <w:numFmt w:val="bullet"/>
      <w:lvlText w:val=""/>
      <w:lvlJc w:val="left"/>
      <w:pPr>
        <w:ind w:left="5040" w:hanging="360"/>
      </w:pPr>
      <w:rPr>
        <w:rFonts w:ascii="Symbol" w:hAnsi="Symbol" w:hint="default"/>
      </w:rPr>
    </w:lvl>
    <w:lvl w:ilvl="7" w:tplc="39CEFEFA">
      <w:start w:val="1"/>
      <w:numFmt w:val="bullet"/>
      <w:lvlText w:val="o"/>
      <w:lvlJc w:val="left"/>
      <w:pPr>
        <w:ind w:left="5760" w:hanging="360"/>
      </w:pPr>
      <w:rPr>
        <w:rFonts w:ascii="Courier New" w:hAnsi="Courier New" w:hint="default"/>
      </w:rPr>
    </w:lvl>
    <w:lvl w:ilvl="8" w:tplc="4D7034BC">
      <w:start w:val="1"/>
      <w:numFmt w:val="bullet"/>
      <w:lvlText w:val=""/>
      <w:lvlJc w:val="left"/>
      <w:pPr>
        <w:ind w:left="6480" w:hanging="360"/>
      </w:pPr>
      <w:rPr>
        <w:rFonts w:ascii="Wingdings" w:hAnsi="Wingdings" w:hint="default"/>
      </w:rPr>
    </w:lvl>
  </w:abstractNum>
  <w:abstractNum w:abstractNumId="1" w15:restartNumberingAfterBreak="0">
    <w:nsid w:val="7467616B"/>
    <w:multiLevelType w:val="hybridMultilevel"/>
    <w:tmpl w:val="BECE6CDA"/>
    <w:lvl w:ilvl="0" w:tplc="A784087C">
      <w:numFmt w:val="bullet"/>
      <w:lvlText w:val="-"/>
      <w:lvlJc w:val="left"/>
      <w:pPr>
        <w:ind w:left="400" w:hanging="360"/>
      </w:pPr>
      <w:rPr>
        <w:rFonts w:ascii="Aptos" w:eastAsiaTheme="minorEastAsia" w:hAnsi="Aptos" w:cstheme="minorBidi" w:hint="default"/>
      </w:rPr>
    </w:lvl>
    <w:lvl w:ilvl="1" w:tplc="04090003" w:tentative="1">
      <w:start w:val="1"/>
      <w:numFmt w:val="bullet"/>
      <w:lvlText w:val="o"/>
      <w:lvlJc w:val="left"/>
      <w:pPr>
        <w:ind w:left="1120" w:hanging="360"/>
      </w:pPr>
      <w:rPr>
        <w:rFonts w:ascii="Courier New" w:hAnsi="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hint="default"/>
      </w:rPr>
    </w:lvl>
    <w:lvl w:ilvl="8" w:tplc="04090005" w:tentative="1">
      <w:start w:val="1"/>
      <w:numFmt w:val="bullet"/>
      <w:lvlText w:val=""/>
      <w:lvlJc w:val="left"/>
      <w:pPr>
        <w:ind w:left="6160" w:hanging="360"/>
      </w:pPr>
      <w:rPr>
        <w:rFonts w:ascii="Wingdings" w:hAnsi="Wingdings" w:hint="default"/>
      </w:rPr>
    </w:lvl>
  </w:abstractNum>
  <w:num w:numId="1" w16cid:durableId="868177263">
    <w:abstractNumId w:val="0"/>
  </w:num>
  <w:num w:numId="2" w16cid:durableId="116513087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32730A"/>
    <w:rsid w:val="002A4DF5"/>
    <w:rsid w:val="002D213A"/>
    <w:rsid w:val="0043386A"/>
    <w:rsid w:val="004B4D3D"/>
    <w:rsid w:val="009838CB"/>
    <w:rsid w:val="00FB2743"/>
    <w:rsid w:val="1532730A"/>
    <w:rsid w:val="2642CD03"/>
    <w:rsid w:val="2BC901CA"/>
    <w:rsid w:val="7FF3AB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730A"/>
  <w15:chartTrackingRefBased/>
  <w15:docId w15:val="{96855911-D89B-4F56-9043-0A58246B5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rsid w:val="00983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CA1C171F6102478818C217FFF97137" ma:contentTypeVersion="13" ma:contentTypeDescription="Create a new document." ma:contentTypeScope="" ma:versionID="767dca9ece4890404c7b94ac9d465370">
  <xsd:schema xmlns:xsd="http://www.w3.org/2001/XMLSchema" xmlns:xs="http://www.w3.org/2001/XMLSchema" xmlns:p="http://schemas.microsoft.com/office/2006/metadata/properties" xmlns:ns2="e79f06bb-4fff-4491-9f2f-62a18751b401" xmlns:ns3="a370ed90-b431-4eb7-8a42-75f40b63ba1c" targetNamespace="http://schemas.microsoft.com/office/2006/metadata/properties" ma:root="true" ma:fieldsID="decc7580b49ba7a026521e2de244d808" ns2:_="" ns3:_="">
    <xsd:import namespace="e79f06bb-4fff-4491-9f2f-62a18751b401"/>
    <xsd:import namespace="a370ed90-b431-4eb7-8a42-75f40b63b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9f06bb-4fff-4491-9f2f-62a18751b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6a257fb-28f5-49c4-92c3-d49665e8e1d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70ed90-b431-4eb7-8a42-75f40b63ba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9f06bb-4fff-4491-9f2f-62a18751b4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1D02AE-3491-49C6-89AB-CE5E166389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9f06bb-4fff-4491-9f2f-62a18751b401"/>
    <ds:schemaRef ds:uri="a370ed90-b431-4eb7-8a42-75f40b63b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5FF99C-886B-4EFE-B7D7-832EB9675333}">
  <ds:schemaRefs>
    <ds:schemaRef ds:uri="http://schemas.microsoft.com/sharepoint/v3/contenttype/forms"/>
  </ds:schemaRefs>
</ds:datastoreItem>
</file>

<file path=customXml/itemProps3.xml><?xml version="1.0" encoding="utf-8"?>
<ds:datastoreItem xmlns:ds="http://schemas.openxmlformats.org/officeDocument/2006/customXml" ds:itemID="{FDBE6BD3-C22B-4F51-B9F3-D32CC3CCE75A}">
  <ds:schemaRefs>
    <ds:schemaRef ds:uri="http://schemas.microsoft.com/office/2006/metadata/properties"/>
    <ds:schemaRef ds:uri="http://schemas.microsoft.com/office/infopath/2007/PartnerControls"/>
    <ds:schemaRef ds:uri="e79f06bb-4fff-4491-9f2f-62a18751b40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Proulx (Credera)</dc:creator>
  <cp:keywords/>
  <dc:description/>
  <cp:lastModifiedBy>Navdeep Pandey (Omnicom)</cp:lastModifiedBy>
  <cp:revision>2</cp:revision>
  <dcterms:created xsi:type="dcterms:W3CDTF">2025-02-27T18:11:00Z</dcterms:created>
  <dcterms:modified xsi:type="dcterms:W3CDTF">2026-08-10T00:47:00Z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0x01010078CA1C171F6102478818C217FFF97137</vt:lpwstr>
  </property>
  <property fmtid="{D5CDD505-2E9C-101B-9397-08002B2CF9AE}" pid="3" name="MediaServiceImageTags">
    <vt:lpwstr/>
  </property>
  <property fmtid="{D5CDD505-2E9C-101B-9397-08002B2CF9AE}" pid="4" name="ClassificationContentMarkingFooterShapeIds">
    <vt:lpwstr>1e02e229,3b003b1d,660f64f8</vt:lpwstr>
  </property>
  <property fmtid="{D5CDD505-2E9C-101B-9397-08002B2CF9AE}" pid="5" name="ClassificationContentMarkingFooterFontProps">
    <vt:lpwstr>#000000,10,Calibri</vt:lpwstr>
  </property>
  <property fmtid="{D5CDD505-2E9C-101B-9397-08002B2CF9AE}" pid="6" name="ClassificationContentMarkingFooterText">
    <vt:lpwstr>Confidential - Not for Public Consumption or Distribution</vt:lpwstr>
  </property>
  <property fmtid="{D5CDD505-2E9C-101B-9397-08002B2CF9AE}" pid="7" name="MSIP_Label_8e19d756-792e-42a1-bcad-4cb9051ddd2d_Enabled">
    <vt:lpwstr>true</vt:lpwstr>
  </property>
  <property fmtid="{D5CDD505-2E9C-101B-9397-08002B2CF9AE}" pid="8" name="MSIP_Label_8e19d756-792e-42a1-bcad-4cb9051ddd2d_SetDate">
    <vt:lpwstr>2025-02-27T18:11:24Z</vt:lpwstr>
  </property>
  <property fmtid="{D5CDD505-2E9C-101B-9397-08002B2CF9AE}" pid="9" name="MSIP_Label_8e19d756-792e-42a1-bcad-4cb9051ddd2d_Method">
    <vt:lpwstr>Standard</vt:lpwstr>
  </property>
  <property fmtid="{D5CDD505-2E9C-101B-9397-08002B2CF9AE}" pid="10" name="MSIP_Label_8e19d756-792e-42a1-bcad-4cb9051ddd2d_Name">
    <vt:lpwstr>Confidential</vt:lpwstr>
  </property>
  <property fmtid="{D5CDD505-2E9C-101B-9397-08002B2CF9AE}" pid="11" name="MSIP_Label_8e19d756-792e-42a1-bcad-4cb9051ddd2d_SiteId">
    <vt:lpwstr>41eb501a-f671-4ce0-a5bf-b64168c3705f</vt:lpwstr>
  </property>
  <property fmtid="{D5CDD505-2E9C-101B-9397-08002B2CF9AE}" pid="12" name="MSIP_Label_8e19d756-792e-42a1-bcad-4cb9051ddd2d_ActionId">
    <vt:lpwstr>91482ba4-d404-4f25-a724-18daa97e6fc0</vt:lpwstr>
  </property>
  <property fmtid="{D5CDD505-2E9C-101B-9397-08002B2CF9AE}" pid="13" name="MSIP_Label_8e19d756-792e-42a1-bcad-4cb9051ddd2d_ContentBits">
    <vt:lpwstr>2</vt:lpwstr>
  </property>
  <property fmtid="{D5CDD505-2E9C-101B-9397-08002B2CF9AE}" pid="14" name="MSIP_Label_8e19d756-792e-42a1-bcad-4cb9051ddd2d_Tag">
    <vt:lpwstr>10, 3, 0, 2</vt:lpwstr>
  </property>
</Properties>
</file>