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69.png" ContentType="image/png"/>
  <Override PartName="/word/media/rId65.png" ContentType="image/png"/>
  <Override PartName="/word/media/rId57.png" ContentType="image/png"/>
  <Override PartName="/word/media/rId30.png" ContentType="image/png"/>
  <Override PartName="/word/media/rId48.png" ContentType="image/png"/>
  <Override PartName="/word/media/rId39.png" ContentType="image/png"/>
  <Override PartName="/word/media/rId26.png" ContentType="image/png"/>
  <Override PartName="/word/media/rId44.png" ContentType="image/png"/>
  <Override PartName="/word/media/rId3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Accent Perception Analysis</w:t>
      </w:r>
    </w:p>
    <w:p>
      <w:pPr>
        <w:pStyle w:val="Subtitle"/>
      </w:pPr>
      <w:r>
        <w:t xml:space="preserve">Stella Survey (Status &amp; Solidarity Ratings)</w:t>
      </w:r>
    </w:p>
    <w:p>
      <w:pPr>
        <w:pStyle w:val="Author"/>
      </w:pPr>
      <w:r>
        <w:t xml:space="preserve">Ersin Gultekin</w:t>
      </w:r>
    </w:p>
    <w:p>
      <w:pPr>
        <w:pStyle w:val="Date"/>
      </w:pPr>
      <w:r>
        <w:t xml:space="preserve">2025-02-28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CommentTok"/>
        </w:rPr>
        <w:t xml:space="preserve"># Load required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(kableExtra)</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(viridis)</w:t>
      </w:r>
      <w:r>
        <w:br/>
      </w:r>
      <w:r>
        <w:br/>
      </w:r>
      <w:r>
        <w:rPr>
          <w:rStyle w:val="CommentTok"/>
        </w:rPr>
        <w:t xml:space="preserve"># Read in the cleaned data</w:t>
      </w:r>
      <w:r>
        <w:br/>
      </w:r>
      <w:r>
        <w:rPr>
          <w:rStyle w:val="NormalTok"/>
        </w:rPr>
        <w:t xml:space="preserve">stella_data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"../data/stella_survey_clean.rds"</w:t>
      </w:r>
      <w:r>
        <w:rPr>
          <w:rStyle w:val="NormalTok"/>
        </w:rPr>
        <w:t xml:space="preserve">)</w:t>
      </w:r>
      <w:r>
        <w:br/>
      </w:r>
      <w:r>
        <w:br/>
      </w:r>
      <w:r>
        <w:rPr>
          <w:rStyle w:val="CommentTok"/>
        </w:rPr>
        <w:t xml:space="preserve"># Create participant-level data (removing duplicates)</w:t>
      </w:r>
      <w:r>
        <w:br/>
      </w:r>
      <w:r>
        <w:rPr>
          <w:rStyle w:val="NormalTok"/>
        </w:rPr>
        <w:t xml:space="preserve">participant_data </w:t>
      </w:r>
      <w:r>
        <w:rPr>
          <w:rStyle w:val="OtherTok"/>
        </w:rPr>
        <w:t xml:space="preserve">&lt;-</w:t>
      </w:r>
      <w:r>
        <w:rPr>
          <w:rStyle w:val="NormalTok"/>
        </w:rPr>
        <w:t xml:space="preserve"> stella_data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(ppt_id, gender, age, student, lessons_English, contact_English)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CommentTok"/>
        </w:rPr>
        <w:t xml:space="preserve"># Define a custom theme with better spacing for plots</w:t>
      </w:r>
      <w:r>
        <w:br/>
      </w:r>
      <w:r>
        <w:rPr>
          <w:rStyle w:val="NormalTok"/>
        </w:rPr>
        <w:t xml:space="preserve">my_custom_theme </w:t>
      </w:r>
      <w:r>
        <w:rPr>
          <w:rStyle w:val="OtherTok"/>
        </w:rPr>
        <w:t xml:space="preserve">&lt;-</w:t>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20</w:t>
      </w:r>
      <w:r>
        <w:rPr>
          <w:rStyle w:val="NormalTok"/>
        </w:rPr>
        <w:t xml:space="preserve">, </w:t>
      </w:r>
      <w:r>
        <w:rPr>
          <w:rStyle w:val="AttributeTok"/>
        </w:rPr>
        <w:t xml:space="preserve">r =</w:t>
      </w:r>
      <w:r>
        <w:rPr>
          <w:rStyle w:val="NormalTok"/>
        </w:rPr>
        <w:t xml:space="preserve"> </w:t>
      </w:r>
      <w:r>
        <w:rPr>
          <w:rStyle w:val="DecValTok"/>
        </w:rPr>
        <w:t xml:space="preserve">0</w:t>
      </w:r>
      <w:r>
        <w:rPr>
          <w:rStyle w:val="NormalTok"/>
        </w:rPr>
        <w:t xml:space="preserve">, </w:t>
      </w:r>
      <w:r>
        <w:rPr>
          <w:rStyle w:val="AttributeTok"/>
        </w:rPr>
        <w:t xml:space="preserve">b =</w:t>
      </w:r>
      <w:r>
        <w:rPr>
          <w:rStyle w:val="NormalTok"/>
        </w:rPr>
        <w:t xml:space="preserve"> </w:t>
      </w:r>
      <w:r>
        <w:rPr>
          <w:rStyle w:val="DecValTok"/>
        </w:rPr>
        <w:t xml:space="preserve">0</w:t>
      </w:r>
      <w:r>
        <w:rPr>
          <w:rStyle w:val="NormalTok"/>
        </w:rPr>
        <w:t xml:space="preserve">, </w:t>
      </w:r>
      <w:r>
        <w:rPr>
          <w:rStyle w:val="AttributeTok"/>
        </w:rPr>
        <w:t xml:space="preserve">l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0</w:t>
      </w:r>
      <w:r>
        <w:rPr>
          <w:rStyle w:val="NormalTok"/>
        </w:rPr>
        <w:t xml:space="preserve">, </w:t>
      </w:r>
      <w:r>
        <w:rPr>
          <w:rStyle w:val="AttributeTok"/>
        </w:rPr>
        <w:t xml:space="preserve">r =</w:t>
      </w:r>
      <w:r>
        <w:rPr>
          <w:rStyle w:val="NormalTok"/>
        </w:rPr>
        <w:t xml:space="preserve"> </w:t>
      </w:r>
      <w:r>
        <w:rPr>
          <w:rStyle w:val="DecValTok"/>
        </w:rPr>
        <w:t xml:space="preserve">20</w:t>
      </w:r>
      <w:r>
        <w:rPr>
          <w:rStyle w:val="NormalTok"/>
        </w:rPr>
        <w:t xml:space="preserve">, </w:t>
      </w:r>
      <w:r>
        <w:rPr>
          <w:rStyle w:val="AttributeTok"/>
        </w:rPr>
        <w:t xml:space="preserve">b =</w:t>
      </w:r>
      <w:r>
        <w:rPr>
          <w:rStyle w:val="NormalTok"/>
        </w:rPr>
        <w:t xml:space="preserve"> </w:t>
      </w:r>
      <w:r>
        <w:rPr>
          <w:rStyle w:val="DecValTok"/>
        </w:rPr>
        <w:t xml:space="preserve">0</w:t>
      </w:r>
      <w:r>
        <w:rPr>
          <w:rStyle w:val="NormalTok"/>
        </w:rPr>
        <w:t xml:space="preserve">, </w:t>
      </w:r>
      <w:r>
        <w:rPr>
          <w:rStyle w:val="AttributeTok"/>
        </w:rPr>
        <w:t xml:space="preserve">l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30</w:t>
      </w:r>
      <w:r>
        <w:rPr>
          <w:rStyle w:val="NormalTok"/>
        </w:rPr>
        <w:t xml:space="preserve">, </w:t>
      </w:r>
      <w:r>
        <w:rPr>
          <w:rStyle w:val="AttributeTok"/>
        </w:rPr>
        <w:t xml:space="preserve">r =</w:t>
      </w:r>
      <w:r>
        <w:rPr>
          <w:rStyle w:val="NormalTok"/>
        </w:rPr>
        <w:t xml:space="preserve"> </w:t>
      </w:r>
      <w:r>
        <w:rPr>
          <w:rStyle w:val="DecValTok"/>
        </w:rPr>
        <w:t xml:space="preserve">30</w:t>
      </w:r>
      <w:r>
        <w:rPr>
          <w:rStyle w:val="NormalTok"/>
        </w:rPr>
        <w:t xml:space="preserve">, </w:t>
      </w:r>
      <w:r>
        <w:rPr>
          <w:rStyle w:val="AttributeTok"/>
        </w:rPr>
        <w:t xml:space="preserve">b =</w:t>
      </w:r>
      <w:r>
        <w:rPr>
          <w:rStyle w:val="NormalTok"/>
        </w:rPr>
        <w:t xml:space="preserve"> </w:t>
      </w:r>
      <w:r>
        <w:rPr>
          <w:rStyle w:val="DecValTok"/>
        </w:rPr>
        <w:t xml:space="preserve">30</w:t>
      </w:r>
      <w:r>
        <w:rPr>
          <w:rStyle w:val="NormalTok"/>
        </w:rPr>
        <w:t xml:space="preserve">, </w:t>
      </w:r>
      <w:r>
        <w:rPr>
          <w:rStyle w:val="AttributeTok"/>
        </w:rPr>
        <w:t xml:space="preserve">l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p>
    <w:p>
      <w:r>
        <w:br w:type="page"/>
      </w:r>
    </w:p>
    <w:bookmarkStart w:id="25" w:name="introduction"/>
    <w:p>
      <w:pPr>
        <w:pStyle w:val="Heading1"/>
      </w:pPr>
      <w:r>
        <w:t xml:space="preserve">1. Introduction</w:t>
      </w:r>
    </w:p>
    <w:bookmarkStart w:id="20" w:name="topic-and-hypotheses"/>
    <w:p>
      <w:pPr>
        <w:pStyle w:val="Heading2"/>
      </w:pPr>
      <w:r>
        <w:t xml:space="preserve">1.1 Topic and Hypotheses</w:t>
      </w:r>
    </w:p>
    <w:p>
      <w:pPr>
        <w:pStyle w:val="FirstParagraph"/>
      </w:pPr>
      <w:r>
        <w:t xml:space="preserve">This study investigates language attitudes toward different English accents, focusing on how standard and non-standard accents are perceived in terms of status and solidarity dimensions. It also examines the effects of speaker gender and differences between UK Received Pronunciation (RP) and US General American (GA) accents.</w:t>
      </w:r>
    </w:p>
    <w:p>
      <w:pPr>
        <w:pStyle w:val="BodyText"/>
      </w:pPr>
      <w:r>
        <w:t xml:space="preserve">The main hypotheses tested in this study are:</w:t>
      </w:r>
    </w:p>
    <w:p>
      <w:pPr>
        <w:numPr>
          <w:ilvl w:val="0"/>
          <w:numId w:val="1001"/>
        </w:numPr>
      </w:pPr>
      <w:r>
        <w:rPr>
          <w:b/>
          <w:bCs/>
        </w:rPr>
        <w:t xml:space="preserve">Hypothesis 1</w:t>
      </w:r>
      <w:r>
        <w:t xml:space="preserve">: Standard accents will be rated higher on status dimensions, while non-standard accents will receive higher scores on solidarity dimensions.</w:t>
      </w:r>
    </w:p>
    <w:p>
      <w:pPr>
        <w:numPr>
          <w:ilvl w:val="0"/>
          <w:numId w:val="1001"/>
        </w:numPr>
      </w:pPr>
      <w:r>
        <w:rPr>
          <w:b/>
          <w:bCs/>
        </w:rPr>
        <w:t xml:space="preserve">Hypothesis 2</w:t>
      </w:r>
      <w:r>
        <w:t xml:space="preserve">: Speaker gender will influence perception of accents, with potential differences in how male and female speech is evaluated on status and solidarity dimensions.</w:t>
      </w:r>
    </w:p>
    <w:p>
      <w:pPr>
        <w:numPr>
          <w:ilvl w:val="0"/>
          <w:numId w:val="1001"/>
        </w:numPr>
      </w:pPr>
      <w:r>
        <w:rPr>
          <w:b/>
          <w:bCs/>
        </w:rPr>
        <w:t xml:space="preserve">Hypothesis 3</w:t>
      </w:r>
      <w:r>
        <w:t xml:space="preserve">: UK Received Pronunciation (RP) will receive higher status ratings compared to US General American (GA) accents.</w:t>
      </w:r>
    </w:p>
    <w:bookmarkEnd w:id="20"/>
    <w:bookmarkStart w:id="24" w:name="data-description-and-analysis-approach"/>
    <w:p>
      <w:pPr>
        <w:pStyle w:val="Heading2"/>
      </w:pPr>
      <w:r>
        <w:t xml:space="preserve">1.2 Data Description and Analysis Approach</w:t>
      </w:r>
    </w:p>
    <w:p>
      <w:pPr>
        <w:pStyle w:val="FirstParagraph"/>
      </w:pPr>
      <w:r>
        <w:t xml:space="preserve">This analysis uses data from the Stella Survey, which collected perceptions of different English accent varieties from non-native English speakers. The dataset includes 1536 observations from 96 unique participants who evaluated various English accent recordings.</w:t>
      </w:r>
    </w:p>
    <w:bookmarkStart w:id="21" w:name="packages-used"/>
    <w:p>
      <w:pPr>
        <w:pStyle w:val="Heading3"/>
      </w:pPr>
      <w:r>
        <w:t xml:space="preserve">1.2.1 Packages Used</w:t>
      </w:r>
    </w:p>
    <w:p>
      <w:pPr>
        <w:pStyle w:val="FirstParagraph"/>
      </w:pPr>
      <w:r>
        <w:t xml:space="preserve">The analysis was conducted using R with the following packages:</w:t>
      </w:r>
    </w:p>
    <w:p>
      <w:pPr>
        <w:pStyle w:val="Compact"/>
        <w:numPr>
          <w:ilvl w:val="0"/>
          <w:numId w:val="1002"/>
        </w:numPr>
      </w:pPr>
      <w:r>
        <w:t xml:space="preserve">tidyverse for data manipulation and visualization</w:t>
      </w:r>
    </w:p>
    <w:p>
      <w:pPr>
        <w:pStyle w:val="Compact"/>
        <w:numPr>
          <w:ilvl w:val="0"/>
          <w:numId w:val="1002"/>
        </w:numPr>
      </w:pPr>
      <w:r>
        <w:t xml:space="preserve">knitr and kableExtra for table formatting</w:t>
      </w:r>
    </w:p>
    <w:p>
      <w:pPr>
        <w:pStyle w:val="Compact"/>
        <w:numPr>
          <w:ilvl w:val="0"/>
          <w:numId w:val="1002"/>
        </w:numPr>
      </w:pPr>
      <w:r>
        <w:t xml:space="preserve">flextable for creating publication-ready tables</w:t>
      </w:r>
    </w:p>
    <w:p>
      <w:pPr>
        <w:pStyle w:val="Compact"/>
        <w:numPr>
          <w:ilvl w:val="0"/>
          <w:numId w:val="1002"/>
        </w:numPr>
      </w:pPr>
      <w:r>
        <w:t xml:space="preserve">viridis for colorblind-friendly visualizations</w:t>
      </w:r>
    </w:p>
    <w:bookmarkEnd w:id="21"/>
    <w:bookmarkStart w:id="22" w:name="data-characteristics"/>
    <w:p>
      <w:pPr>
        <w:pStyle w:val="Heading3"/>
      </w:pPr>
      <w:r>
        <w:t xml:space="preserve">1.2.2 Data Characteristics</w:t>
      </w:r>
    </w:p>
    <w:p>
      <w:pPr>
        <w:pStyle w:val="FirstParagraph"/>
      </w:pPr>
      <w:r>
        <w:t xml:space="preserve">The dataset contains 1536 observations with 12 variables. Each participant rated multiple accent samples on scales measuring status and solidarity dimensions. Key variables include:</w:t>
      </w:r>
    </w:p>
    <w:p>
      <w:pPr>
        <w:pStyle w:val="Compact"/>
        <w:numPr>
          <w:ilvl w:val="0"/>
          <w:numId w:val="1003"/>
        </w:numPr>
      </w:pPr>
      <w:r>
        <w:rPr>
          <w:rStyle w:val="VerbatimChar"/>
        </w:rPr>
        <w:t xml:space="preserve">standard</w:t>
      </w:r>
      <w:r>
        <w:t xml:space="preserve">: Whether the accent is classified as standard or non-standard</w:t>
      </w:r>
    </w:p>
    <w:p>
      <w:pPr>
        <w:pStyle w:val="Compact"/>
        <w:numPr>
          <w:ilvl w:val="0"/>
          <w:numId w:val="1003"/>
        </w:numPr>
      </w:pPr>
      <w:r>
        <w:rPr>
          <w:rStyle w:val="VerbatimChar"/>
        </w:rPr>
        <w:t xml:space="preserve">speaker_gender</w:t>
      </w:r>
      <w:r>
        <w:t xml:space="preserve">: Gender of the speaker (male or female)</w:t>
      </w:r>
    </w:p>
    <w:p>
      <w:pPr>
        <w:pStyle w:val="Compact"/>
        <w:numPr>
          <w:ilvl w:val="0"/>
          <w:numId w:val="1003"/>
        </w:numPr>
      </w:pPr>
      <w:r>
        <w:rPr>
          <w:rStyle w:val="VerbatimChar"/>
        </w:rPr>
        <w:t xml:space="preserve">country</w:t>
      </w:r>
      <w:r>
        <w:t xml:space="preserve">: Country of origin for the accent (UK or US)</w:t>
      </w:r>
    </w:p>
    <w:p>
      <w:pPr>
        <w:pStyle w:val="Compact"/>
        <w:numPr>
          <w:ilvl w:val="0"/>
          <w:numId w:val="1003"/>
        </w:numPr>
      </w:pPr>
      <w:r>
        <w:rPr>
          <w:rStyle w:val="VerbatimChar"/>
        </w:rPr>
        <w:t xml:space="preserve">status</w:t>
      </w:r>
      <w:r>
        <w:t xml:space="preserve">: Rating on status dimension (higher values indicate higher perceived status)</w:t>
      </w:r>
    </w:p>
    <w:p>
      <w:pPr>
        <w:pStyle w:val="Compact"/>
        <w:numPr>
          <w:ilvl w:val="0"/>
          <w:numId w:val="1003"/>
        </w:numPr>
      </w:pPr>
      <w:r>
        <w:rPr>
          <w:rStyle w:val="VerbatimChar"/>
        </w:rPr>
        <w:t xml:space="preserve">solidarity</w:t>
      </w:r>
      <w:r>
        <w:t xml:space="preserve">: Rating on solidarity dimension (higher values indicate higher perceived friendliness/approachability)</w:t>
      </w:r>
    </w:p>
    <w:bookmarkEnd w:id="22"/>
    <w:bookmarkStart w:id="23" w:name="participant-characteristics"/>
    <w:p>
      <w:pPr>
        <w:pStyle w:val="Heading3"/>
      </w:pPr>
      <w:r>
        <w:t xml:space="preserve">1.2.3 Participant Characteristics</w:t>
      </w:r>
    </w:p>
    <w:p>
      <w:pPr>
        <w:pStyle w:val="FirstParagraph"/>
      </w:pPr>
      <w:r>
        <w:t xml:space="preserve">The study included 96 participants with the following characteristics:</w:t>
      </w:r>
    </w:p>
    <w:p>
      <w:pPr>
        <w:numPr>
          <w:ilvl w:val="0"/>
          <w:numId w:val="1004"/>
        </w:numPr>
      </w:pPr>
      <w:r>
        <w:t xml:space="preserve">Gender distribution: 33.3% female and 66.7% male</w:t>
      </w:r>
    </w:p>
    <w:p>
      <w:pPr>
        <w:numPr>
          <w:ilvl w:val="0"/>
          <w:numId w:val="1004"/>
        </w:numPr>
      </w:pPr>
      <w:r>
        <w:t xml:space="preserve">Age range: 20 to 33 years (M = 24.7, SD = 3.6)</w:t>
      </w:r>
    </w:p>
    <w:p>
      <w:pPr>
        <w:numPr>
          <w:ilvl w:val="0"/>
          <w:numId w:val="1004"/>
        </w:numPr>
      </w:pPr>
      <w:r>
        <w:t xml:space="preserve">Student status: 37.5% were currently enrolled as students</w:t>
      </w:r>
    </w:p>
    <w:p>
      <w:pPr>
        <w:numPr>
          <w:ilvl w:val="0"/>
          <w:numId w:val="1004"/>
        </w:numPr>
      </w:pPr>
      <w:r>
        <w:t xml:space="preserve">English learning experience: Most participants had completed 8 years of formal English instruction, with an average of 6.9 years across all participants</w:t>
      </w:r>
    </w:p>
    <w:p>
      <w:r>
        <w:br w:type="page"/>
      </w:r>
    </w:p>
    <w:bookmarkEnd w:id="23"/>
    <w:bookmarkEnd w:id="24"/>
    <w:bookmarkEnd w:id="25"/>
    <w:bookmarkStart w:id="75" w:name="results"/>
    <w:p>
      <w:pPr>
        <w:pStyle w:val="Heading1"/>
      </w:pPr>
      <w:r>
        <w:t xml:space="preserve">2. Results</w:t>
      </w:r>
    </w:p>
    <w:bookmarkStart w:id="34" w:name="X720cdb5e16ae737556894474c9ed1ca7ac3efbc"/>
    <w:p>
      <w:pPr>
        <w:pStyle w:val="Heading2"/>
      </w:pPr>
      <w:r>
        <w:t xml:space="preserve">2.1 Hypothesis 1: Standard vs Non-standard Accents</w:t>
      </w:r>
    </w:p>
    <w:p>
      <w:pPr>
        <w:pStyle w:val="SourceCode"/>
      </w:pPr>
      <w:r>
        <w:rPr>
          <w:rStyle w:val="CommentTok"/>
        </w:rPr>
        <w:t xml:space="preserve"># Status by Accent Type</w:t>
      </w:r>
      <w:r>
        <w:br/>
      </w:r>
      <w:r>
        <w:rPr>
          <w:rStyle w:val="FunctionTok"/>
        </w:rPr>
        <w:t xml:space="preserve">ggplot</w:t>
      </w:r>
      <w:r>
        <w:rPr>
          <w:rStyle w:val="NormalTok"/>
        </w:rPr>
        <w:t xml:space="preserve">(stella_data, </w:t>
      </w:r>
      <w:r>
        <w:rPr>
          <w:rStyle w:val="FunctionTok"/>
        </w:rPr>
        <w:t xml:space="preserve">aes</w:t>
      </w:r>
      <w:r>
        <w:rPr>
          <w:rStyle w:val="NormalTok"/>
        </w:rPr>
        <w:t xml:space="preserve">(</w:t>
      </w:r>
      <w:r>
        <w:rPr>
          <w:rStyle w:val="AttributeTok"/>
        </w:rPr>
        <w:t xml:space="preserve">x =</w:t>
      </w:r>
      <w:r>
        <w:rPr>
          <w:rStyle w:val="NormalTok"/>
        </w:rPr>
        <w:t xml:space="preserve"> standard, </w:t>
      </w:r>
      <w:r>
        <w:rPr>
          <w:rStyle w:val="AttributeTok"/>
        </w:rPr>
        <w:t xml:space="preserve">y =</w:t>
      </w:r>
      <w:r>
        <w:rPr>
          <w:rStyle w:val="NormalTok"/>
        </w:rPr>
        <w:t xml:space="preserve"> status, </w:t>
      </w:r>
      <w:r>
        <w:rPr>
          <w:rStyle w:val="AttributeTok"/>
        </w:rPr>
        <w:t xml:space="preserve">fill =</w:t>
      </w:r>
      <w:r>
        <w:rPr>
          <w:rStyle w:val="NormalTok"/>
        </w:rPr>
        <w:t xml:space="preserve"> standard))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"Accent Type"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"Status Rating"</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29" w:name="fig-status-by-accent"/>
          <w:p>
            <w:pPr>
              <w:pStyle w:val="Compact"/>
              <w:jc w:val="center"/>
            </w:pPr>
            <w:r>
              <w:drawing>
                <wp:inline>
                  <wp:extent cx="5334000" cy="3556000"/>
                  <wp:effectExtent b="0" l="0" r="0" t="0"/>
                  <wp:docPr descr="" title="" id="27" name="Picture"/>
                  <a:graphic>
                    <a:graphicData uri="http://schemas.openxmlformats.org/drawingml/2006/picture">
                      <pic:pic>
                        <pic:nvPicPr>
                          <pic:cNvPr descr="01_analysis_files/figure-docx/fig-status-by-accent-1.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Status ratings by accent type. Standard accents received significantly higher status ratings compared to non-standard accents.</w:t>
            </w:r>
          </w:p>
          <w:bookmarkEnd w:id="29"/>
        </w:tc>
      </w:tr>
    </w:tbl>
    <w:p>
      <w:pPr>
        <w:pStyle w:val="SourceCode"/>
      </w:pPr>
      <w:r>
        <w:rPr>
          <w:rStyle w:val="CommentTok"/>
        </w:rPr>
        <w:t xml:space="preserve"># Solidarity by Accent Type</w:t>
      </w:r>
      <w:r>
        <w:br/>
      </w:r>
      <w:r>
        <w:rPr>
          <w:rStyle w:val="FunctionTok"/>
        </w:rPr>
        <w:t xml:space="preserve">ggplot</w:t>
      </w:r>
      <w:r>
        <w:rPr>
          <w:rStyle w:val="NormalTok"/>
        </w:rPr>
        <w:t xml:space="preserve">(stella_data, </w:t>
      </w:r>
      <w:r>
        <w:rPr>
          <w:rStyle w:val="FunctionTok"/>
        </w:rPr>
        <w:t xml:space="preserve">aes</w:t>
      </w:r>
      <w:r>
        <w:rPr>
          <w:rStyle w:val="NormalTok"/>
        </w:rPr>
        <w:t xml:space="preserve">(</w:t>
      </w:r>
      <w:r>
        <w:rPr>
          <w:rStyle w:val="AttributeTok"/>
        </w:rPr>
        <w:t xml:space="preserve">x =</w:t>
      </w:r>
      <w:r>
        <w:rPr>
          <w:rStyle w:val="NormalTok"/>
        </w:rPr>
        <w:t xml:space="preserve"> standard, </w:t>
      </w:r>
      <w:r>
        <w:rPr>
          <w:rStyle w:val="AttributeTok"/>
        </w:rPr>
        <w:t xml:space="preserve">y =</w:t>
      </w:r>
      <w:r>
        <w:rPr>
          <w:rStyle w:val="NormalTok"/>
        </w:rPr>
        <w:t xml:space="preserve"> solidarity, </w:t>
      </w:r>
      <w:r>
        <w:rPr>
          <w:rStyle w:val="AttributeTok"/>
        </w:rPr>
        <w:t xml:space="preserve">fill =</w:t>
      </w:r>
      <w:r>
        <w:rPr>
          <w:rStyle w:val="NormalTok"/>
        </w:rPr>
        <w:t xml:space="preserve"> standard))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"H"</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"Accent Type"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"Solidarity Rating"</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solidarity-by-accent"/>
          <w:p>
            <w:pPr>
              <w:pStyle w:val="Compact"/>
              <w:jc w:val="center"/>
            </w:pPr>
            <w:r>
              <w:drawing>
                <wp:inline>
                  <wp:extent cx="5334000" cy="3556000"/>
                  <wp:effectExtent b="0" l="0" r="0" t="0"/>
                  <wp:docPr descr="" title="" id="31" name="Picture"/>
                  <a:graphic>
                    <a:graphicData uri="http://schemas.openxmlformats.org/drawingml/2006/picture">
                      <pic:pic>
                        <pic:nvPicPr>
                          <pic:cNvPr descr="01_analysis_files/figure-docx/fig-solidarity-by-accent-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Solidarity ratings by accent type. Standard and non-standard accents received identical mean solidarity ratings.</w:t>
            </w:r>
          </w:p>
          <w:bookmarkEnd w:id="33"/>
        </w:tc>
      </w:tr>
    </w:tbl>
    <w:p>
      <w:pPr>
        <w:pStyle w:val="SourceCode"/>
      </w:pPr>
      <w:r>
        <w:rPr>
          <w:rStyle w:val="CommentTok"/>
        </w:rPr>
        <w:t xml:space="preserve"># Create summary statistics for Hypothesis 1</w:t>
      </w:r>
      <w:r>
        <w:br/>
      </w:r>
      <w:r>
        <w:rPr>
          <w:rStyle w:val="NormalTok"/>
        </w:rPr>
        <w:t xml:space="preserve">h1_summary </w:t>
      </w:r>
      <w:r>
        <w:rPr>
          <w:rStyle w:val="OtherTok"/>
        </w:rPr>
        <w:t xml:space="preserve">&lt;-</w:t>
      </w:r>
      <w:r>
        <w:rPr>
          <w:rStyle w:val="NormalTok"/>
        </w:rPr>
        <w:t xml:space="preserve"> stella_data </w:t>
      </w:r>
      <w:r>
        <w:rPr>
          <w:rStyle w:val="SpecialCharTok"/>
        </w:rPr>
        <w:t xml:space="preserve">%&gt;%</w:t>
      </w:r>
      <w:r>
        <w:br/>
      </w:r>
      <w:r>
        <w:rPr>
          <w:rStyle w:val="NormalTok"/>
        </w:rPr>
        <w:t xml:space="preserve">  </w:t>
      </w:r>
      <w:r>
        <w:rPr>
          <w:rStyle w:val="FunctionTok"/>
        </w:rPr>
        <w:t xml:space="preserve">group_by</w:t>
      </w:r>
      <w:r>
        <w:rPr>
          <w:rStyle w:val="NormalTok"/>
        </w:rPr>
        <w:t xml:space="preserve">(standard)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status_mean =</w:t>
      </w:r>
      <w:r>
        <w:rPr>
          <w:rStyle w:val="NormalTok"/>
        </w:rPr>
        <w:t xml:space="preserve"> </w:t>
      </w:r>
      <w:r>
        <w:rPr>
          <w:rStyle w:val="FunctionTok"/>
        </w:rPr>
        <w:t xml:space="preserve">mean</w:t>
      </w:r>
      <w:r>
        <w:rPr>
          <w:rStyle w:val="NormalTok"/>
        </w:rPr>
        <w:t xml:space="preserve">(status,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status_sd =</w:t>
      </w:r>
      <w:r>
        <w:rPr>
          <w:rStyle w:val="NormalTok"/>
        </w:rPr>
        <w:t xml:space="preserve"> </w:t>
      </w:r>
      <w:r>
        <w:rPr>
          <w:rStyle w:val="FunctionTok"/>
        </w:rPr>
        <w:t xml:space="preserve">sd</w:t>
      </w:r>
      <w:r>
        <w:rPr>
          <w:rStyle w:val="NormalTok"/>
        </w:rPr>
        <w:t xml:space="preserve">(status,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solidarity_mean =</w:t>
      </w:r>
      <w:r>
        <w:rPr>
          <w:rStyle w:val="NormalTok"/>
        </w:rPr>
        <w:t xml:space="preserve"> </w:t>
      </w:r>
      <w:r>
        <w:rPr>
          <w:rStyle w:val="FunctionTok"/>
        </w:rPr>
        <w:t xml:space="preserve">mean</w:t>
      </w:r>
      <w:r>
        <w:rPr>
          <w:rStyle w:val="NormalTok"/>
        </w:rPr>
        <w:t xml:space="preserve">(solidarity,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solidarity_sd =</w:t>
      </w:r>
      <w:r>
        <w:rPr>
          <w:rStyle w:val="NormalTok"/>
        </w:rPr>
        <w:t xml:space="preserve"> </w:t>
      </w:r>
      <w:r>
        <w:rPr>
          <w:rStyle w:val="FunctionTok"/>
        </w:rPr>
        <w:t xml:space="preserve">sd</w:t>
      </w:r>
      <w:r>
        <w:rPr>
          <w:rStyle w:val="NormalTok"/>
        </w:rPr>
        <w:t xml:space="preserve">(solidarity,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2</w:t>
      </w:r>
      <w:r>
        <w:rPr>
          <w:rStyle w:val="NormalTok"/>
        </w:rPr>
        <w:t xml:space="preserve">))) </w:t>
      </w:r>
      <w:r>
        <w:br/>
      </w:r>
      <w:r>
        <w:br/>
      </w:r>
      <w:r>
        <w:rPr>
          <w:rStyle w:val="CommentTok"/>
        </w:rPr>
        <w:t xml:space="preserve"># Create a formatted table</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Table 1: Status and solidarity ratings by accent type</w:t>
      </w:r>
      <w:r>
        <w:rPr>
          <w:rStyle w:val="SpecialCharTok"/>
        </w:rPr>
        <w:t xml:space="preserve">\n\n</w:t>
      </w:r>
      <w:r>
        <w:rPr>
          <w:rStyle w:val="StringTok"/>
        </w:rPr>
        <w:t xml:space="preserve">"</w:t>
      </w:r>
      <w:r>
        <w:rPr>
          <w:rStyle w:val="NormalTok"/>
        </w:rPr>
        <w:t xml:space="preserve">)</w:t>
      </w:r>
    </w:p>
    <w:p>
      <w:pPr>
        <w:pStyle w:val="FirstParagraph"/>
      </w:pPr>
      <w:r>
        <w:t xml:space="preserve">Table 1: Status and solidarity ratings by accent type</w:t>
      </w:r>
    </w:p>
    <w:p>
      <w:pPr>
        <w:pStyle w:val="SourceCode"/>
      </w:pPr>
      <w:r>
        <w:rPr>
          <w:rStyle w:val="NormalTok"/>
        </w:rPr>
        <w:t xml:space="preserve">h1_table </w:t>
      </w:r>
      <w:r>
        <w:rPr>
          <w:rStyle w:val="OtherTok"/>
        </w:rPr>
        <w:t xml:space="preserve">&lt;-</w:t>
      </w:r>
      <w:r>
        <w:rPr>
          <w:rStyle w:val="NormalTok"/>
        </w:rPr>
        <w:t xml:space="preserve"> </w:t>
      </w:r>
      <w:r>
        <w:rPr>
          <w:rStyle w:val="FunctionTok"/>
        </w:rPr>
        <w:t xml:space="preserve">flextable</w:t>
      </w:r>
      <w:r>
        <w:rPr>
          <w:rStyle w:val="NormalTok"/>
        </w:rPr>
        <w:t xml:space="preserve">(h1_summary)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standard =</w:t>
      </w:r>
      <w:r>
        <w:rPr>
          <w:rStyle w:val="NormalTok"/>
        </w:rPr>
        <w:t xml:space="preserve"> </w:t>
      </w:r>
      <w:r>
        <w:rPr>
          <w:rStyle w:val="StringTok"/>
        </w:rPr>
        <w:t xml:space="preserve">"Standard"</w:t>
      </w:r>
      <w:r>
        <w:rPr>
          <w:rStyle w:val="NormalTok"/>
        </w:rPr>
        <w:t xml:space="preserve">,</w:t>
      </w:r>
      <w:r>
        <w:br/>
      </w:r>
      <w:r>
        <w:rPr>
          <w:rStyle w:val="NormalTok"/>
        </w:rPr>
        <w:t xml:space="preserve">    </w:t>
      </w:r>
      <w:r>
        <w:rPr>
          <w:rStyle w:val="AttributeTok"/>
        </w:rPr>
        <w:t xml:space="preserve">status_mean =</w:t>
      </w:r>
      <w:r>
        <w:rPr>
          <w:rStyle w:val="NormalTok"/>
        </w:rPr>
        <w:t xml:space="preserve"> </w:t>
      </w:r>
      <w:r>
        <w:rPr>
          <w:rStyle w:val="StringTok"/>
        </w:rPr>
        <w:t xml:space="preserve">"Status Mean"</w:t>
      </w:r>
      <w:r>
        <w:rPr>
          <w:rStyle w:val="NormalTok"/>
        </w:rPr>
        <w:t xml:space="preserve">, </w:t>
      </w:r>
      <w:r>
        <w:br/>
      </w:r>
      <w:r>
        <w:rPr>
          <w:rStyle w:val="NormalTok"/>
        </w:rPr>
        <w:t xml:space="preserve">    </w:t>
      </w:r>
      <w:r>
        <w:rPr>
          <w:rStyle w:val="AttributeTok"/>
        </w:rPr>
        <w:t xml:space="preserve">status_sd =</w:t>
      </w:r>
      <w:r>
        <w:rPr>
          <w:rStyle w:val="NormalTok"/>
        </w:rPr>
        <w:t xml:space="preserve"> </w:t>
      </w:r>
      <w:r>
        <w:rPr>
          <w:rStyle w:val="StringTok"/>
        </w:rPr>
        <w:t xml:space="preserve">"Status SD"</w:t>
      </w:r>
      <w:r>
        <w:rPr>
          <w:rStyle w:val="NormalTok"/>
        </w:rPr>
        <w:t xml:space="preserve">, </w:t>
      </w:r>
      <w:r>
        <w:br/>
      </w:r>
      <w:r>
        <w:rPr>
          <w:rStyle w:val="NormalTok"/>
        </w:rPr>
        <w:t xml:space="preserve">    </w:t>
      </w:r>
      <w:r>
        <w:rPr>
          <w:rStyle w:val="AttributeTok"/>
        </w:rPr>
        <w:t xml:space="preserve">solidarity_mean =</w:t>
      </w:r>
      <w:r>
        <w:rPr>
          <w:rStyle w:val="NormalTok"/>
        </w:rPr>
        <w:t xml:space="preserve"> </w:t>
      </w:r>
      <w:r>
        <w:rPr>
          <w:rStyle w:val="StringTok"/>
        </w:rPr>
        <w:t xml:space="preserve">"Solidarity Mean"</w:t>
      </w:r>
      <w:r>
        <w:rPr>
          <w:rStyle w:val="NormalTok"/>
        </w:rPr>
        <w:t xml:space="preserve">, </w:t>
      </w:r>
      <w:r>
        <w:br/>
      </w:r>
      <w:r>
        <w:rPr>
          <w:rStyle w:val="NormalTok"/>
        </w:rPr>
        <w:t xml:space="preserve">    </w:t>
      </w:r>
      <w:r>
        <w:rPr>
          <w:rStyle w:val="AttributeTok"/>
        </w:rPr>
        <w:t xml:space="preserve">solidarity_sd =</w:t>
      </w:r>
      <w:r>
        <w:rPr>
          <w:rStyle w:val="NormalTok"/>
        </w:rPr>
        <w:t xml:space="preserve"> </w:t>
      </w:r>
      <w:r>
        <w:rPr>
          <w:rStyle w:val="StringTok"/>
        </w:rPr>
        <w:t xml:space="preserve">"Solidarity SD"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theme_vanilla</w:t>
      </w:r>
      <w:r>
        <w:rPr>
          <w:rStyle w:val="NormalTok"/>
        </w:rPr>
        <w:t xml:space="preserve">() </w:t>
      </w:r>
      <w:r>
        <w:rPr>
          <w:rStyle w:val="SpecialCharTok"/>
        </w:rPr>
        <w:t xml:space="preserve">%&gt;%</w:t>
      </w:r>
      <w:r>
        <w:br/>
      </w:r>
      <w:r>
        <w:rPr>
          <w:rStyle w:val="NormalTok"/>
        </w:rPr>
        <w:t xml:space="preserve">  </w:t>
      </w:r>
      <w:r>
        <w:rPr>
          <w:rStyle w:val="FunctionTok"/>
        </w:rPr>
        <w:t xml:space="preserve">padding</w:t>
      </w:r>
      <w:r>
        <w:rPr>
          <w:rStyle w:val="NormalTok"/>
        </w:rPr>
        <w:t xml:space="preserve">(</w:t>
      </w:r>
      <w:r>
        <w:rPr>
          <w:rStyle w:val="AttributeTok"/>
        </w:rPr>
        <w:t xml:space="preserve">padding =</w:t>
      </w:r>
      <w:r>
        <w:rPr>
          <w:rStyle w:val="NormalTok"/>
        </w:rPr>
        <w:t xml:space="preserve"> </w:t>
      </w:r>
      <w:r>
        <w:rPr>
          <w:rStyle w:val="DecValTok"/>
        </w:rPr>
        <w:t xml:space="preserve">6</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br/>
      </w:r>
      <w:r>
        <w:br/>
      </w:r>
      <w:r>
        <w:rPr>
          <w:rStyle w:val="NormalTok"/>
        </w:rPr>
        <w:t xml:space="preserve">h1_table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60"/>
        <w:gridCol w:w="1760"/>
        <w:gridCol w:w="1503"/>
        <w:gridCol w:w="2090"/>
        <w:gridCol w:w="1833"/>
        <w:gridCol w:w="831"/>
      </w:tblGrid>
      <w:tr>
        <w:trPr>
          <w:trHeight w:val="67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Standard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Solidarity 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Solidarity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625"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r>
        <w:trPr>
          <w:trHeight w:val="625"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non-standard</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bl>
    <w:p>
      <w:pPr>
        <w:pStyle w:val="FirstParagraph"/>
      </w:pPr>
    </w:p>
    <w:p>
      <w:pPr>
        <w:pStyle w:val="BodyText"/>
      </w:pPr>
      <w:r>
        <w:t xml:space="preserve">The data in</w:t>
      </w:r>
      <w:r>
        <w:t xml:space="preserve"> </w:t>
      </w:r>
      <w:hyperlink w:anchor="fig-status-by-accent">
        <w:r>
          <w:rPr>
            <w:rStyle w:val="Hyperlink"/>
          </w:rPr>
          <w:t xml:space="preserve">Figure 1</w:t>
        </w:r>
      </w:hyperlink>
      <w:r>
        <w:t xml:space="preserve"> </w:t>
      </w:r>
      <w:r>
        <w:t xml:space="preserve">shows clear differences in how standard and non-standard accents are perceived. Standard accents received higher status ratings (M = 4.52, SD = 1.23) compared to non-standard accents (M = 3.55, SD = 1.2). This supports the first hypothesis that standard accents are associated with higher status.</w:t>
      </w:r>
    </w:p>
    <w:p>
      <w:pPr>
        <w:pStyle w:val="BodyText"/>
      </w:pPr>
      <w:r>
        <w:t xml:space="preserve">For solidarity ratings shown in</w:t>
      </w:r>
      <w:r>
        <w:t xml:space="preserve"> </w:t>
      </w:r>
      <w:hyperlink w:anchor="fig-solidarity-by-accent">
        <w:r>
          <w:rPr>
            <w:rStyle w:val="Hyperlink"/>
          </w:rPr>
          <w:t xml:space="preserve">Figure 2</w:t>
        </w:r>
      </w:hyperlink>
      <w:r>
        <w:t xml:space="preserve">, I observed that standard and non-standard accents received identical mean solidarity ratings (both M = 3.25, with SD = 1.26 for standard accents and SD = 1.32 for non-standard accents). This finding does not support the hypothesis that non-standard accents would be perceived as more friendly, approachable, or relatable, and instead suggests that accent standardness may not impact solidarity perceptions in the participant sample.</w:t>
      </w:r>
    </w:p>
    <w:bookmarkEnd w:id="34"/>
    <w:bookmarkStart w:id="43" w:name="hypothesis-2-gender-effect"/>
    <w:p>
      <w:pPr>
        <w:pStyle w:val="Heading2"/>
      </w:pPr>
      <w:r>
        <w:t xml:space="preserve">2.2 Hypothesis 2: Gender Effect</w:t>
      </w:r>
    </w:p>
    <w:p>
      <w:pPr>
        <w:pStyle w:val="SourceCode"/>
      </w:pPr>
      <w:r>
        <w:rPr>
          <w:rStyle w:val="CommentTok"/>
        </w:rPr>
        <w:t xml:space="preserve"># Status by Gender</w:t>
      </w:r>
      <w:r>
        <w:br/>
      </w:r>
      <w:r>
        <w:rPr>
          <w:rStyle w:val="FunctionTok"/>
        </w:rPr>
        <w:t xml:space="preserve">ggplot</w:t>
      </w:r>
      <w:r>
        <w:rPr>
          <w:rStyle w:val="NormalTok"/>
        </w:rPr>
        <w:t xml:space="preserve">(stella_data, </w:t>
      </w:r>
      <w:r>
        <w:rPr>
          <w:rStyle w:val="FunctionTok"/>
        </w:rPr>
        <w:t xml:space="preserve">aes</w:t>
      </w:r>
      <w:r>
        <w:rPr>
          <w:rStyle w:val="NormalTok"/>
        </w:rPr>
        <w:t xml:space="preserve">(</w:t>
      </w:r>
      <w:r>
        <w:rPr>
          <w:rStyle w:val="AttributeTok"/>
        </w:rPr>
        <w:t xml:space="preserve">x =</w:t>
      </w:r>
      <w:r>
        <w:rPr>
          <w:rStyle w:val="NormalTok"/>
        </w:rPr>
        <w:t xml:space="preserve"> speaker_gender, </w:t>
      </w:r>
      <w:r>
        <w:rPr>
          <w:rStyle w:val="AttributeTok"/>
        </w:rPr>
        <w:t xml:space="preserve">y =</w:t>
      </w:r>
      <w:r>
        <w:rPr>
          <w:rStyle w:val="NormalTok"/>
        </w:rPr>
        <w:t xml:space="preserve"> status, </w:t>
      </w:r>
      <w:r>
        <w:rPr>
          <w:rStyle w:val="AttributeTok"/>
        </w:rPr>
        <w:t xml:space="preserve">fill =</w:t>
      </w:r>
      <w:r>
        <w:rPr>
          <w:rStyle w:val="NormalTok"/>
        </w:rPr>
        <w:t xml:space="preserve"> speaker_gender))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"Speaker 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"Status Rating"</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38" w:name="fig-status-by-gender"/>
          <w:p>
            <w:pPr>
              <w:pStyle w:val="Compact"/>
              <w:jc w:val="center"/>
            </w:pPr>
            <w:r>
              <w:drawing>
                <wp:inline>
                  <wp:extent cx="5334000" cy="3556000"/>
                  <wp:effectExtent b="0" l="0" r="0" t="0"/>
                  <wp:docPr descr="" title="" id="36" name="Picture"/>
                  <a:graphic>
                    <a:graphicData uri="http://schemas.openxmlformats.org/drawingml/2006/picture">
                      <pic:pic>
                        <pic:nvPicPr>
                          <pic:cNvPr descr="01_analysis_files/figure-docx/fig-status-by-gender-1.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Status ratings by speaker gender. Male speakers received higher status ratings than female speakers.</w:t>
            </w:r>
          </w:p>
          <w:bookmarkEnd w:id="38"/>
        </w:tc>
      </w:tr>
    </w:tbl>
    <w:p>
      <w:pPr>
        <w:pStyle w:val="SourceCode"/>
      </w:pPr>
      <w:r>
        <w:rPr>
          <w:rStyle w:val="CommentTok"/>
        </w:rPr>
        <w:t xml:space="preserve"># Solidarity by Gender  </w:t>
      </w:r>
      <w:r>
        <w:br/>
      </w:r>
      <w:r>
        <w:rPr>
          <w:rStyle w:val="FunctionTok"/>
        </w:rPr>
        <w:t xml:space="preserve">ggplot</w:t>
      </w:r>
      <w:r>
        <w:rPr>
          <w:rStyle w:val="NormalTok"/>
        </w:rPr>
        <w:t xml:space="preserve">(stella_data, </w:t>
      </w:r>
      <w:r>
        <w:rPr>
          <w:rStyle w:val="FunctionTok"/>
        </w:rPr>
        <w:t xml:space="preserve">aes</w:t>
      </w:r>
      <w:r>
        <w:rPr>
          <w:rStyle w:val="NormalTok"/>
        </w:rPr>
        <w:t xml:space="preserve">(</w:t>
      </w:r>
      <w:r>
        <w:rPr>
          <w:rStyle w:val="AttributeTok"/>
        </w:rPr>
        <w:t xml:space="preserve">x =</w:t>
      </w:r>
      <w:r>
        <w:rPr>
          <w:rStyle w:val="NormalTok"/>
        </w:rPr>
        <w:t xml:space="preserve"> speaker_gender, </w:t>
      </w:r>
      <w:r>
        <w:rPr>
          <w:rStyle w:val="AttributeTok"/>
        </w:rPr>
        <w:t xml:space="preserve">y =</w:t>
      </w:r>
      <w:r>
        <w:rPr>
          <w:rStyle w:val="NormalTok"/>
        </w:rPr>
        <w:t xml:space="preserve"> solidarity, </w:t>
      </w:r>
      <w:r>
        <w:rPr>
          <w:rStyle w:val="AttributeTok"/>
        </w:rPr>
        <w:t xml:space="preserve">fill =</w:t>
      </w:r>
      <w:r>
        <w:rPr>
          <w:rStyle w:val="NormalTok"/>
        </w:rPr>
        <w:t xml:space="preserve"> speaker_gender))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"Speaker Gender"</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"Solidarity Rating"</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2" w:name="fig-solidarity-by-gender"/>
          <w:p>
            <w:pPr>
              <w:pStyle w:val="Compact"/>
              <w:jc w:val="center"/>
            </w:pPr>
            <w:r>
              <w:drawing>
                <wp:inline>
                  <wp:extent cx="5334000" cy="3556000"/>
                  <wp:effectExtent b="0" l="0" r="0" t="0"/>
                  <wp:docPr descr="" title="" id="40" name="Picture"/>
                  <a:graphic>
                    <a:graphicData uri="http://schemas.openxmlformats.org/drawingml/2006/picture">
                      <pic:pic>
                        <pic:nvPicPr>
                          <pic:cNvPr descr="01_analysis_files/figure-docx/fig-solidarity-by-gender-1.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Solidarity ratings by speaker gender. Female speakers received higher solidarity ratings than male speakers.</w:t>
            </w:r>
          </w:p>
          <w:bookmarkEnd w:id="42"/>
        </w:tc>
      </w:tr>
    </w:tbl>
    <w:p>
      <w:pPr>
        <w:pStyle w:val="SourceCode"/>
      </w:pPr>
      <w:r>
        <w:rPr>
          <w:rStyle w:val="CommentTok"/>
        </w:rPr>
        <w:t xml:space="preserve"># Create summary statistics for Hypothesis 2</w:t>
      </w:r>
      <w:r>
        <w:br/>
      </w:r>
      <w:r>
        <w:rPr>
          <w:rStyle w:val="NormalTok"/>
        </w:rPr>
        <w:t xml:space="preserve">h2_summary </w:t>
      </w:r>
      <w:r>
        <w:rPr>
          <w:rStyle w:val="OtherTok"/>
        </w:rPr>
        <w:t xml:space="preserve">&lt;-</w:t>
      </w:r>
      <w:r>
        <w:rPr>
          <w:rStyle w:val="NormalTok"/>
        </w:rPr>
        <w:t xml:space="preserve"> stella_data </w:t>
      </w:r>
      <w:r>
        <w:rPr>
          <w:rStyle w:val="SpecialCharTok"/>
        </w:rPr>
        <w:t xml:space="preserve">%&gt;%</w:t>
      </w:r>
      <w:r>
        <w:br/>
      </w:r>
      <w:r>
        <w:rPr>
          <w:rStyle w:val="NormalTok"/>
        </w:rPr>
        <w:t xml:space="preserve">  </w:t>
      </w:r>
      <w:r>
        <w:rPr>
          <w:rStyle w:val="FunctionTok"/>
        </w:rPr>
        <w:t xml:space="preserve">group_by</w:t>
      </w:r>
      <w:r>
        <w:rPr>
          <w:rStyle w:val="NormalTok"/>
        </w:rPr>
        <w:t xml:space="preserve">(speaker_gender)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status_mean =</w:t>
      </w:r>
      <w:r>
        <w:rPr>
          <w:rStyle w:val="NormalTok"/>
        </w:rPr>
        <w:t xml:space="preserve"> </w:t>
      </w:r>
      <w:r>
        <w:rPr>
          <w:rStyle w:val="FunctionTok"/>
        </w:rPr>
        <w:t xml:space="preserve">mean</w:t>
      </w:r>
      <w:r>
        <w:rPr>
          <w:rStyle w:val="NormalTok"/>
        </w:rPr>
        <w:t xml:space="preserve">(status,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status_sd =</w:t>
      </w:r>
      <w:r>
        <w:rPr>
          <w:rStyle w:val="NormalTok"/>
        </w:rPr>
        <w:t xml:space="preserve"> </w:t>
      </w:r>
      <w:r>
        <w:rPr>
          <w:rStyle w:val="FunctionTok"/>
        </w:rPr>
        <w:t xml:space="preserve">sd</w:t>
      </w:r>
      <w:r>
        <w:rPr>
          <w:rStyle w:val="NormalTok"/>
        </w:rPr>
        <w:t xml:space="preserve">(status,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solidarity_mean =</w:t>
      </w:r>
      <w:r>
        <w:rPr>
          <w:rStyle w:val="NormalTok"/>
        </w:rPr>
        <w:t xml:space="preserve"> </w:t>
      </w:r>
      <w:r>
        <w:rPr>
          <w:rStyle w:val="FunctionTok"/>
        </w:rPr>
        <w:t xml:space="preserve">mean</w:t>
      </w:r>
      <w:r>
        <w:rPr>
          <w:rStyle w:val="NormalTok"/>
        </w:rPr>
        <w:t xml:space="preserve">(solidarity,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solidarity_sd =</w:t>
      </w:r>
      <w:r>
        <w:rPr>
          <w:rStyle w:val="NormalTok"/>
        </w:rPr>
        <w:t xml:space="preserve"> </w:t>
      </w:r>
      <w:r>
        <w:rPr>
          <w:rStyle w:val="FunctionTok"/>
        </w:rPr>
        <w:t xml:space="preserve">sd</w:t>
      </w:r>
      <w:r>
        <w:rPr>
          <w:rStyle w:val="NormalTok"/>
        </w:rPr>
        <w:t xml:space="preserve">(solidarity,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2</w:t>
      </w:r>
      <w:r>
        <w:rPr>
          <w:rStyle w:val="NormalTok"/>
        </w:rPr>
        <w:t xml:space="preserve">)))  </w:t>
      </w:r>
      <w:r>
        <w:br/>
      </w:r>
      <w:r>
        <w:br/>
      </w:r>
      <w:r>
        <w:rPr>
          <w:rStyle w:val="CommentTok"/>
        </w:rPr>
        <w:t xml:space="preserve"># Create a formatted table</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Table 2: Status and solidarity ratings by speaker gender</w:t>
      </w:r>
      <w:r>
        <w:rPr>
          <w:rStyle w:val="SpecialCharTok"/>
        </w:rPr>
        <w:t xml:space="preserve">\n\n</w:t>
      </w:r>
      <w:r>
        <w:rPr>
          <w:rStyle w:val="StringTok"/>
        </w:rPr>
        <w:t xml:space="preserve">"</w:t>
      </w:r>
      <w:r>
        <w:rPr>
          <w:rStyle w:val="NormalTok"/>
        </w:rPr>
        <w:t xml:space="preserve">)</w:t>
      </w:r>
    </w:p>
    <w:p>
      <w:pPr>
        <w:pStyle w:val="FirstParagraph"/>
      </w:pPr>
      <w:r>
        <w:t xml:space="preserve">Table 2: Status and solidarity ratings by speaker gender</w:t>
      </w:r>
    </w:p>
    <w:p>
      <w:pPr>
        <w:pStyle w:val="SourceCode"/>
      </w:pPr>
      <w:r>
        <w:rPr>
          <w:rStyle w:val="NormalTok"/>
        </w:rPr>
        <w:t xml:space="preserve">h2_table </w:t>
      </w:r>
      <w:r>
        <w:rPr>
          <w:rStyle w:val="OtherTok"/>
        </w:rPr>
        <w:t xml:space="preserve">&lt;-</w:t>
      </w:r>
      <w:r>
        <w:rPr>
          <w:rStyle w:val="NormalTok"/>
        </w:rPr>
        <w:t xml:space="preserve"> </w:t>
      </w:r>
      <w:r>
        <w:rPr>
          <w:rStyle w:val="FunctionTok"/>
        </w:rPr>
        <w:t xml:space="preserve">flextable</w:t>
      </w:r>
      <w:r>
        <w:rPr>
          <w:rStyle w:val="NormalTok"/>
        </w:rPr>
        <w:t xml:space="preserve">(h2_summary)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speaker_gender =</w:t>
      </w:r>
      <w:r>
        <w:rPr>
          <w:rStyle w:val="NormalTok"/>
        </w:rPr>
        <w:t xml:space="preserve"> </w:t>
      </w:r>
      <w:r>
        <w:rPr>
          <w:rStyle w:val="StringTok"/>
        </w:rPr>
        <w:t xml:space="preserve">"Speaker Gender"</w:t>
      </w:r>
      <w:r>
        <w:rPr>
          <w:rStyle w:val="NormalTok"/>
        </w:rPr>
        <w:t xml:space="preserve">,</w:t>
      </w:r>
      <w:r>
        <w:br/>
      </w:r>
      <w:r>
        <w:rPr>
          <w:rStyle w:val="NormalTok"/>
        </w:rPr>
        <w:t xml:space="preserve">    </w:t>
      </w:r>
      <w:r>
        <w:rPr>
          <w:rStyle w:val="AttributeTok"/>
        </w:rPr>
        <w:t xml:space="preserve">status_mean =</w:t>
      </w:r>
      <w:r>
        <w:rPr>
          <w:rStyle w:val="NormalTok"/>
        </w:rPr>
        <w:t xml:space="preserve"> </w:t>
      </w:r>
      <w:r>
        <w:rPr>
          <w:rStyle w:val="StringTok"/>
        </w:rPr>
        <w:t xml:space="preserve">"Status Mean"</w:t>
      </w:r>
      <w:r>
        <w:rPr>
          <w:rStyle w:val="NormalTok"/>
        </w:rPr>
        <w:t xml:space="preserve">, </w:t>
      </w:r>
      <w:r>
        <w:br/>
      </w:r>
      <w:r>
        <w:rPr>
          <w:rStyle w:val="NormalTok"/>
        </w:rPr>
        <w:t xml:space="preserve">    </w:t>
      </w:r>
      <w:r>
        <w:rPr>
          <w:rStyle w:val="AttributeTok"/>
        </w:rPr>
        <w:t xml:space="preserve">status_sd =</w:t>
      </w:r>
      <w:r>
        <w:rPr>
          <w:rStyle w:val="NormalTok"/>
        </w:rPr>
        <w:t xml:space="preserve"> </w:t>
      </w:r>
      <w:r>
        <w:rPr>
          <w:rStyle w:val="StringTok"/>
        </w:rPr>
        <w:t xml:space="preserve">"Status SD"</w:t>
      </w:r>
      <w:r>
        <w:rPr>
          <w:rStyle w:val="NormalTok"/>
        </w:rPr>
        <w:t xml:space="preserve">, </w:t>
      </w:r>
      <w:r>
        <w:br/>
      </w:r>
      <w:r>
        <w:rPr>
          <w:rStyle w:val="NormalTok"/>
        </w:rPr>
        <w:t xml:space="preserve">    </w:t>
      </w:r>
      <w:r>
        <w:rPr>
          <w:rStyle w:val="AttributeTok"/>
        </w:rPr>
        <w:t xml:space="preserve">solidarity_mean =</w:t>
      </w:r>
      <w:r>
        <w:rPr>
          <w:rStyle w:val="NormalTok"/>
        </w:rPr>
        <w:t xml:space="preserve"> </w:t>
      </w:r>
      <w:r>
        <w:rPr>
          <w:rStyle w:val="StringTok"/>
        </w:rPr>
        <w:t xml:space="preserve">"Solidarity Mean"</w:t>
      </w:r>
      <w:r>
        <w:rPr>
          <w:rStyle w:val="NormalTok"/>
        </w:rPr>
        <w:t xml:space="preserve">, </w:t>
      </w:r>
      <w:r>
        <w:br/>
      </w:r>
      <w:r>
        <w:rPr>
          <w:rStyle w:val="NormalTok"/>
        </w:rPr>
        <w:t xml:space="preserve">    </w:t>
      </w:r>
      <w:r>
        <w:rPr>
          <w:rStyle w:val="AttributeTok"/>
        </w:rPr>
        <w:t xml:space="preserve">solidarity_sd =</w:t>
      </w:r>
      <w:r>
        <w:rPr>
          <w:rStyle w:val="NormalTok"/>
        </w:rPr>
        <w:t xml:space="preserve"> </w:t>
      </w:r>
      <w:r>
        <w:rPr>
          <w:rStyle w:val="StringTok"/>
        </w:rPr>
        <w:t xml:space="preserve">"Solidarity SD"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theme_vanilla</w:t>
      </w:r>
      <w:r>
        <w:rPr>
          <w:rStyle w:val="NormalTok"/>
        </w:rPr>
        <w:t xml:space="preserve">() </w:t>
      </w:r>
      <w:r>
        <w:rPr>
          <w:rStyle w:val="SpecialCharTok"/>
        </w:rPr>
        <w:t xml:space="preserve">%&gt;%</w:t>
      </w:r>
      <w:r>
        <w:br/>
      </w:r>
      <w:r>
        <w:rPr>
          <w:rStyle w:val="NormalTok"/>
        </w:rPr>
        <w:t xml:space="preserve">  </w:t>
      </w:r>
      <w:r>
        <w:rPr>
          <w:rStyle w:val="FunctionTok"/>
        </w:rPr>
        <w:t xml:space="preserve">padding</w:t>
      </w:r>
      <w:r>
        <w:rPr>
          <w:rStyle w:val="NormalTok"/>
        </w:rPr>
        <w:t xml:space="preserve">(</w:t>
      </w:r>
      <w:r>
        <w:rPr>
          <w:rStyle w:val="AttributeTok"/>
        </w:rPr>
        <w:t xml:space="preserve">padding =</w:t>
      </w:r>
      <w:r>
        <w:rPr>
          <w:rStyle w:val="NormalTok"/>
        </w:rPr>
        <w:t xml:space="preserve"> </w:t>
      </w:r>
      <w:r>
        <w:rPr>
          <w:rStyle w:val="DecValTok"/>
        </w:rPr>
        <w:t xml:space="preserve">6</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br/>
      </w:r>
      <w:r>
        <w:br/>
      </w:r>
      <w:r>
        <w:rPr>
          <w:rStyle w:val="NormalTok"/>
        </w:rPr>
        <w:t xml:space="preserve">h2_table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51"/>
        <w:gridCol w:w="1760"/>
        <w:gridCol w:w="1503"/>
        <w:gridCol w:w="2090"/>
        <w:gridCol w:w="1833"/>
        <w:gridCol w:w="831"/>
      </w:tblGrid>
      <w:tr>
        <w:trPr>
          <w:trHeight w:val="67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Speaker Gender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Solidarity 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Solidarity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625"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r>
        <w:trPr>
          <w:trHeight w:val="627"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bl>
    <w:p>
      <w:pPr>
        <w:pStyle w:val="FirstParagraph"/>
      </w:pPr>
    </w:p>
    <w:p>
      <w:pPr>
        <w:pStyle w:val="BodyText"/>
      </w:pPr>
      <w:r>
        <w:t xml:space="preserve">The analysis of gender effects seen in</w:t>
      </w:r>
      <w:r>
        <w:t xml:space="preserve"> </w:t>
      </w:r>
      <w:hyperlink w:anchor="fig-status-by-gender">
        <w:r>
          <w:rPr>
            <w:rStyle w:val="Hyperlink"/>
          </w:rPr>
          <w:t xml:space="preserve">Figure 3</w:t>
        </w:r>
      </w:hyperlink>
      <w:r>
        <w:t xml:space="preserve"> </w:t>
      </w:r>
      <w:r>
        <w:t xml:space="preserve">and</w:t>
      </w:r>
      <w:r>
        <w:t xml:space="preserve"> </w:t>
      </w:r>
      <w:hyperlink w:anchor="fig-solidarity-by-gender">
        <w:r>
          <w:rPr>
            <w:rStyle w:val="Hyperlink"/>
          </w:rPr>
          <w:t xml:space="preserve">Figure 4</w:t>
        </w:r>
      </w:hyperlink>
      <w:r>
        <w:t xml:space="preserve"> </w:t>
      </w:r>
      <w:r>
        <w:t xml:space="preserve">reveals interesting patterns in how male and female speakers are perceived. As shown in</w:t>
      </w:r>
      <w:r>
        <w:t xml:space="preserve"> </w:t>
      </w:r>
      <w:hyperlink w:anchor="fig-status-by-gender">
        <w:r>
          <w:rPr>
            <w:rStyle w:val="Hyperlink"/>
          </w:rPr>
          <w:t xml:space="preserve">Figure 3</w:t>
        </w:r>
      </w:hyperlink>
      <w:r>
        <w:t xml:space="preserve">, female speakers received lower status ratings (M = 3.84, SD = 1.19) compared to male speakers (M = 4.23, SD = 1.39).</w:t>
      </w:r>
    </w:p>
    <w:p>
      <w:pPr>
        <w:pStyle w:val="BodyText"/>
      </w:pPr>
      <w:r>
        <w:t xml:space="preserve">For solidarity ratings,</w:t>
      </w:r>
      <w:r>
        <w:t xml:space="preserve"> </w:t>
      </w:r>
      <w:hyperlink w:anchor="fig-solidarity-by-gender">
        <w:r>
          <w:rPr>
            <w:rStyle w:val="Hyperlink"/>
          </w:rPr>
          <w:t xml:space="preserve">Figure 4</w:t>
        </w:r>
      </w:hyperlink>
      <w:r>
        <w:t xml:space="preserve"> </w:t>
      </w:r>
      <w:r>
        <w:t xml:space="preserve">demonstrates that female speakers were rated higher (M = 3.46, SD = 1.2) than male speakers (M = 3.03, SD = 1.34). These findings support the second hypothesis that speaker gender influences perception, with potential implications for how different genders are evaluated in professional and social contexts.</w:t>
      </w:r>
    </w:p>
    <w:p>
      <w:r>
        <w:br w:type="page"/>
      </w:r>
    </w:p>
    <w:bookmarkEnd w:id="43"/>
    <w:bookmarkStart w:id="52" w:name="hypothesis-3-rp-vs-ga-comparison"/>
    <w:p>
      <w:pPr>
        <w:pStyle w:val="Heading2"/>
      </w:pPr>
      <w:r>
        <w:t xml:space="preserve">2.3 Hypothesis 3: RP vs GA Comparison</w:t>
      </w:r>
    </w:p>
    <w:p>
      <w:pPr>
        <w:pStyle w:val="SourceCode"/>
      </w:pPr>
      <w:r>
        <w:rPr>
          <w:rStyle w:val="CommentTok"/>
        </w:rPr>
        <w:t xml:space="preserve"># Status by Country</w:t>
      </w:r>
      <w:r>
        <w:br/>
      </w:r>
      <w:r>
        <w:rPr>
          <w:rStyle w:val="FunctionTok"/>
        </w:rPr>
        <w:t xml:space="preserve">ggplot</w:t>
      </w:r>
      <w:r>
        <w:rPr>
          <w:rStyle w:val="NormalTok"/>
        </w:rPr>
        <w:t xml:space="preserve">(stella_data,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status,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"Status Rating"</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7" w:name="fig-status-by-country"/>
          <w:p>
            <w:pPr>
              <w:pStyle w:val="Compact"/>
              <w:jc w:val="center"/>
            </w:pPr>
            <w:r>
              <w:drawing>
                <wp:inline>
                  <wp:extent cx="5334000" cy="3556000"/>
                  <wp:effectExtent b="0" l="0" r="0" t="0"/>
                  <wp:docPr descr="" title="" id="45" name="Picture"/>
                  <a:graphic>
                    <a:graphicData uri="http://schemas.openxmlformats.org/drawingml/2006/picture">
                      <pic:pic>
                        <pic:nvPicPr>
                          <pic:cNvPr descr="01_analysis_files/figure-docx/fig-status-by-country-1.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Status ratings by country (RP vs GA). UK accents (RP) received higher status ratings than US accents (GA).</w:t>
            </w:r>
          </w:p>
          <w:bookmarkEnd w:id="47"/>
        </w:tc>
      </w:tr>
    </w:tbl>
    <w:p>
      <w:pPr>
        <w:pStyle w:val="SourceCode"/>
      </w:pPr>
      <w:r>
        <w:rPr>
          <w:rStyle w:val="CommentTok"/>
        </w:rPr>
        <w:t xml:space="preserve"># Solidarity by Country</w:t>
      </w:r>
      <w:r>
        <w:br/>
      </w:r>
      <w:r>
        <w:rPr>
          <w:rStyle w:val="FunctionTok"/>
        </w:rPr>
        <w:t xml:space="preserve">ggplot</w:t>
      </w:r>
      <w:r>
        <w:rPr>
          <w:rStyle w:val="NormalTok"/>
        </w:rPr>
        <w:t xml:space="preserve">(stella_data,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solidarity,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"F"</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"Solidarity Rating"</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1" w:name="fig-solidarity-by-country"/>
          <w:p>
            <w:pPr>
              <w:pStyle w:val="Compact"/>
              <w:jc w:val="center"/>
            </w:pPr>
            <w:r>
              <w:drawing>
                <wp:inline>
                  <wp:extent cx="5334000" cy="3556000"/>
                  <wp:effectExtent b="0" l="0" r="0" t="0"/>
                  <wp:docPr descr="" title="" id="49" name="Picture"/>
                  <a:graphic>
                    <a:graphicData uri="http://schemas.openxmlformats.org/drawingml/2006/picture">
                      <pic:pic>
                        <pic:nvPicPr>
                          <pic:cNvPr descr="01_analysis_files/figure-docx/fig-solidarity-by-country-1.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Solidarity ratings by country (RP vs GA). UK accents (RP) received higher solidarity ratings than US accents (GA).</w:t>
            </w:r>
          </w:p>
          <w:bookmarkEnd w:id="51"/>
        </w:tc>
      </w:tr>
    </w:tbl>
    <w:p>
      <w:pPr>
        <w:pStyle w:val="SourceCode"/>
      </w:pPr>
      <w:r>
        <w:rPr>
          <w:rStyle w:val="CommentTok"/>
        </w:rPr>
        <w:t xml:space="preserve"># Create summary statistics for Hypothesis 3 - Status</w:t>
      </w:r>
      <w:r>
        <w:br/>
      </w:r>
      <w:r>
        <w:rPr>
          <w:rStyle w:val="NormalTok"/>
        </w:rPr>
        <w:t xml:space="preserve">h3_status_summary </w:t>
      </w:r>
      <w:r>
        <w:rPr>
          <w:rStyle w:val="OtherTok"/>
        </w:rPr>
        <w:t xml:space="preserve">&lt;-</w:t>
      </w:r>
      <w:r>
        <w:rPr>
          <w:rStyle w:val="NormalTok"/>
        </w:rPr>
        <w:t xml:space="preserve"> stella_data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status_mean =</w:t>
      </w:r>
      <w:r>
        <w:rPr>
          <w:rStyle w:val="NormalTok"/>
        </w:rPr>
        <w:t xml:space="preserve"> </w:t>
      </w:r>
      <w:r>
        <w:rPr>
          <w:rStyle w:val="FunctionTok"/>
        </w:rPr>
        <w:t xml:space="preserve">mean</w:t>
      </w:r>
      <w:r>
        <w:rPr>
          <w:rStyle w:val="NormalTok"/>
        </w:rPr>
        <w:t xml:space="preserve">(status,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status_sd =</w:t>
      </w:r>
      <w:r>
        <w:rPr>
          <w:rStyle w:val="NormalTok"/>
        </w:rPr>
        <w:t xml:space="preserve"> </w:t>
      </w:r>
      <w:r>
        <w:rPr>
          <w:rStyle w:val="FunctionTok"/>
        </w:rPr>
        <w:t xml:space="preserve">sd</w:t>
      </w:r>
      <w:r>
        <w:rPr>
          <w:rStyle w:val="NormalTok"/>
        </w:rPr>
        <w:t xml:space="preserve">(status,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status_median =</w:t>
      </w:r>
      <w:r>
        <w:rPr>
          <w:rStyle w:val="NormalTok"/>
        </w:rPr>
        <w:t xml:space="preserve"> </w:t>
      </w:r>
      <w:r>
        <w:rPr>
          <w:rStyle w:val="FunctionTok"/>
        </w:rPr>
        <w:t xml:space="preserve">median</w:t>
      </w:r>
      <w:r>
        <w:rPr>
          <w:rStyle w:val="NormalTok"/>
        </w:rPr>
        <w:t xml:space="preserve">(status,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2</w:t>
      </w:r>
      <w:r>
        <w:rPr>
          <w:rStyle w:val="NormalTok"/>
        </w:rPr>
        <w:t xml:space="preserve">)))  </w:t>
      </w:r>
      <w:r>
        <w:br/>
      </w:r>
      <w:r>
        <w:br/>
      </w:r>
      <w:r>
        <w:rPr>
          <w:rStyle w:val="CommentTok"/>
        </w:rPr>
        <w:t xml:space="preserve"># Create a formatted table</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Table 3: Status ratings by country (RP vs GA)</w:t>
      </w:r>
      <w:r>
        <w:rPr>
          <w:rStyle w:val="SpecialCharTok"/>
        </w:rPr>
        <w:t xml:space="preserve">\n\n</w:t>
      </w:r>
      <w:r>
        <w:rPr>
          <w:rStyle w:val="StringTok"/>
        </w:rPr>
        <w:t xml:space="preserve">"</w:t>
      </w:r>
      <w:r>
        <w:rPr>
          <w:rStyle w:val="NormalTok"/>
        </w:rPr>
        <w:t xml:space="preserve">)</w:t>
      </w:r>
    </w:p>
    <w:p>
      <w:pPr>
        <w:pStyle w:val="FirstParagraph"/>
      </w:pPr>
      <w:r>
        <w:t xml:space="preserve">Table 3: Status ratings by country (RP vs GA)</w:t>
      </w:r>
    </w:p>
    <w:p>
      <w:pPr>
        <w:pStyle w:val="SourceCode"/>
      </w:pPr>
      <w:r>
        <w:rPr>
          <w:rStyle w:val="NormalTok"/>
        </w:rPr>
        <w:t xml:space="preserve">h3_table_status </w:t>
      </w:r>
      <w:r>
        <w:rPr>
          <w:rStyle w:val="OtherTok"/>
        </w:rPr>
        <w:t xml:space="preserve">&lt;-</w:t>
      </w:r>
      <w:r>
        <w:rPr>
          <w:rStyle w:val="NormalTok"/>
        </w:rPr>
        <w:t xml:space="preserve"> </w:t>
      </w:r>
      <w:r>
        <w:rPr>
          <w:rStyle w:val="FunctionTok"/>
        </w:rPr>
        <w:t xml:space="preserve">flextable</w:t>
      </w:r>
      <w:r>
        <w:rPr>
          <w:rStyle w:val="NormalTok"/>
        </w:rPr>
        <w:t xml:space="preserve">(h3_status_summary)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country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status_mean =</w:t>
      </w:r>
      <w:r>
        <w:rPr>
          <w:rStyle w:val="NormalTok"/>
        </w:rPr>
        <w:t xml:space="preserve"> </w:t>
      </w:r>
      <w:r>
        <w:rPr>
          <w:rStyle w:val="StringTok"/>
        </w:rPr>
        <w:t xml:space="preserve">"Status Mean"</w:t>
      </w:r>
      <w:r>
        <w:rPr>
          <w:rStyle w:val="NormalTok"/>
        </w:rPr>
        <w:t xml:space="preserve">, </w:t>
      </w:r>
      <w:r>
        <w:br/>
      </w:r>
      <w:r>
        <w:rPr>
          <w:rStyle w:val="NormalTok"/>
        </w:rPr>
        <w:t xml:space="preserve">    </w:t>
      </w:r>
      <w:r>
        <w:rPr>
          <w:rStyle w:val="AttributeTok"/>
        </w:rPr>
        <w:t xml:space="preserve">status_sd =</w:t>
      </w:r>
      <w:r>
        <w:rPr>
          <w:rStyle w:val="NormalTok"/>
        </w:rPr>
        <w:t xml:space="preserve"> </w:t>
      </w:r>
      <w:r>
        <w:rPr>
          <w:rStyle w:val="StringTok"/>
        </w:rPr>
        <w:t xml:space="preserve">"Status SD"</w:t>
      </w:r>
      <w:r>
        <w:rPr>
          <w:rStyle w:val="NormalTok"/>
        </w:rPr>
        <w:t xml:space="preserve">, </w:t>
      </w:r>
      <w:r>
        <w:br/>
      </w:r>
      <w:r>
        <w:rPr>
          <w:rStyle w:val="NormalTok"/>
        </w:rPr>
        <w:t xml:space="preserve">    </w:t>
      </w:r>
      <w:r>
        <w:rPr>
          <w:rStyle w:val="AttributeTok"/>
        </w:rPr>
        <w:t xml:space="preserve">status_median =</w:t>
      </w:r>
      <w:r>
        <w:rPr>
          <w:rStyle w:val="NormalTok"/>
        </w:rPr>
        <w:t xml:space="preserve"> </w:t>
      </w:r>
      <w:r>
        <w:rPr>
          <w:rStyle w:val="StringTok"/>
        </w:rPr>
        <w:t xml:space="preserve">"Status Median"</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theme_vanilla</w:t>
      </w:r>
      <w:r>
        <w:rPr>
          <w:rStyle w:val="NormalTok"/>
        </w:rPr>
        <w:t xml:space="preserve">() </w:t>
      </w:r>
      <w:r>
        <w:rPr>
          <w:rStyle w:val="SpecialCharTok"/>
        </w:rPr>
        <w:t xml:space="preserve">%&gt;%</w:t>
      </w:r>
      <w:r>
        <w:br/>
      </w:r>
      <w:r>
        <w:rPr>
          <w:rStyle w:val="NormalTok"/>
        </w:rPr>
        <w:t xml:space="preserve">  </w:t>
      </w:r>
      <w:r>
        <w:rPr>
          <w:rStyle w:val="FunctionTok"/>
        </w:rPr>
        <w:t xml:space="preserve">padding</w:t>
      </w:r>
      <w:r>
        <w:rPr>
          <w:rStyle w:val="NormalTok"/>
        </w:rPr>
        <w:t xml:space="preserve">(</w:t>
      </w:r>
      <w:r>
        <w:rPr>
          <w:rStyle w:val="AttributeTok"/>
        </w:rPr>
        <w:t xml:space="preserve">padding =</w:t>
      </w:r>
      <w:r>
        <w:rPr>
          <w:rStyle w:val="NormalTok"/>
        </w:rPr>
        <w:t xml:space="preserve"> </w:t>
      </w:r>
      <w:r>
        <w:rPr>
          <w:rStyle w:val="DecValTok"/>
        </w:rPr>
        <w:t xml:space="preserve">6</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br/>
      </w:r>
      <w:r>
        <w:br/>
      </w:r>
      <w:r>
        <w:rPr>
          <w:rStyle w:val="NormalTok"/>
        </w:rPr>
        <w:t xml:space="preserve">h3_table_status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07"/>
        <w:gridCol w:w="1760"/>
        <w:gridCol w:w="1503"/>
        <w:gridCol w:w="1955"/>
        <w:gridCol w:w="831"/>
      </w:tblGrid>
      <w:tr>
        <w:trPr>
          <w:trHeight w:val="67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Country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62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r>
        <w:trPr>
          <w:trHeight w:val="625"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bl>
    <w:p>
      <w:pPr>
        <w:pStyle w:val="FirstParagraph"/>
      </w:pPr>
    </w:p>
    <w:p>
      <w:pPr>
        <w:pStyle w:val="SourceCode"/>
      </w:pPr>
      <w:r>
        <w:rPr>
          <w:rStyle w:val="CommentTok"/>
        </w:rPr>
        <w:t xml:space="preserve"># Create summary statistics for Hypothesis 3 - Solidarity</w:t>
      </w:r>
      <w:r>
        <w:br/>
      </w:r>
      <w:r>
        <w:rPr>
          <w:rStyle w:val="NormalTok"/>
        </w:rPr>
        <w:t xml:space="preserve">h3_solidarity_summary </w:t>
      </w:r>
      <w:r>
        <w:rPr>
          <w:rStyle w:val="OtherTok"/>
        </w:rPr>
        <w:t xml:space="preserve">&lt;-</w:t>
      </w:r>
      <w:r>
        <w:rPr>
          <w:rStyle w:val="NormalTok"/>
        </w:rPr>
        <w:t xml:space="preserve"> stella_data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solidarity_mean =</w:t>
      </w:r>
      <w:r>
        <w:rPr>
          <w:rStyle w:val="NormalTok"/>
        </w:rPr>
        <w:t xml:space="preserve"> </w:t>
      </w:r>
      <w:r>
        <w:rPr>
          <w:rStyle w:val="FunctionTok"/>
        </w:rPr>
        <w:t xml:space="preserve">mean</w:t>
      </w:r>
      <w:r>
        <w:rPr>
          <w:rStyle w:val="NormalTok"/>
        </w:rPr>
        <w:t xml:space="preserve">(solidarity,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solidarity_sd =</w:t>
      </w:r>
      <w:r>
        <w:rPr>
          <w:rStyle w:val="NormalTok"/>
        </w:rPr>
        <w:t xml:space="preserve"> </w:t>
      </w:r>
      <w:r>
        <w:rPr>
          <w:rStyle w:val="FunctionTok"/>
        </w:rPr>
        <w:t xml:space="preserve">sd</w:t>
      </w:r>
      <w:r>
        <w:rPr>
          <w:rStyle w:val="NormalTok"/>
        </w:rPr>
        <w:t xml:space="preserve">(solidarity,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solidarity_median =</w:t>
      </w:r>
      <w:r>
        <w:rPr>
          <w:rStyle w:val="NormalTok"/>
        </w:rPr>
        <w:t xml:space="preserve"> </w:t>
      </w:r>
      <w:r>
        <w:rPr>
          <w:rStyle w:val="FunctionTok"/>
        </w:rPr>
        <w:t xml:space="preserve">median</w:t>
      </w:r>
      <w:r>
        <w:rPr>
          <w:rStyle w:val="NormalTok"/>
        </w:rPr>
        <w:t xml:space="preserve">(solidarity,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FunctionTok"/>
        </w:rPr>
        <w:t xml:space="preserve">round</w:t>
      </w:r>
      <w:r>
        <w:rPr>
          <w:rStyle w:val="NormalTok"/>
        </w:rPr>
        <w:t xml:space="preserve">(., </w:t>
      </w:r>
      <w:r>
        <w:rPr>
          <w:rStyle w:val="DecValTok"/>
        </w:rPr>
        <w:t xml:space="preserve">2</w:t>
      </w:r>
      <w:r>
        <w:rPr>
          <w:rStyle w:val="NormalTok"/>
        </w:rPr>
        <w:t xml:space="preserve">))) </w:t>
      </w:r>
      <w:r>
        <w:br/>
      </w:r>
      <w:r>
        <w:br/>
      </w:r>
      <w:r>
        <w:br/>
      </w:r>
      <w:r>
        <w:rPr>
          <w:rStyle w:val="CommentTok"/>
        </w:rPr>
        <w:t xml:space="preserve"># Create a formatted table</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Table 4: Solidarity ratings by country (RP vs GA)</w:t>
      </w:r>
      <w:r>
        <w:rPr>
          <w:rStyle w:val="SpecialCharTok"/>
        </w:rPr>
        <w:t xml:space="preserve">\n\n</w:t>
      </w:r>
      <w:r>
        <w:rPr>
          <w:rStyle w:val="StringTok"/>
        </w:rPr>
        <w:t xml:space="preserve">"</w:t>
      </w:r>
      <w:r>
        <w:rPr>
          <w:rStyle w:val="NormalTok"/>
        </w:rPr>
        <w:t xml:space="preserve">)</w:t>
      </w:r>
    </w:p>
    <w:p>
      <w:pPr>
        <w:pStyle w:val="FirstParagraph"/>
      </w:pPr>
      <w:r>
        <w:t xml:space="preserve">Table 4: Solidarity ratings by country (RP vs GA)</w:t>
      </w:r>
    </w:p>
    <w:p>
      <w:pPr>
        <w:pStyle w:val="SourceCode"/>
      </w:pPr>
      <w:r>
        <w:rPr>
          <w:rStyle w:val="NormalTok"/>
        </w:rPr>
        <w:t xml:space="preserve">h3_table_solidarity </w:t>
      </w:r>
      <w:r>
        <w:rPr>
          <w:rStyle w:val="OtherTok"/>
        </w:rPr>
        <w:t xml:space="preserve">&lt;-</w:t>
      </w:r>
      <w:r>
        <w:rPr>
          <w:rStyle w:val="NormalTok"/>
        </w:rPr>
        <w:t xml:space="preserve"> </w:t>
      </w:r>
      <w:r>
        <w:rPr>
          <w:rStyle w:val="FunctionTok"/>
        </w:rPr>
        <w:t xml:space="preserve">flextable</w:t>
      </w:r>
      <w:r>
        <w:rPr>
          <w:rStyle w:val="NormalTok"/>
        </w:rPr>
        <w:t xml:space="preserve">(h3_solidarity_summary)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country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solidarity_mean =</w:t>
      </w:r>
      <w:r>
        <w:rPr>
          <w:rStyle w:val="NormalTok"/>
        </w:rPr>
        <w:t xml:space="preserve"> </w:t>
      </w:r>
      <w:r>
        <w:rPr>
          <w:rStyle w:val="StringTok"/>
        </w:rPr>
        <w:t xml:space="preserve">"Solidarity Mean"</w:t>
      </w:r>
      <w:r>
        <w:rPr>
          <w:rStyle w:val="NormalTok"/>
        </w:rPr>
        <w:t xml:space="preserve">, </w:t>
      </w:r>
      <w:r>
        <w:br/>
      </w:r>
      <w:r>
        <w:rPr>
          <w:rStyle w:val="NormalTok"/>
        </w:rPr>
        <w:t xml:space="preserve">    </w:t>
      </w:r>
      <w:r>
        <w:rPr>
          <w:rStyle w:val="AttributeTok"/>
        </w:rPr>
        <w:t xml:space="preserve">solidarity_sd =</w:t>
      </w:r>
      <w:r>
        <w:rPr>
          <w:rStyle w:val="NormalTok"/>
        </w:rPr>
        <w:t xml:space="preserve"> </w:t>
      </w:r>
      <w:r>
        <w:rPr>
          <w:rStyle w:val="StringTok"/>
        </w:rPr>
        <w:t xml:space="preserve">"Solidarity SD"</w:t>
      </w:r>
      <w:r>
        <w:rPr>
          <w:rStyle w:val="NormalTok"/>
        </w:rPr>
        <w:t xml:space="preserve">, </w:t>
      </w:r>
      <w:r>
        <w:br/>
      </w:r>
      <w:r>
        <w:rPr>
          <w:rStyle w:val="NormalTok"/>
        </w:rPr>
        <w:t xml:space="preserve">    </w:t>
      </w:r>
      <w:r>
        <w:rPr>
          <w:rStyle w:val="AttributeTok"/>
        </w:rPr>
        <w:t xml:space="preserve">solidarity_median =</w:t>
      </w:r>
      <w:r>
        <w:rPr>
          <w:rStyle w:val="NormalTok"/>
        </w:rPr>
        <w:t xml:space="preserve"> </w:t>
      </w:r>
      <w:r>
        <w:rPr>
          <w:rStyle w:val="StringTok"/>
        </w:rPr>
        <w:t xml:space="preserve">"Solidarity Median"</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theme_vanilla</w:t>
      </w:r>
      <w:r>
        <w:rPr>
          <w:rStyle w:val="NormalTok"/>
        </w:rPr>
        <w:t xml:space="preserve">() </w:t>
      </w:r>
      <w:r>
        <w:rPr>
          <w:rStyle w:val="SpecialCharTok"/>
        </w:rPr>
        <w:t xml:space="preserve">%&gt;%</w:t>
      </w:r>
      <w:r>
        <w:br/>
      </w:r>
      <w:r>
        <w:rPr>
          <w:rStyle w:val="NormalTok"/>
        </w:rPr>
        <w:t xml:space="preserve">  </w:t>
      </w:r>
      <w:r>
        <w:rPr>
          <w:rStyle w:val="FunctionTok"/>
        </w:rPr>
        <w:t xml:space="preserve">padding</w:t>
      </w:r>
      <w:r>
        <w:rPr>
          <w:rStyle w:val="NormalTok"/>
        </w:rPr>
        <w:t xml:space="preserve">(</w:t>
      </w:r>
      <w:r>
        <w:rPr>
          <w:rStyle w:val="AttributeTok"/>
        </w:rPr>
        <w:t xml:space="preserve">padding =</w:t>
      </w:r>
      <w:r>
        <w:rPr>
          <w:rStyle w:val="NormalTok"/>
        </w:rPr>
        <w:t xml:space="preserve"> </w:t>
      </w:r>
      <w:r>
        <w:rPr>
          <w:rStyle w:val="DecValTok"/>
        </w:rPr>
        <w:t xml:space="preserve">6</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br/>
      </w:r>
      <w:r>
        <w:br/>
      </w:r>
      <w:r>
        <w:rPr>
          <w:rStyle w:val="NormalTok"/>
        </w:rPr>
        <w:t xml:space="preserve">h3_table_solidarity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07"/>
        <w:gridCol w:w="2090"/>
        <w:gridCol w:w="1833"/>
        <w:gridCol w:w="2285"/>
        <w:gridCol w:w="831"/>
      </w:tblGrid>
      <w:tr>
        <w:trPr>
          <w:trHeight w:val="67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Country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Solidarity 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Solidarity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Solidarity 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w:t>
            </w:r>
          </w:p>
        </w:tc>
      </w:tr>
      <w:tr>
        <w:trPr>
          <w:trHeight w:val="627"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r>
        <w:trPr>
          <w:trHeight w:val="625"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w:t>
            </w:r>
          </w:p>
        </w:tc>
      </w:tr>
    </w:tbl>
    <w:p>
      <w:pPr>
        <w:pStyle w:val="FirstParagraph"/>
      </w:pPr>
    </w:p>
    <w:p>
      <w:pPr>
        <w:pStyle w:val="BodyText"/>
      </w:pPr>
      <w:r>
        <w:t xml:space="preserve">Comparing Received Pronunciation (UK) and General American (US) accents reveals differences in both status and solidarity perceptions. As shown in</w:t>
      </w:r>
      <w:r>
        <w:t xml:space="preserve"> </w:t>
      </w:r>
      <w:hyperlink w:anchor="fig-status-by-country">
        <w:r>
          <w:rPr>
            <w:rStyle w:val="Hyperlink"/>
          </w:rPr>
          <w:t xml:space="preserve">Figure 5</w:t>
        </w:r>
      </w:hyperlink>
      <w:r>
        <w:t xml:space="preserve">, UK accents received higher status ratings (M = 4.33, SD = 1.3) compared to US accents (M = 3.74, SD = 1.26).</w:t>
      </w:r>
    </w:p>
    <w:p>
      <w:pPr>
        <w:pStyle w:val="BodyText"/>
      </w:pPr>
      <w:r>
        <w:t xml:space="preserve">Similarly, for solidarity ratings,</w:t>
      </w:r>
      <w:r>
        <w:t xml:space="preserve"> </w:t>
      </w:r>
      <w:hyperlink w:anchor="fig-solidarity-by-country">
        <w:r>
          <w:rPr>
            <w:rStyle w:val="Hyperlink"/>
          </w:rPr>
          <w:t xml:space="preserve">Figure 6</w:t>
        </w:r>
      </w:hyperlink>
      <w:r>
        <w:t xml:space="preserve"> </w:t>
      </w:r>
      <w:r>
        <w:t xml:space="preserve">demonstrates that UK accents were also rated higher (M = 3.48, SD = 1.25) than US accents (M = 3.02, SD = 1.29). This pattern indicates a consistent preference for UK accents across both dimensions of language attitudes.</w:t>
      </w:r>
    </w:p>
    <w:p>
      <w:pPr>
        <w:pStyle w:val="BodyText"/>
      </w:pPr>
      <w:r>
        <w:t xml:space="preserve">These findings strongly support the third hypothesis that UK accents (RP) would be rated higher in status than US accents (GA), while additionally revealing that UK accents were also perceived as more friendly and approachable. This suggests that UK accents may carry more prestige and are perceived more positively overall in the context of this study.</w:t>
      </w:r>
    </w:p>
    <w:p>
      <w:r>
        <w:br w:type="page"/>
      </w:r>
    </w:p>
    <w:bookmarkEnd w:id="52"/>
    <w:bookmarkStart w:id="74" w:name="participant-demographics"/>
    <w:p>
      <w:pPr>
        <w:pStyle w:val="Heading2"/>
      </w:pPr>
      <w:r>
        <w:t xml:space="preserve">2.4 Participant Demographics</w:t>
      </w:r>
    </w:p>
    <w:p>
      <w:pPr>
        <w:pStyle w:val="SourceCode"/>
      </w:pPr>
      <w:r>
        <w:rPr>
          <w:rStyle w:val="CommentTok"/>
        </w:rPr>
        <w:t xml:space="preserve"># Demographics</w:t>
      </w:r>
      <w:r>
        <w:br/>
      </w:r>
      <w:r>
        <w:rPr>
          <w:rStyle w:val="NormalTok"/>
        </w:rPr>
        <w:t xml:space="preserve">demographics_summary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total_participants =</w:t>
      </w:r>
      <w:r>
        <w:rPr>
          <w:rStyle w:val="NormalTok"/>
        </w:rPr>
        <w:t xml:space="preserve"> </w:t>
      </w:r>
      <w:r>
        <w:rPr>
          <w:rStyle w:val="FunctionTok"/>
        </w:rPr>
        <w:t xml:space="preserve">nrow</w:t>
      </w:r>
      <w:r>
        <w:rPr>
          <w:rStyle w:val="NormalTok"/>
        </w:rPr>
        <w:t xml:space="preserve">(participant_data),</w:t>
      </w:r>
      <w:r>
        <w:br/>
      </w:r>
      <w:r>
        <w:rPr>
          <w:rStyle w:val="NormalTok"/>
        </w:rPr>
        <w:t xml:space="preserve">  </w:t>
      </w:r>
      <w:r>
        <w:rPr>
          <w:rStyle w:val="AttributeTok"/>
        </w:rPr>
        <w:t xml:space="preserve">female_count =</w:t>
      </w:r>
      <w:r>
        <w:rPr>
          <w:rStyle w:val="NormalTok"/>
        </w:rPr>
        <w:t xml:space="preserve"> </w:t>
      </w:r>
      <w:r>
        <w:rPr>
          <w:rStyle w:val="FunctionTok"/>
        </w:rPr>
        <w:t xml:space="preserve">sum</w:t>
      </w:r>
      <w:r>
        <w:rPr>
          <w:rStyle w:val="NormalTok"/>
        </w:rPr>
        <w:t xml:space="preserve">(participant_data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female_percent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(participant_data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(participant_data), </w:t>
      </w:r>
      <w:r>
        <w:rPr>
          <w:rStyle w:val="DecValTok"/>
        </w:rPr>
        <w:t xml:space="preserve">1</w:t>
      </w:r>
      <w:r>
        <w:rPr>
          <w:rStyle w:val="NormalTok"/>
        </w:rPr>
        <w:t xml:space="preserve">),</w:t>
      </w:r>
      <w:r>
        <w:br/>
      </w:r>
      <w:r>
        <w:rPr>
          <w:rStyle w:val="NormalTok"/>
        </w:rPr>
        <w:t xml:space="preserve">  </w:t>
      </w:r>
      <w:r>
        <w:rPr>
          <w:rStyle w:val="AttributeTok"/>
        </w:rPr>
        <w:t xml:space="preserve">male_count =</w:t>
      </w:r>
      <w:r>
        <w:rPr>
          <w:rStyle w:val="NormalTok"/>
        </w:rPr>
        <w:t xml:space="preserve"> </w:t>
      </w:r>
      <w:r>
        <w:rPr>
          <w:rStyle w:val="FunctionTok"/>
        </w:rPr>
        <w:t xml:space="preserve">sum</w:t>
      </w:r>
      <w:r>
        <w:rPr>
          <w:rStyle w:val="NormalTok"/>
        </w:rPr>
        <w:t xml:space="preserve">(participant_data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male_percent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(participant_data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(participant_data), </w:t>
      </w:r>
      <w:r>
        <w:rPr>
          <w:rStyle w:val="DecValTok"/>
        </w:rPr>
        <w:t xml:space="preserve">1</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(participant_data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sd_age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(participant_data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min_age =</w:t>
      </w:r>
      <w:r>
        <w:rPr>
          <w:rStyle w:val="NormalTok"/>
        </w:rPr>
        <w:t xml:space="preserve"> </w:t>
      </w:r>
      <w:r>
        <w:rPr>
          <w:rStyle w:val="FunctionTok"/>
        </w:rPr>
        <w:t xml:space="preserve">min</w:t>
      </w:r>
      <w:r>
        <w:rPr>
          <w:rStyle w:val="NormalTok"/>
        </w:rPr>
        <w:t xml:space="preserve">(participant_data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max_age =</w:t>
      </w:r>
      <w:r>
        <w:rPr>
          <w:rStyle w:val="NormalTok"/>
        </w:rPr>
        <w:t xml:space="preserve"> </w:t>
      </w:r>
      <w:r>
        <w:rPr>
          <w:rStyle w:val="FunctionTok"/>
        </w:rPr>
        <w:t xml:space="preserve">max</w:t>
      </w:r>
      <w:r>
        <w:rPr>
          <w:rStyle w:val="NormalTok"/>
        </w:rPr>
        <w:t xml:space="preserve">(participant_data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English learning characteristics</w:t>
      </w:r>
      <w:r>
        <w:br/>
      </w:r>
      <w:r>
        <w:rPr>
          <w:rStyle w:val="NormalTok"/>
        </w:rPr>
        <w:t xml:space="preserve">english_summary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mean_lessons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as.numeric</w:t>
      </w:r>
      <w:r>
        <w:rPr>
          <w:rStyle w:val="NormalTok"/>
        </w:rPr>
        <w:t xml:space="preserve">(participant_data</w:t>
      </w:r>
      <w:r>
        <w:rPr>
          <w:rStyle w:val="SpecialCharTok"/>
        </w:rPr>
        <w:t xml:space="preserve">$</w:t>
      </w:r>
      <w:r>
        <w:rPr>
          <w:rStyle w:val="NormalTok"/>
        </w:rPr>
        <w:t xml:space="preserve">lessons_English),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sd_lessons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w:t>
      </w:r>
      <w:r>
        <w:rPr>
          <w:rStyle w:val="FunctionTok"/>
        </w:rPr>
        <w:t xml:space="preserve">as.numeric</w:t>
      </w:r>
      <w:r>
        <w:rPr>
          <w:rStyle w:val="NormalTok"/>
        </w:rPr>
        <w:t xml:space="preserve">(participant_data</w:t>
      </w:r>
      <w:r>
        <w:rPr>
          <w:rStyle w:val="SpecialCharTok"/>
        </w:rPr>
        <w:t xml:space="preserve">$</w:t>
      </w:r>
      <w:r>
        <w:rPr>
          <w:rStyle w:val="NormalTok"/>
        </w:rPr>
        <w:t xml:space="preserve">lessons_English),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median_lessons =</w:t>
      </w:r>
      <w:r>
        <w:rPr>
          <w:rStyle w:val="NormalTok"/>
        </w:rPr>
        <w:t xml:space="preserve"> </w:t>
      </w:r>
      <w:r>
        <w:rPr>
          <w:rStyle w:val="FunctionTok"/>
        </w:rPr>
        <w:t xml:space="preserve">median</w:t>
      </w:r>
      <w:r>
        <w:rPr>
          <w:rStyle w:val="NormalTok"/>
        </w:rPr>
        <w:t xml:space="preserve">(</w:t>
      </w:r>
      <w:r>
        <w:rPr>
          <w:rStyle w:val="FunctionTok"/>
        </w:rPr>
        <w:t xml:space="preserve">as.numeric</w:t>
      </w:r>
      <w:r>
        <w:rPr>
          <w:rStyle w:val="NormalTok"/>
        </w:rPr>
        <w:t xml:space="preserve">(participant_data</w:t>
      </w:r>
      <w:r>
        <w:rPr>
          <w:rStyle w:val="SpecialCharTok"/>
        </w:rPr>
        <w:t xml:space="preserve">$</w:t>
      </w:r>
      <w:r>
        <w:rPr>
          <w:rStyle w:val="NormalTok"/>
        </w:rPr>
        <w:t xml:space="preserve">lessons_English),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mean_contact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(participant_data</w:t>
      </w:r>
      <w:r>
        <w:rPr>
          <w:rStyle w:val="SpecialCharTok"/>
        </w:rPr>
        <w:t xml:space="preserve">$</w:t>
      </w:r>
      <w:r>
        <w:rPr>
          <w:rStyle w:val="NormalTok"/>
        </w:rPr>
        <w:t xml:space="preserve">contact_English,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sd_contact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(participant_data</w:t>
      </w:r>
      <w:r>
        <w:rPr>
          <w:rStyle w:val="SpecialCharTok"/>
        </w:rPr>
        <w:t xml:space="preserve">$</w:t>
      </w:r>
      <w:r>
        <w:rPr>
          <w:rStyle w:val="NormalTok"/>
        </w:rPr>
        <w:t xml:space="preserve">contact_English,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median_contact =</w:t>
      </w:r>
      <w:r>
        <w:rPr>
          <w:rStyle w:val="NormalTok"/>
        </w:rPr>
        <w:t xml:space="preserve"> </w:t>
      </w:r>
      <w:r>
        <w:rPr>
          <w:rStyle w:val="FunctionTok"/>
        </w:rPr>
        <w:t xml:space="preserve">median</w:t>
      </w:r>
      <w:r>
        <w:rPr>
          <w:rStyle w:val="NormalTok"/>
        </w:rPr>
        <w:t xml:space="preserve">(participant_data</w:t>
      </w:r>
      <w:r>
        <w:rPr>
          <w:rStyle w:val="SpecialCharTok"/>
        </w:rPr>
        <w:t xml:space="preserve">$</w:t>
      </w:r>
      <w:r>
        <w:rPr>
          <w:rStyle w:val="NormalTok"/>
        </w:rPr>
        <w:t xml:space="preserve">contact_English,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p>
    <w:p>
      <w:pPr>
        <w:pStyle w:val="SourceCode"/>
      </w:pPr>
      <w:r>
        <w:rPr>
          <w:rStyle w:val="CommentTok"/>
        </w:rPr>
        <w:t xml:space="preserve"># Create a demographics table</w:t>
      </w:r>
      <w:r>
        <w:br/>
      </w:r>
      <w:r>
        <w:rPr>
          <w:rStyle w:val="FunctionTok"/>
        </w:rPr>
        <w:t xml:space="preserve">kable</w:t>
      </w:r>
      <w:r>
        <w:rPr>
          <w:rStyle w:val="NormalTok"/>
        </w:rPr>
        <w:t xml:space="preserve">(demographics_summary, </w:t>
      </w:r>
      <w:r>
        <w:br/>
      </w:r>
      <w:r>
        <w:rPr>
          <w:rStyle w:val="NormalTok"/>
        </w:rPr>
        <w:t xml:space="preserve">      </w:t>
      </w:r>
      <w:r>
        <w:rPr>
          <w:rStyle w:val="AttributeTok"/>
        </w:rPr>
        <w:t xml:space="preserve">caption =</w:t>
      </w:r>
      <w:r>
        <w:rPr>
          <w:rStyle w:val="NormalTok"/>
        </w:rPr>
        <w:t xml:space="preserve"> </w:t>
      </w:r>
      <w:r>
        <w:rPr>
          <w:rStyle w:val="StringTok"/>
        </w:rPr>
        <w:t xml:space="preserve">"Table 5: Participant demographics"</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"Total Participants"</w:t>
      </w:r>
      <w:r>
        <w:rPr>
          <w:rStyle w:val="NormalTok"/>
        </w:rPr>
        <w:t xml:space="preserve">, </w:t>
      </w:r>
      <w:r>
        <w:rPr>
          <w:rStyle w:val="StringTok"/>
        </w:rPr>
        <w:t xml:space="preserve">"Female Count"</w:t>
      </w:r>
      <w:r>
        <w:rPr>
          <w:rStyle w:val="NormalTok"/>
        </w:rPr>
        <w:t xml:space="preserve">, </w:t>
      </w:r>
      <w:r>
        <w:rPr>
          <w:rStyle w:val="StringTok"/>
        </w:rPr>
        <w:t xml:space="preserve">"Female %"</w:t>
      </w:r>
      <w:r>
        <w:rPr>
          <w:rStyle w:val="NormalTok"/>
        </w:rPr>
        <w:t xml:space="preserve">, </w:t>
      </w:r>
      <w:r>
        <w:rPr>
          <w:rStyle w:val="StringTok"/>
        </w:rPr>
        <w:t xml:space="preserve">"Male Count"</w:t>
      </w:r>
      <w:r>
        <w:rPr>
          <w:rStyle w:val="NormalTok"/>
        </w:rPr>
        <w:t xml:space="preserve">, </w:t>
      </w:r>
      <w:r>
        <w:rPr>
          <w:rStyle w:val="StringTok"/>
        </w:rPr>
        <w:t xml:space="preserve">"Male %"</w:t>
      </w:r>
      <w:r>
        <w:rPr>
          <w:rStyle w:val="NormalTok"/>
        </w:rPr>
        <w:t xml:space="preserve">, </w:t>
      </w:r>
      <w:r>
        <w:br/>
      </w:r>
      <w:r>
        <w:rPr>
          <w:rStyle w:val="NormalTok"/>
        </w:rPr>
        <w:t xml:space="preserve">                   </w:t>
      </w:r>
      <w:r>
        <w:rPr>
          <w:rStyle w:val="StringTok"/>
        </w:rPr>
        <w:t xml:space="preserve">"Mean Age"</w:t>
      </w:r>
      <w:r>
        <w:rPr>
          <w:rStyle w:val="NormalTok"/>
        </w:rPr>
        <w:t xml:space="preserve">, </w:t>
      </w:r>
      <w:r>
        <w:rPr>
          <w:rStyle w:val="StringTok"/>
        </w:rPr>
        <w:t xml:space="preserve">"SD Age"</w:t>
      </w:r>
      <w:r>
        <w:rPr>
          <w:rStyle w:val="NormalTok"/>
        </w:rPr>
        <w:t xml:space="preserve">, </w:t>
      </w:r>
      <w:r>
        <w:rPr>
          <w:rStyle w:val="StringTok"/>
        </w:rPr>
        <w:t xml:space="preserve">"Min Age"</w:t>
      </w:r>
      <w:r>
        <w:rPr>
          <w:rStyle w:val="NormalTok"/>
        </w:rPr>
        <w:t xml:space="preserve">, </w:t>
      </w:r>
      <w:r>
        <w:rPr>
          <w:rStyle w:val="StringTok"/>
        </w:rPr>
        <w:t xml:space="preserve">"Max Age"</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"rrrrrrrrr"</w:t>
      </w:r>
      <w:r>
        <w:rPr>
          <w:rStyle w:val="NormalTok"/>
        </w:rPr>
        <w:t xml:space="preserve">)</w:t>
      </w:r>
    </w:p>
    <w:p>
      <w:pPr>
        <w:pStyle w:val="TableCaption"/>
      </w:pPr>
      <w:r>
        <w:t xml:space="preserve">Table 5: Participant demographics</w:t>
      </w:r>
    </w:p>
    <w:tbl>
      <w:tblPr>
        <w:tblStyle w:val="Table"/>
        <w:tblW w:type="pct" w:w="5000"/>
        <w:tblLayout w:type="fixed"/>
        <w:tblLook w:firstRow="1" w:lastRow="0" w:firstColumn="0" w:lastColumn="0" w:noHBand="0" w:noVBand="0" w:val="0020"/>
        <w:tblCaption w:val="Table 5: Participant demographics"/>
      </w:tblPr>
      <w:tblGrid>
        <w:gridCol w:w="1653"/>
        <w:gridCol w:w="1131"/>
        <w:gridCol w:w="783"/>
        <w:gridCol w:w="957"/>
        <w:gridCol w:w="609"/>
        <w:gridCol w:w="783"/>
        <w:gridCol w:w="609"/>
        <w:gridCol w:w="696"/>
        <w:gridCol w:w="696"/>
      </w:tblGrid>
      <w:tr>
        <w:trPr>
          <w:tblHeader w:val="on"/>
        </w:trPr>
        <w:tc>
          <w:tcPr/>
          <w:p>
            <w:pPr>
              <w:pStyle w:val="Compact"/>
              <w:jc w:val="right"/>
            </w:pPr>
            <w:r>
              <w:t xml:space="preserve">Total Participants</w:t>
            </w:r>
          </w:p>
        </w:tc>
        <w:tc>
          <w:tcPr/>
          <w:p>
            <w:pPr>
              <w:pStyle w:val="Compact"/>
              <w:jc w:val="right"/>
            </w:pPr>
            <w:r>
              <w:t xml:space="preserve">Female Count</w:t>
            </w:r>
          </w:p>
        </w:tc>
        <w:tc>
          <w:tcPr/>
          <w:p>
            <w:pPr>
              <w:pStyle w:val="Compact"/>
              <w:jc w:val="right"/>
            </w:pPr>
            <w:r>
              <w:t xml:space="preserve">Female %</w:t>
            </w:r>
          </w:p>
        </w:tc>
        <w:tc>
          <w:tcPr/>
          <w:p>
            <w:pPr>
              <w:pStyle w:val="Compact"/>
              <w:jc w:val="right"/>
            </w:pPr>
            <w:r>
              <w:t xml:space="preserve">Male Count</w:t>
            </w:r>
          </w:p>
        </w:tc>
        <w:tc>
          <w:tcPr/>
          <w:p>
            <w:pPr>
              <w:pStyle w:val="Compact"/>
              <w:jc w:val="right"/>
            </w:pPr>
            <w:r>
              <w:t xml:space="preserve">Male %</w:t>
            </w:r>
          </w:p>
        </w:tc>
        <w:tc>
          <w:tcPr/>
          <w:p>
            <w:pPr>
              <w:pStyle w:val="Compact"/>
              <w:jc w:val="right"/>
            </w:pPr>
            <w:r>
              <w:t xml:space="preserve">Mean Age</w:t>
            </w:r>
          </w:p>
        </w:tc>
        <w:tc>
          <w:tcPr/>
          <w:p>
            <w:pPr>
              <w:pStyle w:val="Compact"/>
              <w:jc w:val="right"/>
            </w:pPr>
            <w:r>
              <w:t xml:space="preserve">SD Age</w:t>
            </w:r>
          </w:p>
        </w:tc>
        <w:tc>
          <w:tcPr/>
          <w:p>
            <w:pPr>
              <w:pStyle w:val="Compact"/>
              <w:jc w:val="right"/>
            </w:pPr>
            <w:r>
              <w:t xml:space="preserve">Min Age</w:t>
            </w:r>
          </w:p>
        </w:tc>
        <w:tc>
          <w:tcPr/>
          <w:p>
            <w:pPr>
              <w:pStyle w:val="Compact"/>
              <w:jc w:val="right"/>
            </w:pPr>
            <w:r>
              <w:t xml:space="preserve">Max Age</w:t>
            </w:r>
          </w:p>
        </w:tc>
      </w:tr>
      <w:tr>
        <w:tc>
          <w:tcPr/>
          <w:p>
            <w:pPr>
              <w:pStyle w:val="Compact"/>
              <w:jc w:val="right"/>
            </w:pPr>
            <w:r>
              <w:t xml:space="preserve">96</w:t>
            </w:r>
          </w:p>
        </w:tc>
        <w:tc>
          <w:tcPr/>
          <w:p>
            <w:pPr>
              <w:pStyle w:val="Compact"/>
              <w:jc w:val="right"/>
            </w:pPr>
            <w:r>
              <w:t xml:space="preserve">32</w:t>
            </w:r>
          </w:p>
        </w:tc>
        <w:tc>
          <w:tcPr/>
          <w:p>
            <w:pPr>
              <w:pStyle w:val="Compact"/>
              <w:jc w:val="right"/>
            </w:pPr>
            <w:r>
              <w:t xml:space="preserve">33.3</w:t>
            </w:r>
          </w:p>
        </w:tc>
        <w:tc>
          <w:tcPr/>
          <w:p>
            <w:pPr>
              <w:pStyle w:val="Compact"/>
              <w:jc w:val="right"/>
            </w:pPr>
            <w:r>
              <w:t xml:space="preserve">64</w:t>
            </w:r>
          </w:p>
        </w:tc>
        <w:tc>
          <w:tcPr/>
          <w:p>
            <w:pPr>
              <w:pStyle w:val="Compact"/>
              <w:jc w:val="right"/>
            </w:pPr>
            <w:r>
              <w:t xml:space="preserve">66.7</w:t>
            </w:r>
          </w:p>
        </w:tc>
        <w:tc>
          <w:tcPr/>
          <w:p>
            <w:pPr>
              <w:pStyle w:val="Compact"/>
              <w:jc w:val="right"/>
            </w:pPr>
            <w:r>
              <w:t xml:space="preserve">24.7</w:t>
            </w:r>
          </w:p>
        </w:tc>
        <w:tc>
          <w:tcPr/>
          <w:p>
            <w:pPr>
              <w:pStyle w:val="Compact"/>
              <w:jc w:val="right"/>
            </w:pPr>
            <w:r>
              <w:t xml:space="preserve">3.6</w:t>
            </w:r>
          </w:p>
        </w:tc>
        <w:tc>
          <w:tcPr/>
          <w:p>
            <w:pPr>
              <w:pStyle w:val="Compact"/>
              <w:jc w:val="right"/>
            </w:pPr>
            <w:r>
              <w:t xml:space="preserve">20</w:t>
            </w:r>
          </w:p>
        </w:tc>
        <w:tc>
          <w:tcPr/>
          <w:p>
            <w:pPr>
              <w:pStyle w:val="Compact"/>
              <w:jc w:val="right"/>
            </w:pPr>
            <w:r>
              <w:t xml:space="preserve">33</w:t>
            </w:r>
          </w:p>
        </w:tc>
      </w:tr>
    </w:tbl>
    <w:p>
      <w:pPr>
        <w:pStyle w:val="BodyText"/>
      </w:pPr>
    </w:p>
    <w:p>
      <w:pPr>
        <w:pStyle w:val="SourceCode"/>
      </w:pPr>
      <w:r>
        <w:rPr>
          <w:rStyle w:val="CommentTok"/>
        </w:rPr>
        <w:t xml:space="preserve"># Create a english learning table</w:t>
      </w:r>
      <w:r>
        <w:br/>
      </w:r>
      <w:r>
        <w:rPr>
          <w:rStyle w:val="FunctionTok"/>
        </w:rPr>
        <w:t xml:space="preserve">kable</w:t>
      </w:r>
      <w:r>
        <w:rPr>
          <w:rStyle w:val="NormalTok"/>
        </w:rPr>
        <w:t xml:space="preserve">(english_summary, </w:t>
      </w:r>
      <w:r>
        <w:br/>
      </w:r>
      <w:r>
        <w:rPr>
          <w:rStyle w:val="NormalTok"/>
        </w:rPr>
        <w:t xml:space="preserve">      </w:t>
      </w:r>
      <w:r>
        <w:rPr>
          <w:rStyle w:val="AttributeTok"/>
        </w:rPr>
        <w:t xml:space="preserve">caption =</w:t>
      </w:r>
      <w:r>
        <w:rPr>
          <w:rStyle w:val="NormalTok"/>
        </w:rPr>
        <w:t xml:space="preserve"> </w:t>
      </w:r>
      <w:r>
        <w:rPr>
          <w:rStyle w:val="StringTok"/>
        </w:rPr>
        <w:t xml:space="preserve">"Table 6: English learning duration and contact frequency"</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"Mean Lessons"</w:t>
      </w:r>
      <w:r>
        <w:rPr>
          <w:rStyle w:val="NormalTok"/>
        </w:rPr>
        <w:t xml:space="preserve">, </w:t>
      </w:r>
      <w:r>
        <w:rPr>
          <w:rStyle w:val="StringTok"/>
        </w:rPr>
        <w:t xml:space="preserve">"SD Lessons"</w:t>
      </w:r>
      <w:r>
        <w:rPr>
          <w:rStyle w:val="NormalTok"/>
        </w:rPr>
        <w:t xml:space="preserve">, </w:t>
      </w:r>
      <w:r>
        <w:rPr>
          <w:rStyle w:val="StringTok"/>
        </w:rPr>
        <w:t xml:space="preserve">"Median Lessons"</w:t>
      </w:r>
      <w:r>
        <w:rPr>
          <w:rStyle w:val="NormalTok"/>
        </w:rPr>
        <w:t xml:space="preserve">, </w:t>
      </w:r>
      <w:r>
        <w:br/>
      </w:r>
      <w:r>
        <w:rPr>
          <w:rStyle w:val="NormalTok"/>
        </w:rPr>
        <w:t xml:space="preserve">                   </w:t>
      </w:r>
      <w:r>
        <w:rPr>
          <w:rStyle w:val="StringTok"/>
        </w:rPr>
        <w:t xml:space="preserve">"Mean Contact"</w:t>
      </w:r>
      <w:r>
        <w:rPr>
          <w:rStyle w:val="NormalTok"/>
        </w:rPr>
        <w:t xml:space="preserve">, </w:t>
      </w:r>
      <w:r>
        <w:rPr>
          <w:rStyle w:val="StringTok"/>
        </w:rPr>
        <w:t xml:space="preserve">"SD Contact"</w:t>
      </w:r>
      <w:r>
        <w:rPr>
          <w:rStyle w:val="NormalTok"/>
        </w:rPr>
        <w:t xml:space="preserve">, </w:t>
      </w:r>
      <w:r>
        <w:rPr>
          <w:rStyle w:val="StringTok"/>
        </w:rPr>
        <w:t xml:space="preserve">"Median Contact"</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"rrrrrr"</w:t>
      </w:r>
      <w:r>
        <w:rPr>
          <w:rStyle w:val="NormalTok"/>
        </w:rPr>
        <w:t xml:space="preserve">)</w:t>
      </w:r>
    </w:p>
    <w:p>
      <w:pPr>
        <w:pStyle w:val="TableCaption"/>
      </w:pPr>
      <w:r>
        <w:t xml:space="preserve">Table 6: English learning duration and contact frequency</w:t>
      </w:r>
    </w:p>
    <w:tbl>
      <w:tblPr>
        <w:tblStyle w:val="Table"/>
        <w:tblW w:type="pct" w:w="5000"/>
        <w:tblLayout w:type="fixed"/>
        <w:tblLook w:firstRow="1" w:lastRow="0" w:firstColumn="0" w:lastColumn="0" w:noHBand="0" w:noVBand="0" w:val="0020"/>
        <w:tblCaption w:val="Table 6: English learning duration and contact frequency"/>
      </w:tblPr>
      <w:tblGrid>
        <w:gridCol w:w="1320"/>
        <w:gridCol w:w="1116"/>
        <w:gridCol w:w="1523"/>
        <w:gridCol w:w="1320"/>
        <w:gridCol w:w="1116"/>
        <w:gridCol w:w="1523"/>
      </w:tblGrid>
      <w:tr>
        <w:trPr>
          <w:tblHeader w:val="on"/>
        </w:trPr>
        <w:tc>
          <w:tcPr/>
          <w:p>
            <w:pPr>
              <w:pStyle w:val="Compact"/>
              <w:jc w:val="right"/>
            </w:pPr>
            <w:r>
              <w:t xml:space="preserve">Mean Lessons</w:t>
            </w:r>
          </w:p>
        </w:tc>
        <w:tc>
          <w:tcPr/>
          <w:p>
            <w:pPr>
              <w:pStyle w:val="Compact"/>
              <w:jc w:val="right"/>
            </w:pPr>
            <w:r>
              <w:t xml:space="preserve">SD Lessons</w:t>
            </w:r>
          </w:p>
        </w:tc>
        <w:tc>
          <w:tcPr/>
          <w:p>
            <w:pPr>
              <w:pStyle w:val="Compact"/>
              <w:jc w:val="right"/>
            </w:pPr>
            <w:r>
              <w:t xml:space="preserve">Median Lessons</w:t>
            </w:r>
          </w:p>
        </w:tc>
        <w:tc>
          <w:tcPr/>
          <w:p>
            <w:pPr>
              <w:pStyle w:val="Compact"/>
              <w:jc w:val="right"/>
            </w:pPr>
            <w:r>
              <w:t xml:space="preserve">Mean Contact</w:t>
            </w:r>
          </w:p>
        </w:tc>
        <w:tc>
          <w:tcPr/>
          <w:p>
            <w:pPr>
              <w:pStyle w:val="Compact"/>
              <w:jc w:val="right"/>
            </w:pPr>
            <w:r>
              <w:t xml:space="preserve">SD Contact</w:t>
            </w:r>
          </w:p>
        </w:tc>
        <w:tc>
          <w:tcPr/>
          <w:p>
            <w:pPr>
              <w:pStyle w:val="Compact"/>
              <w:jc w:val="right"/>
            </w:pPr>
            <w:r>
              <w:t xml:space="preserve">Median Contact</w:t>
            </w:r>
          </w:p>
        </w:tc>
      </w:tr>
      <w:tr>
        <w:tc>
          <w:tcPr/>
          <w:p>
            <w:pPr>
              <w:pStyle w:val="Compact"/>
              <w:jc w:val="right"/>
            </w:pPr>
            <w:r>
              <w:t xml:space="preserve">6.9</w:t>
            </w:r>
          </w:p>
        </w:tc>
        <w:tc>
          <w:tcPr/>
          <w:p>
            <w:pPr>
              <w:pStyle w:val="Compact"/>
              <w:jc w:val="right"/>
            </w:pPr>
            <w:r>
              <w:t xml:space="preserve">2</w:t>
            </w:r>
          </w:p>
        </w:tc>
        <w:tc>
          <w:tcPr/>
          <w:p>
            <w:pPr>
              <w:pStyle w:val="Compact"/>
              <w:jc w:val="right"/>
            </w:pPr>
            <w:r>
              <w:t xml:space="preserve">8</w:t>
            </w:r>
          </w:p>
        </w:tc>
        <w:tc>
          <w:tcPr/>
          <w:p>
            <w:pPr>
              <w:pStyle w:val="Compact"/>
              <w:jc w:val="right"/>
            </w:pPr>
            <w:r>
              <w:t xml:space="preserve">2.3</w:t>
            </w:r>
          </w:p>
        </w:tc>
        <w:tc>
          <w:tcPr/>
          <w:p>
            <w:pPr>
              <w:pStyle w:val="Compact"/>
              <w:jc w:val="right"/>
            </w:pPr>
            <w:r>
              <w:t xml:space="preserve">1.2</w:t>
            </w:r>
          </w:p>
        </w:tc>
        <w:tc>
          <w:tcPr/>
          <w:p>
            <w:pPr>
              <w:pStyle w:val="Compact"/>
              <w:jc w:val="right"/>
            </w:pPr>
            <w:r>
              <w:t xml:space="preserve">2</w:t>
            </w:r>
          </w:p>
        </w:tc>
      </w:tr>
    </w:tbl>
    <w:bookmarkStart w:id="73" w:name="demographic-plots"/>
    <w:p>
      <w:pPr>
        <w:pStyle w:val="Heading3"/>
      </w:pPr>
      <w:r>
        <w:t xml:space="preserve">2.4.1 Demographic Plots</w:t>
      </w:r>
    </w:p>
    <w:p>
      <w:pPr>
        <w:pStyle w:val="SourceCode"/>
      </w:pPr>
      <w:r>
        <w:rPr>
          <w:rStyle w:val="FunctionTok"/>
        </w:rPr>
        <w:t xml:space="preserve">ggplot</w:t>
      </w:r>
      <w:r>
        <w:rPr>
          <w:rStyle w:val="NormalTok"/>
        </w:rPr>
        <w:t xml:space="preserve">(stella_data,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fill =</w:t>
      </w:r>
      <w:r>
        <w:rPr>
          <w:rStyle w:val="NormalTok"/>
        </w:rPr>
        <w:t xml:space="preserve"> </w:t>
      </w:r>
      <w:r>
        <w:rPr>
          <w:rStyle w:val="FunctionTok"/>
        </w:rPr>
        <w:t xml:space="preserve">as.factor</w:t>
      </w:r>
      <w:r>
        <w:rPr>
          <w:rStyle w:val="NormalTok"/>
        </w:rPr>
        <w:t xml:space="preserve">(age)))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6" w:name="fig-age-distribution"/>
          <w:p>
            <w:pPr>
              <w:pStyle w:val="Compact"/>
              <w:jc w:val="center"/>
            </w:pPr>
            <w:r>
              <w:drawing>
                <wp:inline>
                  <wp:extent cx="5334000" cy="3556000"/>
                  <wp:effectExtent b="0" l="0" r="0" t="0"/>
                  <wp:docPr descr="" title="" id="54" name="Picture"/>
                  <a:graphic>
                    <a:graphicData uri="http://schemas.openxmlformats.org/drawingml/2006/picture">
                      <pic:pic>
                        <pic:nvPicPr>
                          <pic:cNvPr descr="01_analysis_files/figure-docx/fig-age-distribution-1.png" id="55" name="Picture"/>
                          <pic:cNvPicPr>
                            <a:picLocks noChangeArrowheads="1" noChangeAspect="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Age distribution of participants. The majority of participants were between 20 and 26 years old, with a mean age of 24.7 years.</w:t>
            </w:r>
          </w:p>
          <w:bookmarkEnd w:id="56"/>
        </w:tc>
      </w:tr>
    </w:tbl>
    <w:p>
      <w:pPr>
        <w:pStyle w:val="BodyText"/>
      </w:pPr>
      <w:r>
        <w:t xml:space="preserve">The age distribution shown in</w:t>
      </w:r>
      <w:r>
        <w:t xml:space="preserve"> </w:t>
      </w:r>
      <w:hyperlink w:anchor="fig-age-distribution">
        <w:r>
          <w:rPr>
            <w:rStyle w:val="Hyperlink"/>
          </w:rPr>
          <w:t xml:space="preserve">Figure 7</w:t>
        </w:r>
      </w:hyperlink>
      <w:r>
        <w:t xml:space="preserve"> </w:t>
      </w:r>
      <w:r>
        <w:t xml:space="preserve">reveals that most participants were young adults, with a concentration between 20 and 26 years old.</w:t>
      </w:r>
    </w:p>
    <w:p>
      <w:pPr>
        <w:pStyle w:val="SourceCode"/>
      </w:pPr>
      <w:r>
        <w:rPr>
          <w:rStyle w:val="FunctionTok"/>
        </w:rPr>
        <w:t xml:space="preserve">ggplot</w:t>
      </w:r>
      <w:r>
        <w:rPr>
          <w:rStyle w:val="NormalTok"/>
        </w:rPr>
        <w:t xml:space="preserve">(stella_data </w:t>
      </w:r>
      <w:r>
        <w:rPr>
          <w:rStyle w:val="SpecialCharTok"/>
        </w:rPr>
        <w:t xml:space="preserve">%&gt;%</w:t>
      </w:r>
      <w:r>
        <w:rPr>
          <w:rStyle w:val="NormalTok"/>
        </w:rPr>
        <w:t xml:space="preserve"> </w:t>
      </w:r>
      <w:r>
        <w:rPr>
          <w:rStyle w:val="FunctionTok"/>
        </w:rPr>
        <w:t xml:space="preserve">distinct</w:t>
      </w:r>
      <w:r>
        <w:rPr>
          <w:rStyle w:val="NormalTok"/>
        </w:rPr>
        <w:t xml:space="preserve">(ppt_id,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"Gender"</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60" w:name="fig-gender-distribution"/>
          <w:p>
            <w:pPr>
              <w:pStyle w:val="Compact"/>
              <w:jc w:val="center"/>
            </w:pPr>
            <w:r>
              <w:drawing>
                <wp:inline>
                  <wp:extent cx="5334000" cy="3556000"/>
                  <wp:effectExtent b="0" l="0" r="0" t="0"/>
                  <wp:docPr descr="" title="" id="58" name="Picture"/>
                  <a:graphic>
                    <a:graphicData uri="http://schemas.openxmlformats.org/drawingml/2006/picture">
                      <pic:pic>
                        <pic:nvPicPr>
                          <pic:cNvPr descr="01_analysis_files/figure-docx/fig-gender-distribution-1.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Gender distribution of participants. The sample included more male participants (66.7%) than female participants (33.3%).</w:t>
            </w:r>
          </w:p>
          <w:bookmarkEnd w:id="60"/>
        </w:tc>
      </w:tr>
    </w:tbl>
    <w:p>
      <w:pPr>
        <w:pStyle w:val="BodyText"/>
      </w:pPr>
      <w:hyperlink w:anchor="fig-gender-distribution">
        <w:r>
          <w:rPr>
            <w:rStyle w:val="Hyperlink"/>
          </w:rPr>
          <w:t xml:space="preserve">Figure 8</w:t>
        </w:r>
      </w:hyperlink>
      <w:r>
        <w:t xml:space="preserve"> </w:t>
      </w:r>
      <w:r>
        <w:t xml:space="preserve">illustrates the gender composition of the participant pool. There is a notable imbalance, with approximately twice as many male participants as female participants. This gender distribution should be taken into account when interpreting the results, particularly for findings related to gender effects in accent perception.</w:t>
      </w:r>
    </w:p>
    <w:p>
      <w:pPr>
        <w:pStyle w:val="SourceCode"/>
      </w:pPr>
      <w:r>
        <w:rPr>
          <w:rStyle w:val="FunctionTok"/>
        </w:rPr>
        <w:t xml:space="preserve">ggplot</w:t>
      </w:r>
      <w:r>
        <w:rPr>
          <w:rStyle w:val="NormalTok"/>
        </w:rPr>
        <w:t xml:space="preserve">(stella_data </w:t>
      </w:r>
      <w:r>
        <w:rPr>
          <w:rStyle w:val="SpecialCharTok"/>
        </w:rPr>
        <w:t xml:space="preserve">%&gt;%</w:t>
      </w:r>
      <w:r>
        <w:rPr>
          <w:rStyle w:val="NormalTok"/>
        </w:rPr>
        <w:t xml:space="preserve"> </w:t>
      </w:r>
      <w:r>
        <w:rPr>
          <w:rStyle w:val="FunctionTok"/>
        </w:rPr>
        <w:t xml:space="preserve">distinct</w:t>
      </w:r>
      <w:r>
        <w:rPr>
          <w:rStyle w:val="NormalTok"/>
        </w:rPr>
        <w:t xml:space="preserve">(ppt_id,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student, </w:t>
      </w:r>
      <w:r>
        <w:rPr>
          <w:rStyle w:val="AttributeTok"/>
        </w:rPr>
        <w:t xml:space="preserve">fill =</w:t>
      </w:r>
      <w:r>
        <w:rPr>
          <w:rStyle w:val="NormalTok"/>
        </w:rPr>
        <w:t xml:space="preserve"> student))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option =</w:t>
      </w:r>
      <w:r>
        <w:rPr>
          <w:rStyle w:val="NormalTok"/>
        </w:rPr>
        <w:t xml:space="preserve"> </w:t>
      </w:r>
      <w:r>
        <w:rPr>
          <w:rStyle w:val="StringTok"/>
        </w:rPr>
        <w:t xml:space="preserve">"H"</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"Student Status"</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4" w:name="fig-student-status"/>
          <w:p>
            <w:pPr>
              <w:pStyle w:val="Compact"/>
              <w:jc w:val="center"/>
            </w:pPr>
            <w:r>
              <w:drawing>
                <wp:inline>
                  <wp:extent cx="5334000" cy="3556000"/>
                  <wp:effectExtent b="0" l="0" r="0" t="0"/>
                  <wp:docPr descr="" title="" id="62" name="Picture"/>
                  <a:graphic>
                    <a:graphicData uri="http://schemas.openxmlformats.org/drawingml/2006/picture">
                      <pic:pic>
                        <pic:nvPicPr>
                          <pic:cNvPr descr="01_analysis_files/figure-docx/fig-student-status-1.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Distribution of student status among participants.</w:t>
            </w:r>
          </w:p>
          <w:bookmarkEnd w:id="64"/>
        </w:tc>
      </w:tr>
    </w:tbl>
    <w:p>
      <w:pPr>
        <w:pStyle w:val="BodyText"/>
      </w:pPr>
      <w:hyperlink w:anchor="fig-student-status">
        <w:r>
          <w:rPr>
            <w:rStyle w:val="Hyperlink"/>
          </w:rPr>
          <w:t xml:space="preserve">Figure 9</w:t>
        </w:r>
      </w:hyperlink>
      <w:r>
        <w:t xml:space="preserve"> </w:t>
      </w:r>
      <w:r>
        <w:t xml:space="preserve">shows the distribution of student status among participants. The majority of participants (62.5%) were not enrolled as students at the time of data collection. This relatively low proportion of student participants should be considered when interpreting the results, as it may influence how accents are perceived in academic or educational contexts.</w:t>
      </w:r>
    </w:p>
    <w:p>
      <w:r>
        <w:br w:type="page"/>
      </w:r>
    </w:p>
    <w:p>
      <w:pPr>
        <w:pStyle w:val="SourceCode"/>
      </w:pPr>
      <w:r>
        <w:rPr>
          <w:rStyle w:val="FunctionTok"/>
        </w:rPr>
        <w:t xml:space="preserve">ggplot</w:t>
      </w:r>
      <w:r>
        <w:rPr>
          <w:rStyle w:val="NormalTok"/>
        </w:rPr>
        <w:t xml:space="preserve">(stella_data </w:t>
      </w:r>
      <w:r>
        <w:rPr>
          <w:rStyle w:val="SpecialCharTok"/>
        </w:rPr>
        <w:t xml:space="preserve">%&gt;%</w:t>
      </w:r>
      <w:r>
        <w:rPr>
          <w:rStyle w:val="NormalTok"/>
        </w:rPr>
        <w:t xml:space="preserve"> </w:t>
      </w:r>
      <w:r>
        <w:rPr>
          <w:rStyle w:val="FunctionTok"/>
        </w:rPr>
        <w:t xml:space="preserve">distinct</w:t>
      </w:r>
      <w:r>
        <w:rPr>
          <w:rStyle w:val="NormalTok"/>
        </w:rPr>
        <w:t xml:space="preserve">(ppt_id,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lessons_English, </w:t>
      </w:r>
      <w:r>
        <w:rPr>
          <w:rStyle w:val="AttributeTok"/>
        </w:rPr>
        <w:t xml:space="preserve">fill =</w:t>
      </w:r>
      <w:r>
        <w:rPr>
          <w:rStyle w:val="NormalTok"/>
        </w:rPr>
        <w:t xml:space="preserve"> </w:t>
      </w:r>
      <w:r>
        <w:rPr>
          <w:rStyle w:val="FunctionTok"/>
        </w:rPr>
        <w:t xml:space="preserve">factor</w:t>
      </w:r>
      <w:r>
        <w:rPr>
          <w:rStyle w:val="NormalTok"/>
        </w:rPr>
        <w:t xml:space="preserve">(lessons_English)))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"Years of English Lessons"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68" w:name="fig-english-lessons"/>
          <w:p>
            <w:pPr>
              <w:pStyle w:val="Compact"/>
              <w:jc w:val="center"/>
            </w:pPr>
            <w:r>
              <w:drawing>
                <wp:inline>
                  <wp:extent cx="5334000" cy="3556000"/>
                  <wp:effectExtent b="0" l="0" r="0" t="0"/>
                  <wp:docPr descr="" title="" id="66" name="Picture"/>
                  <a:graphic>
                    <a:graphicData uri="http://schemas.openxmlformats.org/drawingml/2006/picture">
                      <pic:pic>
                        <pic:nvPicPr>
                          <pic:cNvPr descr="01_analysis_files/figure-docx/fig-english-lessons-1.png" id="67" name="Picture"/>
                          <pic:cNvPicPr>
                            <a:picLocks noChangeArrowheads="1" noChangeAspect="1"/>
                          </pic:cNvPicPr>
                        </pic:nvPicPr>
                        <pic:blipFill>
                          <a:blip r:embed="rId6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Distribution of English learning duration. Most participants had between 5 and 8 years of English instruction.</w:t>
            </w:r>
          </w:p>
          <w:bookmarkEnd w:id="68"/>
        </w:tc>
      </w:tr>
    </w:tbl>
    <w:p>
      <w:pPr>
        <w:pStyle w:val="BodyText"/>
      </w:pPr>
      <w:r>
        <w:t xml:space="preserve">As shown in</w:t>
      </w:r>
      <w:r>
        <w:t xml:space="preserve"> </w:t>
      </w:r>
      <w:hyperlink w:anchor="fig-english-lessons">
        <w:r>
          <w:rPr>
            <w:rStyle w:val="Hyperlink"/>
          </w:rPr>
          <w:t xml:space="preserve">Figure 10</w:t>
        </w:r>
      </w:hyperlink>
      <w:r>
        <w:t xml:space="preserve">, participants in this study had varying levels of formal English instruction. There is a pronounced peak at 8 years of instruction, with approximately 45 participants reporting this duration, which is significantly more than any other category. While there are smaller numbers of participants with 5-7 years of instruction, the overall pattern indicates that most participants had completed substantial formal English education. This range of English learning experience may influence how participants perceive and evaluate different English accents.</w:t>
      </w:r>
    </w:p>
    <w:p>
      <w:pPr>
        <w:pStyle w:val="SourceCode"/>
      </w:pPr>
      <w:r>
        <w:rPr>
          <w:rStyle w:val="FunctionTok"/>
        </w:rPr>
        <w:t xml:space="preserve">ggplot</w:t>
      </w:r>
      <w:r>
        <w:rPr>
          <w:rStyle w:val="NormalTok"/>
        </w:rPr>
        <w:t xml:space="preserve">(stella_data </w:t>
      </w:r>
      <w:r>
        <w:rPr>
          <w:rStyle w:val="SpecialCharTok"/>
        </w:rPr>
        <w:t xml:space="preserve">%&gt;%</w:t>
      </w:r>
      <w:r>
        <w:rPr>
          <w:rStyle w:val="NormalTok"/>
        </w:rPr>
        <w:t xml:space="preserve"> </w:t>
      </w:r>
      <w:r>
        <w:rPr>
          <w:rStyle w:val="FunctionTok"/>
        </w:rPr>
        <w:t xml:space="preserve">distinct</w:t>
      </w:r>
      <w:r>
        <w:rPr>
          <w:rStyle w:val="NormalTok"/>
        </w:rPr>
        <w:t xml:space="preserve">(ppt_id,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(contact_English, </w:t>
      </w:r>
      <w:r>
        <w:rPr>
          <w:rStyle w:val="AttributeTok"/>
        </w:rPr>
        <w:t xml:space="preserve">exclude =</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(contact_English, </w:t>
      </w:r>
      <w:r>
        <w:rPr>
          <w:rStyle w:val="AttributeTok"/>
        </w:rPr>
        <w:t xml:space="preserve">exclude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na.value =</w:t>
      </w:r>
      <w:r>
        <w:rPr>
          <w:rStyle w:val="NormalTok"/>
        </w:rPr>
        <w:t xml:space="preserve"> </w:t>
      </w:r>
      <w:r>
        <w:rPr>
          <w:rStyle w:val="StringTok"/>
        </w:rPr>
        <w:t xml:space="preserve">"gray80"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"Contact Level"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my_custom_theme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2" w:name="fig-english-contact"/>
          <w:p>
            <w:pPr>
              <w:pStyle w:val="Compact"/>
              <w:jc w:val="center"/>
            </w:pPr>
            <w:r>
              <w:drawing>
                <wp:inline>
                  <wp:extent cx="5334000" cy="3556000"/>
                  <wp:effectExtent b="0" l="0" r="0" t="0"/>
                  <wp:docPr descr="" title="" id="70" name="Picture"/>
                  <a:graphic>
                    <a:graphicData uri="http://schemas.openxmlformats.org/drawingml/2006/picture">
                      <pic:pic>
                        <pic:nvPicPr>
                          <pic:cNvPr descr="01_analysis_files/figure-docx/fig-english-contact-1.png" id="71" name="Picture"/>
                          <pic:cNvPicPr>
                            <a:picLocks noChangeArrowheads="1" noChangeAspect="1"/>
                          </pic:cNvPicPr>
                        </pic:nvPicPr>
                        <pic:blipFill>
                          <a:blip r:embed="rId6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Frequency of English contact. Most participants reported moderate levels of regular contact with English.</w:t>
            </w:r>
          </w:p>
          <w:bookmarkEnd w:id="72"/>
        </w:tc>
      </w:tr>
    </w:tbl>
    <w:p>
      <w:pPr>
        <w:pStyle w:val="BodyText"/>
      </w:pPr>
      <w:hyperlink w:anchor="fig-english-contact">
        <w:r>
          <w:rPr>
            <w:rStyle w:val="Hyperlink"/>
          </w:rPr>
          <w:t xml:space="preserve">Figure 11</w:t>
        </w:r>
      </w:hyperlink>
      <w:r>
        <w:t xml:space="preserve"> </w:t>
      </w:r>
      <w:r>
        <w:t xml:space="preserve">displays the distribution of participants’ reported frequency of contact with English. Contrary to what might be expected, the largest group of participants (approximately 35) reported the lowest level of contact, while the second largest group (approximately 24) reported high contact (level 4). Moderate levels of contact (2-3) were reported by fewer participants. This somewhat polarized pattern of language contact may have important implications for interpreting the results, as participants’ varying degrees of familiarity with English could influence their perception of and attitudes toward different English accents, potentially affecting their ratings of status and solidarity dimensions.</w:t>
      </w:r>
    </w:p>
    <w:p>
      <w:r>
        <w:br w:type="page"/>
      </w:r>
    </w:p>
    <w:bookmarkEnd w:id="73"/>
    <w:bookmarkEnd w:id="74"/>
    <w:bookmarkEnd w:id="75"/>
    <w:bookmarkStart w:id="76" w:name="conclusion"/>
    <w:p>
      <w:pPr>
        <w:pStyle w:val="Heading1"/>
      </w:pPr>
      <w:r>
        <w:t xml:space="preserve">3. Conclusion</w:t>
      </w:r>
    </w:p>
    <w:p>
      <w:pPr>
        <w:pStyle w:val="FirstParagraph"/>
      </w:pPr>
      <w:r>
        <w:t xml:space="preserve">The results of this study provide insights into how accent types, speaker gender, and country of origin influence perception in terms of status and solidarity dimensions.</w:t>
      </w:r>
    </w:p>
    <w:p>
      <w:pPr>
        <w:pStyle w:val="BodyText"/>
      </w:pPr>
      <w:r>
        <w:t xml:space="preserve">For the first hypothesis, I found that standard accents were indeed rated higher on status measures (as shown in</w:t>
      </w:r>
      <w:r>
        <w:t xml:space="preserve"> </w:t>
      </w:r>
      <w:hyperlink w:anchor="fig-status-by-accent">
        <w:r>
          <w:rPr>
            <w:rStyle w:val="Hyperlink"/>
          </w:rPr>
          <w:t xml:space="preserve">Figure 1</w:t>
        </w:r>
      </w:hyperlink>
      <w:r>
        <w:t xml:space="preserve">). However, contrary to my expectations, standard and non-standard accents received identical solidarity ratings, suggesting that accent standardness may not impact perceptions of friendliness or approachability in the sample.</w:t>
      </w:r>
    </w:p>
    <w:p>
      <w:pPr>
        <w:pStyle w:val="BodyText"/>
      </w:pPr>
      <w:r>
        <w:t xml:space="preserve">Regarding the second hypothesis, I observed gender differences in both status and solidarity ratings, as illustrated in</w:t>
      </w:r>
      <w:r>
        <w:t xml:space="preserve"> </w:t>
      </w:r>
      <w:hyperlink w:anchor="fig-status-by-gender">
        <w:r>
          <w:rPr>
            <w:rStyle w:val="Hyperlink"/>
          </w:rPr>
          <w:t xml:space="preserve">Figure 3</w:t>
        </w:r>
      </w:hyperlink>
      <w:r>
        <w:t xml:space="preserve"> </w:t>
      </w:r>
      <w:r>
        <w:t xml:space="preserve">and</w:t>
      </w:r>
      <w:r>
        <w:t xml:space="preserve"> </w:t>
      </w:r>
      <w:hyperlink w:anchor="fig-solidarity-by-gender">
        <w:r>
          <w:rPr>
            <w:rStyle w:val="Hyperlink"/>
          </w:rPr>
          <w:t xml:space="preserve">Figure 4</w:t>
        </w:r>
      </w:hyperlink>
      <w:r>
        <w:t xml:space="preserve">. This indicates that speaker gender is an important factor in how speech is evaluated, potentially reflecting broader social attitudes and expectations associated with gender.</w:t>
      </w:r>
    </w:p>
    <w:p>
      <w:pPr>
        <w:pStyle w:val="BodyText"/>
      </w:pPr>
      <w:r>
        <w:t xml:space="preserve">For the third hypothesis comparing UK (RP) and US (GA) accents, both</w:t>
      </w:r>
      <w:r>
        <w:t xml:space="preserve"> </w:t>
      </w:r>
      <w:hyperlink w:anchor="fig-status-by-country">
        <w:r>
          <w:rPr>
            <w:rStyle w:val="Hyperlink"/>
          </w:rPr>
          <w:t xml:space="preserve">Figure 5</w:t>
        </w:r>
      </w:hyperlink>
      <w:r>
        <w:t xml:space="preserve"> </w:t>
      </w:r>
      <w:r>
        <w:t xml:space="preserve">and</w:t>
      </w:r>
      <w:r>
        <w:t xml:space="preserve"> </w:t>
      </w:r>
      <w:hyperlink w:anchor="fig-solidarity-by-country">
        <w:r>
          <w:rPr>
            <w:rStyle w:val="Hyperlink"/>
          </w:rPr>
          <w:t xml:space="preserve">Figure 6</w:t>
        </w:r>
      </w:hyperlink>
      <w:r>
        <w:t xml:space="preserve"> </w:t>
      </w:r>
      <w:r>
        <w:t xml:space="preserve">clearly demonstrate that UK accents were rated higher in both status and solidarity dimensions. This consistent pattern suggests that UK accents were perceived more positively overall, carrying both more prestige and greater social appeal among the participants.</w:t>
      </w:r>
    </w:p>
    <w:p>
      <w:pPr>
        <w:pStyle w:val="BodyText"/>
      </w:pPr>
      <w:r>
        <w:t xml:space="preserve">The demographic characteristics of the participants provide important context for interpreting these results. The majority were young adults (between 20 and 26 years old) and predominantly male (approximately two-thirds). Most participants were not students, which may influence their language attitudes compared to those in academic environments. Additionally, participants typically had substantial formal English instruction (with a pronounced peak at 8 years) but showed a polarized pattern of English contact frequency, with most reporting either very low or relatively high contact rather than moderate levels. These demographic factors likely influenced how participants perceived and evaluated the different English accent varieties in this study.</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69" Target="media/rId69.png" /><Relationship Type="http://schemas.openxmlformats.org/officeDocument/2006/relationships/image" Id="rId65" Target="media/rId65.png" /><Relationship Type="http://schemas.openxmlformats.org/officeDocument/2006/relationships/image" Id="rId57" Target="media/rId57.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Accent Perception Analysis</dc:title>
  <dc:creator>Ersin Gultekin</dc:creator>
  <cp:keywords/>
  <dcterms:created xsi:type="dcterms:W3CDTF">2025-11-24T16:04:08Z</dcterms:created>
  <dcterms:modified xsi:type="dcterms:W3CDTF">2025-11-24T16:04:08Z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2025-02-28</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1.5</vt:lpwstr>
  </property>
  <property fmtid="{D5CDD505-2E9C-101B-9397-08002B2CF9AE}" pid="13" name="subtitle">
    <vt:lpwstr>Stella Survey (Status &amp; Solidarity Ratings)</vt:lpwstr>
  </property>
  <property fmtid="{D5CDD505-2E9C-101B-9397-08002B2CF9AE}" pid="14" name="toc-title">
    <vt:lpwstr>Table of contents</vt:lpwstr>
  </property>
</Properties>
</file>