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single" w:color="1B2A47" w:sz="12"/>
              <w:right w:val="none" w:color="FFFFFF" w:sz="0"/>
            </w:tcBorders>
            <w:shd w:fill="1B2A47" w:val="clear"/>
            <w:tcMar>
              <w:top w:type="dxa" w:w="80"/>
              <w:left w:type="dxa" w:w="0"/>
              <w:bottom w:type="dxa" w:w="80"/>
              <w:right w:type="dxa" w:w="0"/>
            </w:tcMar>
          </w:tcPr>
          <w:p>
            <w:r>
              <w:t xml:space="preserve"/>
            </w:r>
          </w:p>
        </w:tc>
      </w:tr>
    </w:tbl>
    <w:p>
      <w:pPr>
        <w:pStyle w:val="BodyText"/>
        <w:spacing w:after="80"/>
      </w:pPr>
      <w:r>
        <w:t xml:space="preserve"/>
      </w:r>
    </w:p>
    <w:p>
      <w:pPr>
        <w:pStyle w:val="DocTitle"/>
      </w:pPr>
      <w:r>
        <w:t xml:space="preserve">Guide to Writing L8-Ready</w:t>
      </w:r>
    </w:p>
    <w:p>
      <w:pPr>
        <w:pStyle w:val="DocTitle"/>
      </w:pPr>
      <w:r>
        <w:t xml:space="preserve">Technical Architecture Documentation</w:t>
      </w:r>
    </w:p>
    <w:p>
      <w:pPr>
        <w:pStyle w:val="BodyText"/>
        <w:spacing w:after="80"/>
      </w:pPr>
      <w:r>
        <w:t xml:space="preserve"/>
      </w:r>
    </w:p>
    <w:p>
      <w:pPr>
        <w:pStyle w:val="DocSubtitle"/>
      </w:pPr>
      <w:r>
        <w:t xml:space="preserve">For Nick Matthews — from George Masters, June 2026</w:t>
      </w:r>
    </w:p>
    <w:p>
      <w:pPr>
        <w:pStyle w:val="Heading1"/>
      </w:pPr>
      <w:r>
        <w:t xml:space="preserve">What This Guide Is</w:t>
      </w:r>
    </w:p>
    <w:p>
      <w:pPr>
        <w:pStyle w:val="BodyText"/>
      </w:pPr>
      <w:r>
        <w:t xml:space="preserve">This is a practical description of what makes technical architecture documentation excellent at Amazon — the kind of work that earns respect from L8+ technical leaders who review dozens of design documents per quarter and can spot thin thinking within two paragraphs.</w:t>
      </w:r>
    </w:p>
    <w:p>
      <w:pPr>
        <w:pStyle w:val="BodyText"/>
      </w:pPr>
      <w:r>
        <w:t xml:space="preserve">This is not a template. Templates produce documents that look right but don’t think right. This is a set of principles, structural expectations, and quality tests that should guide how you approach architecture documentation — whether it’s a 2-page design decision or a 9-section architecture series like the one we’ve already built for Skywalker.</w:t>
      </w:r>
    </w:p>
    <w:p>
      <w:pPr>
        <w:pStyle w:val="Heading1"/>
      </w:pPr>
      <w:r>
        <w:t xml:space="preserve">The Foundational Principle: Writing Is Thinking</w:t>
      </w:r>
    </w:p>
    <w:p>
      <w:pPr>
        <w:pStyle w:val="BodyText"/>
      </w:pPr>
      <w:r>
        <w:t xml:space="preserve">At Amazon, the document is the engineering artifact. It is not a summary of decisions made elsewhere. It is not a presentation script in prose form. It is the place where the thinking actually happens — where ambiguity is discovered, where trade-offs are resolved, and where the architecture becomes real enough that someone else could build to it without asking you clarifying questions on Slack.</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sz w:val="22"/>
                <w:szCs w:val="22"/>
              </w:rPr>
              <w:t xml:space="preserve">An L8+ reader’s first question is never “does this sound smart?” It is: </w:t>
            </w:r>
            <w:r>
              <w:rPr>
                <w:b/>
                <w:bCs/>
                <w:color w:val="1B2A47"/>
                <w:sz w:val="22"/>
                <w:szCs w:val="22"/>
              </w:rPr>
              <w:t xml:space="preserve">“Has this person actually thought through the hard parts, or are they routing around them with confident-sounding language?”</w:t>
            </w:r>
          </w:p>
        </w:tc>
      </w:tr>
    </w:tbl>
    <w:p>
      <w:pPr>
        <w:pStyle w:val="BodyText"/>
        <w:spacing w:after="80"/>
      </w:pPr>
      <w:r>
        <w:t xml:space="preserve"/>
      </w:r>
    </w:p>
    <w:p>
      <w:pPr>
        <w:pStyle w:val="BodyText"/>
      </w:pPr>
      <w:r>
        <w:t xml:space="preserve">The single most common failure mode in architecture documentation is premature confidence — stating decisions without exposing the reasoning, the alternatives, or the conditions under which the decision would be wrong.</w:t>
      </w:r>
    </w:p>
    <w:p>
      <w:pPr>
        <w:pStyle w:val="Heading1"/>
      </w:pPr>
      <w:r>
        <w:t xml:space="preserve">Structural Elements That L8+ Readers Expect</w:t>
      </w:r>
    </w:p>
    <w:p>
      <w:pPr>
        <w:pStyle w:val="BodyText"/>
      </w:pPr>
      <w:r>
        <w:t xml:space="preserve">The following ten structural elements represent the categories of content that senior technical leaders will look for. Missing any of them is a signal that the document is incomplete. The quality of each element is a signal about the depth of engineering thinking behind it.</w:t>
      </w:r>
    </w:p>
    <w:p>
      <w:pPr>
        <w:pStyle w:val="Heading2"/>
      </w:pPr>
      <w:r>
        <w:t xml:space="preserve">1. Tenets (Prioritized Principles)</w:t>
      </w:r>
    </w:p>
    <w:p>
      <w:pPr>
        <w:pStyle w:val="BodyText"/>
      </w:pPr>
      <w:r>
        <w:t xml:space="preserve">Open with 3–5 tenets that resolve trade-offs. Tenets are not values statements (“we believe in quality”). They are decision-making tools that tell the reader what you will sacrifice when two good things conflict.</w:t>
      </w:r>
    </w:p>
    <w:p>
      <w:pPr>
        <w:pStyle w:val="BodyText"/>
      </w:pPr>
      <w:r>
        <w:rPr>
          <w:b/>
          <w:bCs/>
          <w:sz w:val="22"/>
          <w:szCs w:val="22"/>
        </w:rPr>
        <w:t xml:space="preserve">Format: </w:t>
      </w:r>
      <w:r>
        <w:rPr>
          <w:i/>
          <w:iCs/>
          <w:sz w:val="22"/>
          <w:szCs w:val="22"/>
        </w:rPr>
        <w:t xml:space="preserve">“We prefer X over Y when they conflict.”</w:t>
      </w:r>
    </w:p>
    <w:p>
      <w:pPr>
        <w:pStyle w:val="BodyText"/>
        <w:spacing w:after="80"/>
      </w:pPr>
      <w:r>
        <w:t xml:space="preserve"/>
      </w:r>
    </w:p>
    <w:p>
      <w:pPr>
        <w:pStyle w:val="BodyText"/>
      </w:pPr>
      <w:r>
        <w:t xml:space="preserve">Example tenets from a Skywalker architecture section:</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spacing w:after="60"/>
            </w:pPr>
            <w:r>
              <w:rPr>
                <w:b/>
                <w:bCs/>
                <w:color w:val="4A6FA5"/>
                <w:sz w:val="20"/>
                <w:szCs w:val="20"/>
              </w:rPr>
              <w:t xml:space="preserve">Skywalker Architecture — Example Tenets</w:t>
            </w:r>
          </w:p>
          <w:p>
            <w:pPr>
              <w:pStyle w:val="CalloutText"/>
              <w:numPr>
                <w:ilvl w:val="0"/>
                <w:numId w:val="2"/>
              </w:numPr>
            </w:pPr>
            <w:r>
              <w:rPr>
                <w:color w:val="2D3748"/>
                <w:sz w:val="21"/>
                <w:szCs w:val="21"/>
              </w:rPr>
              <w:t xml:space="preserve">We prefer controlled accuracy over broad coverage when they conflict.</w:t>
            </w:r>
          </w:p>
          <w:p>
            <w:pPr>
              <w:pStyle w:val="CalloutText"/>
              <w:numPr>
                <w:ilvl w:val="0"/>
                <w:numId w:val="2"/>
              </w:numPr>
            </w:pPr>
            <w:r>
              <w:rPr>
                <w:color w:val="2D3748"/>
                <w:sz w:val="21"/>
                <w:szCs w:val="21"/>
              </w:rPr>
              <w:t xml:space="preserve">We prefer backend honesty (abstention) over always-answer confidence when evidence is weak.</w:t>
            </w:r>
          </w:p>
          <w:p>
            <w:pPr>
              <w:pStyle w:val="CalloutText"/>
              <w:numPr>
                <w:ilvl w:val="0"/>
                <w:numId w:val="2"/>
              </w:numPr>
            </w:pPr>
            <w:r>
              <w:rPr>
                <w:color w:val="2D3748"/>
                <w:sz w:val="21"/>
                <w:szCs w:val="21"/>
              </w:rPr>
              <w:t xml:space="preserve">We prefer simplicity of the owned corpus over sophisticated incremental machinery, given the corpus is small.</w:t>
            </w:r>
          </w:p>
        </w:tc>
      </w:tr>
    </w:tbl>
    <w:p>
      <w:pPr>
        <w:pStyle w:val="BodyText"/>
        <w:spacing w:after="80"/>
      </w:pPr>
      <w:r>
        <w:t xml:space="preserve"/>
      </w:r>
    </w:p>
    <w:p>
      <w:pPr>
        <w:pStyle w:val="BodyText"/>
      </w:pPr>
      <w:r>
        <w:t xml:space="preserve">Tenets prove that you’ve identified the actual tensions in your system. An L8 will read your tenets and know immediately whether you understand your own design.</w:t>
      </w:r>
    </w:p>
    <w:p>
      <w:pPr>
        <w:pStyle w:val="Heading2"/>
      </w:pPr>
      <w:r>
        <w:t xml:space="preserve">2. System Boundary (What This Is, What This Is Not)</w:t>
      </w:r>
    </w:p>
    <w:p>
      <w:pPr>
        <w:pStyle w:val="BodyText"/>
      </w:pPr>
      <w:r>
        <w:t xml:space="preserve">State the system boundary with operational precision. An L8+ reader must know within the first page:</w:t>
      </w:r>
    </w:p>
    <w:p>
      <w:pPr>
        <w:pStyle w:val="BodyText"/>
        <w:numPr>
          <w:ilvl w:val="0"/>
          <w:numId w:val="3"/>
        </w:numPr>
      </w:pPr>
      <w:r>
        <w:t xml:space="preserve">What the system is (stated positively)</w:t>
      </w:r>
    </w:p>
    <w:p>
      <w:pPr>
        <w:pStyle w:val="BodyText"/>
        <w:numPr>
          <w:ilvl w:val="0"/>
          <w:numId w:val="3"/>
        </w:numPr>
      </w:pPr>
      <w:r>
        <w:t xml:space="preserve">What the system is not (stated explicitly — the “non-goals that matter”)</w:t>
      </w:r>
    </w:p>
    <w:p>
      <w:pPr>
        <w:pStyle w:val="BodyText"/>
        <w:numPr>
          <w:ilvl w:val="0"/>
          <w:numId w:val="3"/>
        </w:numPr>
      </w:pPr>
      <w:r>
        <w:t xml:space="preserve">Where ownership boundaries fall</w:t>
      </w:r>
    </w:p>
    <w:p>
      <w:pPr>
        <w:pStyle w:val="BodyText"/>
        <w:numPr>
          <w:ilvl w:val="0"/>
          <w:numId w:val="3"/>
        </w:numPr>
      </w:pPr>
      <w:r>
        <w:t xml:space="preserve">What adjacent systems depend on these boundaries</w:t>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E07B0B" w:sz="18"/>
              <w:bottom w:val="none" w:color="FFFFFF" w:sz="0"/>
              <w:right w:val="none" w:color="FFFFFF" w:sz="0"/>
            </w:tcBorders>
            <w:shd w:fill="FFFAF0" w:val="clear"/>
            <w:tcMar>
              <w:top w:type="dxa" w:w="140"/>
              <w:left w:type="dxa" w:w="280"/>
              <w:bottom w:type="dxa" w:w="140"/>
              <w:right w:type="dxa" w:w="140"/>
            </w:tcMar>
          </w:tcPr>
          <w:p>
            <w:pPr>
              <w:pStyle w:val="CalloutText"/>
            </w:pPr>
            <w:r>
              <w:rPr>
                <w:b/>
                <w:bCs/>
                <w:color w:val="E07B0B"/>
                <w:sz w:val="21"/>
                <w:szCs w:val="21"/>
              </w:rPr>
              <w:t xml:space="preserve">Quality Test: </w:t>
            </w:r>
            <w:r>
              <w:rPr>
                <w:color w:val="4A3000"/>
                <w:sz w:val="21"/>
                <w:szCs w:val="21"/>
              </w:rPr>
              <w:t xml:space="preserve">Could someone read just this section and accurately predict where to file a bug — against your system, or against a neighbor?</w:t>
            </w:r>
          </w:p>
        </w:tc>
      </w:tr>
    </w:tbl>
    <w:p>
      <w:pPr>
        <w:pStyle w:val="BodyText"/>
        <w:spacing w:after="80"/>
      </w:pPr>
      <w:r>
        <w:t xml:space="preserve"/>
      </w:r>
    </w:p>
    <w:p>
      <w:pPr>
        <w:pStyle w:val="Heading2"/>
      </w:pPr>
      <w:r>
        <w:t xml:space="preserve">3. Decisions Stated as Decisions</w:t>
      </w:r>
    </w:p>
    <w:p>
      <w:pPr>
        <w:pStyle w:val="BodyText"/>
      </w:pPr>
      <w:r>
        <w:t xml:space="preserve">Every architecture contains load-bearing decisions. They must be surfaced explicitly — not buried in implementation prose where they’re invisible under pressure.</w:t>
      </w:r>
    </w:p>
    <w:p>
      <w:pPr>
        <w:pStyle w:val="BodyText"/>
      </w:pPr>
      <w:r>
        <w:t xml:space="preserve">For each major decision, state:</w:t>
      </w:r>
    </w:p>
    <w:p>
      <w:pPr>
        <w:pStyle w:val="BodyText"/>
        <w:numPr>
          <w:ilvl w:val="0"/>
          <w:numId w:val="3"/>
        </w:numPr>
      </w:pPr>
      <w:r>
        <w:rPr>
          <w:b/>
          <w:bCs/>
          <w:sz w:val="22"/>
          <w:szCs w:val="22"/>
        </w:rPr>
        <w:t xml:space="preserve">The decision itself </w:t>
      </w:r>
      <w:r>
        <w:rPr>
          <w:sz w:val="22"/>
          <w:szCs w:val="22"/>
        </w:rPr>
        <w:t xml:space="preserve">— in one sentence</w:t>
      </w:r>
    </w:p>
    <w:p>
      <w:pPr>
        <w:pStyle w:val="BodyText"/>
        <w:numPr>
          <w:ilvl w:val="0"/>
          <w:numId w:val="3"/>
        </w:numPr>
      </w:pPr>
      <w:r>
        <w:rPr>
          <w:b/>
          <w:bCs/>
          <w:sz w:val="22"/>
          <w:szCs w:val="22"/>
        </w:rPr>
        <w:t xml:space="preserve">The rationale </w:t>
      </w:r>
      <w:r>
        <w:rPr>
          <w:sz w:val="22"/>
          <w:szCs w:val="22"/>
        </w:rPr>
        <w:t xml:space="preserve">— why this and not the alternatives</w:t>
      </w:r>
    </w:p>
    <w:p>
      <w:pPr>
        <w:pStyle w:val="BodyText"/>
        <w:numPr>
          <w:ilvl w:val="0"/>
          <w:numId w:val="3"/>
        </w:numPr>
      </w:pPr>
      <w:r>
        <w:rPr>
          <w:b/>
          <w:bCs/>
          <w:sz w:val="22"/>
          <w:szCs w:val="22"/>
        </w:rPr>
        <w:t xml:space="preserve">What it binds </w:t>
      </w:r>
      <w:r>
        <w:rPr>
          <w:sz w:val="22"/>
          <w:szCs w:val="22"/>
        </w:rPr>
        <w:t xml:space="preserve">— which other parts of the system depend on this being true</w:t>
      </w:r>
    </w:p>
    <w:p>
      <w:pPr>
        <w:pStyle w:val="BodyText"/>
        <w:numPr>
          <w:ilvl w:val="0"/>
          <w:numId w:val="3"/>
        </w:numPr>
      </w:pPr>
      <w:r>
        <w:rPr>
          <w:b/>
          <w:bCs/>
          <w:sz w:val="22"/>
          <w:szCs w:val="22"/>
        </w:rPr>
        <w:t xml:space="preserve">What would reopen it </w:t>
      </w:r>
      <w:r>
        <w:rPr>
          <w:sz w:val="22"/>
          <w:szCs w:val="22"/>
        </w:rPr>
        <w:t xml:space="preserve">— the specific evidence or condition that would justify changing it</w:t>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b/>
                <w:bCs/>
                <w:color w:val="1E3A6B"/>
                <w:sz w:val="21"/>
                <w:szCs w:val="21"/>
              </w:rPr>
              <w:t xml:space="preserve">Why this matters to L8+ readers: </w:t>
            </w:r>
            <w:r>
              <w:rPr>
                <w:color w:val="2D3748"/>
                <w:sz w:val="21"/>
                <w:szCs w:val="21"/>
              </w:rPr>
              <w:t xml:space="preserve">Senior leaders know that the most dangerous architecture failures come from decisions that were made but never recorded, then silently violated under implementation pressure. A decision log is not bureaucracy — it’s engineering integrity.</w:t>
            </w:r>
          </w:p>
        </w:tc>
      </w:tr>
    </w:tbl>
    <w:p>
      <w:pPr>
        <w:pStyle w:val="BodyText"/>
        <w:spacing w:after="80"/>
      </w:pPr>
      <w:r>
        <w:t xml:space="preserve"/>
      </w:r>
    </w:p>
    <w:p>
      <w:pPr>
        <w:pStyle w:val="Heading2"/>
      </w:pPr>
      <w:r>
        <w:t xml:space="preserve">4. Alternatives Considered</w:t>
      </w:r>
    </w:p>
    <w:p>
      <w:pPr>
        <w:pStyle w:val="BodyText"/>
      </w:pPr>
      <w:r>
        <w:t xml:space="preserve">For every significant decision, document what you didn’t choose and why. This is where most junior engineers’ documentation fails. They state what they chose. They don’t prove they considered the space.</w:t>
      </w:r>
    </w:p>
    <w:p>
      <w:pPr>
        <w:pStyle w:val="BodyText"/>
      </w:pPr>
      <w:r>
        <w:t xml:space="preserve">An L8 reader encountering a decision without alternatives will ask: “Did they choose this because it’s right, or because it’s the only thing they evaluated?”</w:t>
      </w:r>
    </w:p>
    <w:p>
      <w:pPr>
        <w:pStyle w:val="BodyText"/>
      </w:pPr>
      <w:r>
        <w:t xml:space="preserve">For each alternative considered, document:</w:t>
      </w:r>
    </w:p>
    <w:p>
      <w:pPr>
        <w:pStyle w:val="BodyText"/>
        <w:numPr>
          <w:ilvl w:val="0"/>
          <w:numId w:val="3"/>
        </w:numPr>
      </w:pPr>
      <w:r>
        <w:t xml:space="preserve">What the alternative is</w:t>
      </w:r>
    </w:p>
    <w:p>
      <w:pPr>
        <w:pStyle w:val="BodyText"/>
        <w:numPr>
          <w:ilvl w:val="0"/>
          <w:numId w:val="3"/>
        </w:numPr>
      </w:pPr>
      <w:r>
        <w:rPr>
          <w:b/>
          <w:bCs/>
          <w:sz w:val="22"/>
          <w:szCs w:val="22"/>
        </w:rPr>
        <w:t xml:space="preserve">Why it’s attractive </w:t>
      </w:r>
      <w:r>
        <w:rPr>
          <w:sz w:val="22"/>
          <w:szCs w:val="22"/>
        </w:rPr>
        <w:t xml:space="preserve">(be honest — if it weren’t attractive, it wouldn’t be a real alternative)</w:t>
      </w:r>
    </w:p>
    <w:p>
      <w:pPr>
        <w:pStyle w:val="BodyText"/>
        <w:numPr>
          <w:ilvl w:val="0"/>
          <w:numId w:val="3"/>
        </w:numPr>
      </w:pPr>
      <w:r>
        <w:rPr>
          <w:b/>
          <w:bCs/>
          <w:sz w:val="22"/>
          <w:szCs w:val="22"/>
        </w:rPr>
        <w:t xml:space="preserve">Why it’s rejected or deferred </w:t>
      </w:r>
      <w:r>
        <w:rPr>
          <w:sz w:val="22"/>
          <w:szCs w:val="22"/>
        </w:rPr>
        <w:t xml:space="preserve">(be specific — not “it didn’t fit” but “it violates tenet 2 because X”)</w:t>
      </w:r>
    </w:p>
    <w:p>
      <w:pPr>
        <w:pStyle w:val="BodyText"/>
        <w:spacing w:after="80"/>
      </w:pPr>
      <w:r>
        <w:t xml:space="preserve"/>
      </w:r>
    </w:p>
    <w:p>
      <w:pPr>
        <w:pStyle w:val="Heading2"/>
      </w:pPr>
      <w:r>
        <w:t xml:space="preserve">5. Inputs, Outputs, and Contracts</w:t>
      </w:r>
    </w:p>
    <w:p>
      <w:pPr>
        <w:pStyle w:val="BodyText"/>
      </w:pPr>
      <w:r>
        <w:t xml:space="preserve">Every subsystem section should clearly state:</w:t>
      </w:r>
    </w:p>
    <w:p>
      <w:pPr>
        <w:pStyle w:val="BodyText"/>
        <w:numPr>
          <w:ilvl w:val="0"/>
          <w:numId w:val="3"/>
        </w:numPr>
      </w:pPr>
      <w:r>
        <w:rPr>
          <w:b/>
          <w:bCs/>
          <w:sz w:val="22"/>
          <w:szCs w:val="22"/>
        </w:rPr>
        <w:t xml:space="preserve">Inputs: </w:t>
      </w:r>
      <w:r>
        <w:rPr>
          <w:sz w:val="22"/>
          <w:szCs w:val="22"/>
        </w:rPr>
        <w:t xml:space="preserve">What this subsystem receives, from whom, in what shape</w:t>
      </w:r>
    </w:p>
    <w:p>
      <w:pPr>
        <w:pStyle w:val="BodyText"/>
        <w:numPr>
          <w:ilvl w:val="0"/>
          <w:numId w:val="3"/>
        </w:numPr>
      </w:pPr>
      <w:r>
        <w:rPr>
          <w:b/>
          <w:bCs/>
          <w:sz w:val="22"/>
          <w:szCs w:val="22"/>
        </w:rPr>
        <w:t xml:space="preserve">Outputs: </w:t>
      </w:r>
      <w:r>
        <w:rPr>
          <w:sz w:val="22"/>
          <w:szCs w:val="22"/>
        </w:rPr>
        <w:t xml:space="preserve">What this subsystem produces, for whom, in what shape</w:t>
      </w:r>
    </w:p>
    <w:p>
      <w:pPr>
        <w:pStyle w:val="BodyText"/>
        <w:numPr>
          <w:ilvl w:val="0"/>
          <w:numId w:val="3"/>
        </w:numPr>
      </w:pPr>
      <w:r>
        <w:rPr>
          <w:b/>
          <w:bCs/>
          <w:sz w:val="22"/>
          <w:szCs w:val="22"/>
        </w:rPr>
        <w:t xml:space="preserve">Contracts: </w:t>
      </w:r>
      <w:r>
        <w:rPr>
          <w:sz w:val="22"/>
          <w:szCs w:val="22"/>
        </w:rPr>
        <w:t xml:space="preserve">The binding agreements between this subsystem and its neighbors — including the failure contract (what happens when this subsystem cannot produce its normal output)</w:t>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E07B0B" w:sz="18"/>
              <w:bottom w:val="none" w:color="FFFFFF" w:sz="0"/>
              <w:right w:val="none" w:color="FFFFFF" w:sz="0"/>
            </w:tcBorders>
            <w:shd w:fill="FFFAF0" w:val="clear"/>
            <w:tcMar>
              <w:top w:type="dxa" w:w="140"/>
              <w:left w:type="dxa" w:w="280"/>
              <w:bottom w:type="dxa" w:w="140"/>
              <w:right w:type="dxa" w:w="140"/>
            </w:tcMar>
          </w:tcPr>
          <w:p>
            <w:pPr>
              <w:pStyle w:val="CalloutText"/>
            </w:pPr>
            <w:r>
              <w:rPr>
                <w:b/>
                <w:bCs/>
                <w:color w:val="E07B0B"/>
                <w:sz w:val="21"/>
                <w:szCs w:val="21"/>
              </w:rPr>
              <w:t xml:space="preserve">Quality Test: </w:t>
            </w:r>
            <w:r>
              <w:rPr>
                <w:color w:val="4A3000"/>
                <w:sz w:val="21"/>
                <w:szCs w:val="21"/>
              </w:rPr>
              <w:t xml:space="preserve">Could another team implement against your contracts without access to your source code or your Slack channel?</w:t>
            </w:r>
          </w:p>
        </w:tc>
      </w:tr>
    </w:tbl>
    <w:p>
      <w:pPr>
        <w:pStyle w:val="BodyText"/>
        <w:spacing w:after="80"/>
      </w:pPr>
      <w:r>
        <w:t xml:space="preserve"/>
      </w:r>
    </w:p>
    <w:p>
      <w:pPr>
        <w:pStyle w:val="Heading2"/>
      </w:pPr>
      <w:r>
        <w:t xml:space="preserve">6. End-to-End Data Flow</w:t>
      </w:r>
    </w:p>
    <w:p>
      <w:pPr>
        <w:pStyle w:val="BodyText"/>
      </w:pPr>
      <w:r>
        <w:t xml:space="preserve">Walk through the complete request lifecycle from entry to exit. Not in abstract — with the actual services, the actual sequence, the actual branching conditions, the actual failure paths.</w:t>
      </w:r>
    </w:p>
    <w:p>
      <w:pPr>
        <w:pStyle w:val="BodyText"/>
      </w:pPr>
      <w:r>
        <w:t xml:space="preserve">This is the section where L8+ readers spend the most time. It is where thin thinking becomes visible, because you cannot walk through a real flow without encountering the hard questions.</w:t>
      </w:r>
    </w:p>
    <w:p>
      <w:pPr>
        <w:pStyle w:val="Heading2"/>
      </w:pPr>
      <w:r>
        <w:t xml:space="preserve">7. Failure Behavior and Abstain Behavior</w:t>
      </w:r>
    </w:p>
    <w:p>
      <w:pPr>
        <w:pStyle w:val="BodyText"/>
      </w:pPr>
      <w:r>
        <w:t xml:space="preserve">For each subsystem, define:</w:t>
      </w:r>
    </w:p>
    <w:p>
      <w:pPr>
        <w:pStyle w:val="BodyText"/>
        <w:numPr>
          <w:ilvl w:val="0"/>
          <w:numId w:val="3"/>
        </w:numPr>
      </w:pPr>
      <w:r>
        <w:t xml:space="preserve">How it fails (not “gracefully” — specifically)</w:t>
      </w:r>
    </w:p>
    <w:p>
      <w:pPr>
        <w:pStyle w:val="BodyText"/>
        <w:numPr>
          <w:ilvl w:val="0"/>
          <w:numId w:val="3"/>
        </w:numPr>
      </w:pPr>
      <w:r>
        <w:t xml:space="preserve">What the upstream caller sees when it fails</w:t>
      </w:r>
    </w:p>
    <w:p>
      <w:pPr>
        <w:pStyle w:val="BodyText"/>
        <w:numPr>
          <w:ilvl w:val="0"/>
          <w:numId w:val="3"/>
        </w:numPr>
      </w:pPr>
      <w:r>
        <w:t xml:space="preserve">Whether it fails open (passes something through) or fails closed (stops the request)</w:t>
      </w:r>
    </w:p>
    <w:p>
      <w:pPr>
        <w:pStyle w:val="BodyText"/>
        <w:numPr>
          <w:ilvl w:val="0"/>
          <w:numId w:val="3"/>
        </w:numPr>
      </w:pPr>
      <w:r>
        <w:t xml:space="preserve">What the operational signal is (alarms, metrics, logs)</w:t>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b/>
                <w:bCs/>
                <w:color w:val="1E3A6B"/>
                <w:sz w:val="21"/>
                <w:szCs w:val="21"/>
              </w:rPr>
              <w:t xml:space="preserve">Critical Amazon expectation: </w:t>
            </w:r>
            <w:r>
              <w:rPr>
                <w:color w:val="2D3748"/>
                <w:sz w:val="21"/>
                <w:szCs w:val="21"/>
              </w:rPr>
              <w:t xml:space="preserve">Define what the system does when it cannot do its job — not just when it succeeds. Senior leaders who have lived through COEs know that the quality of a system is defined by its failure behavior more than its success behavior.</w:t>
            </w:r>
          </w:p>
        </w:tc>
      </w:tr>
    </w:tbl>
    <w:p>
      <w:pPr>
        <w:pStyle w:val="BodyText"/>
        <w:spacing w:after="80"/>
      </w:pPr>
      <w:r>
        <w:t xml:space="preserve"/>
      </w:r>
    </w:p>
    <w:p>
      <w:pPr>
        <w:pStyle w:val="Heading2"/>
      </w:pPr>
      <w:r>
        <w:t xml:space="preserve">8. Operational Readiness</w:t>
      </w:r>
    </w:p>
    <w:p>
      <w:pPr>
        <w:pStyle w:val="BodyText"/>
      </w:pPr>
      <w:r>
        <w:t xml:space="preserve">Architecture that cannot be operated is architecture that will fail in production. L8+ readers expect:</w:t>
      </w:r>
    </w:p>
    <w:p>
      <w:pPr>
        <w:pStyle w:val="BodyText"/>
        <w:numPr>
          <w:ilvl w:val="0"/>
          <w:numId w:val="3"/>
        </w:numPr>
      </w:pPr>
      <w:r>
        <w:rPr>
          <w:b/>
          <w:bCs/>
          <w:sz w:val="22"/>
          <w:szCs w:val="22"/>
        </w:rPr>
        <w:t xml:space="preserve">Monitoring and alarms </w:t>
      </w:r>
      <w:r>
        <w:rPr>
          <w:sz w:val="22"/>
          <w:szCs w:val="22"/>
        </w:rPr>
        <w:t xml:space="preserve">— what is watched, at what thresholds, with what response</w:t>
      </w:r>
    </w:p>
    <w:p>
      <w:pPr>
        <w:pStyle w:val="BodyText"/>
        <w:numPr>
          <w:ilvl w:val="0"/>
          <w:numId w:val="3"/>
        </w:numPr>
      </w:pPr>
      <w:r>
        <w:rPr>
          <w:b/>
          <w:bCs/>
          <w:sz w:val="22"/>
          <w:szCs w:val="22"/>
        </w:rPr>
        <w:t xml:space="preserve">Incident response </w:t>
      </w:r>
      <w:r>
        <w:rPr>
          <w:sz w:val="22"/>
          <w:szCs w:val="22"/>
        </w:rPr>
        <w:t xml:space="preserve">— severity tiers, response SLAs, escalation paths</w:t>
      </w:r>
    </w:p>
    <w:p>
      <w:pPr>
        <w:pStyle w:val="BodyText"/>
        <w:numPr>
          <w:ilvl w:val="0"/>
          <w:numId w:val="3"/>
        </w:numPr>
      </w:pPr>
      <w:r>
        <w:rPr>
          <w:b/>
          <w:bCs/>
          <w:sz w:val="22"/>
          <w:szCs w:val="22"/>
        </w:rPr>
        <w:t xml:space="preserve">Runbooks </w:t>
      </w:r>
      <w:r>
        <w:rPr>
          <w:sz w:val="22"/>
          <w:szCs w:val="22"/>
        </w:rPr>
        <w:t xml:space="preserve">— for the top failure scenarios (at minimum: service down, high latency, accuracy degradation, dependency failure, cost anomaly)</w:t>
      </w:r>
    </w:p>
    <w:p>
      <w:pPr>
        <w:pStyle w:val="BodyText"/>
        <w:numPr>
          <w:ilvl w:val="0"/>
          <w:numId w:val="3"/>
        </w:numPr>
      </w:pPr>
      <w:r>
        <w:rPr>
          <w:b/>
          <w:bCs/>
          <w:sz w:val="22"/>
          <w:szCs w:val="22"/>
        </w:rPr>
        <w:t xml:space="preserve">Deployment and rollback </w:t>
      </w:r>
      <w:r>
        <w:rPr>
          <w:sz w:val="22"/>
          <w:szCs w:val="22"/>
        </w:rPr>
        <w:t xml:space="preserve">— how changes move through stages, what triggers rollback, who has authority</w:t>
      </w:r>
    </w:p>
    <w:p>
      <w:pPr>
        <w:pStyle w:val="BodyText"/>
        <w:spacing w:after="80"/>
      </w:pPr>
      <w:r>
        <w:t xml:space="preserve"/>
      </w:r>
    </w:p>
    <w:p>
      <w:pPr>
        <w:pStyle w:val="Heading2"/>
      </w:pPr>
      <w:r>
        <w:t xml:space="preserve">9. Security and Compliance</w:t>
      </w:r>
    </w:p>
    <w:p>
      <w:pPr>
        <w:pStyle w:val="BodyText"/>
      </w:pPr>
      <w:r>
        <w:t xml:space="preserve">Security is not a separate afterthought section — it is woven into the architecture itself. Include:</w:t>
      </w:r>
    </w:p>
    <w:p>
      <w:pPr>
        <w:pStyle w:val="BodyText"/>
        <w:numPr>
          <w:ilvl w:val="0"/>
          <w:numId w:val="3"/>
        </w:numPr>
      </w:pPr>
      <w:r>
        <w:t xml:space="preserve">Data classification and handling</w:t>
      </w:r>
    </w:p>
    <w:p>
      <w:pPr>
        <w:pStyle w:val="BodyText"/>
        <w:numPr>
          <w:ilvl w:val="0"/>
          <w:numId w:val="3"/>
        </w:numPr>
      </w:pPr>
      <w:r>
        <w:t xml:space="preserve">Authentication and authorization model</w:t>
      </w:r>
    </w:p>
    <w:p>
      <w:pPr>
        <w:pStyle w:val="BodyText"/>
        <w:numPr>
          <w:ilvl w:val="0"/>
          <w:numId w:val="3"/>
        </w:numPr>
      </w:pPr>
      <w:r>
        <w:t xml:space="preserve">PII and GDPR considerations (especially relevant for Skywalker’s EU employee data)</w:t>
      </w:r>
    </w:p>
    <w:p>
      <w:pPr>
        <w:pStyle w:val="BodyText"/>
        <w:numPr>
          <w:ilvl w:val="0"/>
          <w:numId w:val="3"/>
        </w:numPr>
      </w:pPr>
      <w:r>
        <w:t xml:space="preserve">Encryption posture (at rest, in transit)</w:t>
      </w:r>
    </w:p>
    <w:p>
      <w:pPr>
        <w:pStyle w:val="BodyText"/>
        <w:numPr>
          <w:ilvl w:val="0"/>
          <w:numId w:val="3"/>
        </w:numPr>
      </w:pPr>
      <w:r>
        <w:t xml:space="preserve">Audit trail requirements</w:t>
      </w:r>
    </w:p>
    <w:p>
      <w:pPr>
        <w:pStyle w:val="BodyText"/>
        <w:spacing w:after="80"/>
      </w:pPr>
      <w:r>
        <w:t xml:space="preserve"/>
      </w:r>
    </w:p>
    <w:p>
      <w:pPr>
        <w:pStyle w:val="Heading2"/>
      </w:pPr>
      <w:r>
        <w:t xml:space="preserve">10. Calibration Surfaces and Open Questions</w:t>
      </w:r>
    </w:p>
    <w:p>
      <w:pPr>
        <w:pStyle w:val="BodyText"/>
      </w:pPr>
      <w:r>
        <w:t xml:space="preserve">The mark of intellectual honesty in an architecture document. Explicitly distinguish between:</w:t>
      </w:r>
    </w:p>
    <w:p>
      <w:pPr>
        <w:pStyle w:val="BodyText"/>
        <w:numPr>
          <w:ilvl w:val="0"/>
          <w:numId w:val="3"/>
        </w:numPr>
      </w:pPr>
      <w:r>
        <w:rPr>
          <w:b/>
          <w:bCs/>
          <w:sz w:val="22"/>
          <w:szCs w:val="22"/>
        </w:rPr>
        <w:t xml:space="preserve">Fixed decisions </w:t>
      </w:r>
      <w:r>
        <w:rPr>
          <w:sz w:val="22"/>
          <w:szCs w:val="22"/>
        </w:rPr>
        <w:t xml:space="preserve">— architecture-class choices that changing would invalidate other subsystems</w:t>
      </w:r>
    </w:p>
    <w:p>
      <w:pPr>
        <w:pStyle w:val="BodyText"/>
        <w:numPr>
          <w:ilvl w:val="0"/>
          <w:numId w:val="3"/>
        </w:numPr>
      </w:pPr>
      <w:r>
        <w:rPr>
          <w:b/>
          <w:bCs/>
          <w:sz w:val="22"/>
          <w:szCs w:val="22"/>
        </w:rPr>
        <w:t xml:space="preserve">Calibration-active settings </w:t>
      </w:r>
      <w:r>
        <w:rPr>
          <w:sz w:val="22"/>
          <w:szCs w:val="22"/>
        </w:rPr>
        <w:t xml:space="preserve">— things that are intentionally empirical and will be tuned with real data</w:t>
      </w:r>
    </w:p>
    <w:p>
      <w:pPr>
        <w:pStyle w:val="BodyText"/>
        <w:numPr>
          <w:ilvl w:val="0"/>
          <w:numId w:val="3"/>
        </w:numPr>
      </w:pPr>
      <w:r>
        <w:rPr>
          <w:b/>
          <w:bCs/>
          <w:sz w:val="22"/>
          <w:szCs w:val="22"/>
        </w:rPr>
        <w:t xml:space="preserve">Open questions </w:t>
      </w:r>
      <w:r>
        <w:rPr>
          <w:sz w:val="22"/>
          <w:szCs w:val="22"/>
        </w:rPr>
        <w:t xml:space="preserve">— things the architecture has deliberately not decided yet, with clear articulation of what evidence would inform the choice</w:t>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b/>
                <w:bCs/>
                <w:color w:val="1E3A6B"/>
                <w:sz w:val="21"/>
                <w:szCs w:val="21"/>
              </w:rPr>
              <w:t xml:space="preserve">Why this impresses L8+ readers: </w:t>
            </w:r>
            <w:r>
              <w:rPr>
                <w:color w:val="2D3748"/>
                <w:sz w:val="21"/>
                <w:szCs w:val="21"/>
              </w:rPr>
              <w:t xml:space="preserve">It demonstrates engineering maturity. It shows you know the difference between “we chose this” and “we’re pretending we chose this but actually we’re guessing.” The worst architecture documents are the ones that present every choice with equal false confidence.</w:t>
            </w:r>
          </w:p>
        </w:tc>
      </w:tr>
    </w:tbl>
    <w:p>
      <w:pPr>
        <w:pStyle w:val="BodyText"/>
        <w:spacing w:after="80"/>
      </w:pPr>
      <w:r>
        <w:t xml:space="preserve"/>
      </w:r>
    </w:p>
    <w:p>
      <w:pPr>
        <w:pStyle w:val="Heading1"/>
      </w:pPr>
      <w:r>
        <w:t xml:space="preserve">Writing Quality Standards</w:t>
      </w:r>
    </w:p>
    <w:p>
      <w:pPr>
        <w:pStyle w:val="BodyText"/>
      </w:pPr>
      <w:r>
        <w:t xml:space="preserve">The structural elements above define what must be present. These writing standards define the quality of how it is written. Both matter equally to an L8+ reader.</w:t>
      </w:r>
    </w:p>
    <w:p>
      <w:pPr>
        <w:pStyle w:val="Heading2"/>
      </w:pPr>
      <w:r>
        <w:t xml:space="preserve">Prose, Not Bullets</w:t>
      </w:r>
    </w:p>
    <w:p>
      <w:pPr>
        <w:pStyle w:val="BodyText"/>
      </w:pPr>
      <w:r>
        <w:t xml:space="preserve">Amazon architecture documents are narrative prose. Bullets are acceptable for lists of discrete items (e.g., a list of services, a list of requirements). Bullets are not acceptable as a substitute for explaining your reasoning.</w:t>
      </w:r>
    </w:p>
    <w:p>
      <w:pPr>
        <w:pStyle w:val="BodyText"/>
      </w:pPr>
      <w:r>
        <w:t xml:space="preserve">Bullets allow you to skip the connective tissue — the “because,” the “which means,” the “the consequence of this is.” That connective tissue is where the architecture actually lives.</w:t>
      </w:r>
    </w:p>
    <w:p>
      <w:pPr>
        <w:pStyle w:val="Heading2"/>
      </w:pPr>
      <w:r>
        <w:t xml:space="preserve">Precision Over Elegance</w:t>
      </w:r>
    </w:p>
    <w:p>
      <w:pPr>
        <w:pStyle w:val="BodyText"/>
      </w:pPr>
      <w:r>
        <w:t xml:space="preserve">Use specific language. Specific service names, specific latency numbers, specific failure conditions, specific response shapes. Vague architecture is not architecture — it is aspiration.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920"/>
        <w:gridCol w:w="4280"/>
      </w:tblGrid>
      <w:tr>
        <w:trPr>
          <w:tblHeader/>
        </w:trPr>
        <w:tc>
          <w:tcPr>
            <w:tcW w:type="dxa" w:w="800"/>
            <w:tcBorders>
              <w:top w:val="single" w:color="CBD5E0" w:sz="2"/>
              <w:left w:val="single" w:color="CBD5E0" w:sz="2"/>
              <w:bottom w:val="single" w:color="CBD5E0" w:sz="2"/>
              <w:right w:val="single" w:color="CBD5E0" w:sz="2"/>
            </w:tcBorders>
            <w:shd w:fill="1B2A47" w:val="clear"/>
            <w:tcMar>
              <w:top w:type="dxa" w:w="100"/>
              <w:left w:type="dxa" w:w="160"/>
              <w:bottom w:type="dxa" w:w="100"/>
              <w:right w:type="dxa" w:w="160"/>
            </w:tcMar>
          </w:tcPr>
          <w:p>
            <w:r>
              <w:rPr>
                <w:b/>
                <w:bCs/>
                <w:color w:val="FFFFFF"/>
                <w:sz w:val="20"/>
                <w:szCs w:val="20"/>
              </w:rPr>
              <w:t xml:space="preserve"/>
            </w:r>
          </w:p>
        </w:tc>
        <w:tc>
          <w:tcPr>
            <w:tcW w:type="dxa" w:w="3920"/>
            <w:tcBorders>
              <w:top w:val="single" w:color="CBD5E0" w:sz="2"/>
              <w:left w:val="single" w:color="CBD5E0" w:sz="2"/>
              <w:bottom w:val="single" w:color="CBD5E0" w:sz="2"/>
              <w:right w:val="single" w:color="CBD5E0" w:sz="2"/>
            </w:tcBorders>
            <w:shd w:fill="1B2A47" w:val="clear"/>
            <w:tcMar>
              <w:top w:type="dxa" w:w="100"/>
              <w:left w:type="dxa" w:w="160"/>
              <w:bottom w:type="dxa" w:w="100"/>
              <w:right w:type="dxa" w:w="160"/>
            </w:tcMar>
          </w:tcPr>
          <w:p>
            <w:r>
              <w:rPr>
                <w:b/>
                <w:bCs/>
                <w:color w:val="FFFFFF"/>
                <w:sz w:val="20"/>
                <w:szCs w:val="20"/>
              </w:rPr>
              <w:t xml:space="preserve">Example</w:t>
            </w:r>
          </w:p>
        </w:tc>
        <w:tc>
          <w:tcPr>
            <w:tcW w:type="dxa" w:w="4280"/>
            <w:tcBorders>
              <w:top w:val="single" w:color="CBD5E0" w:sz="2"/>
              <w:left w:val="single" w:color="CBD5E0" w:sz="2"/>
              <w:bottom w:val="single" w:color="CBD5E0" w:sz="2"/>
              <w:right w:val="single" w:color="CBD5E0" w:sz="2"/>
            </w:tcBorders>
            <w:shd w:fill="1B2A47" w:val="clear"/>
            <w:tcMar>
              <w:top w:type="dxa" w:w="100"/>
              <w:left w:type="dxa" w:w="160"/>
              <w:bottom w:type="dxa" w:w="100"/>
              <w:right w:type="dxa" w:w="160"/>
            </w:tcMar>
          </w:tcPr>
          <w:p>
            <w:r>
              <w:rPr>
                <w:b/>
                <w:bCs/>
                <w:color w:val="FFFFFF"/>
                <w:sz w:val="20"/>
                <w:szCs w:val="20"/>
              </w:rPr>
              <w:t xml:space="preserve">Why It Matters</w:t>
            </w:r>
          </w:p>
        </w:tc>
      </w:tr>
      <w:tr>
        <w:tc>
          <w:tcPr>
            <w:tcW w:type="dxa" w:w="800"/>
            <w:tcBorders>
              <w:top w:val="single" w:color="CBD5E0" w:sz="2"/>
              <w:left w:val="single" w:color="CBD5E0" w:sz="2"/>
              <w:bottom w:val="single" w:color="CBD5E0" w:sz="2"/>
              <w:right w:val="single" w:color="CBD5E0" w:sz="2"/>
            </w:tcBorders>
            <w:shd w:fill="FFF5F5" w:val="clear"/>
            <w:tcMar>
              <w:top w:type="dxa" w:w="100"/>
              <w:left w:type="dxa" w:w="160"/>
              <w:bottom w:type="dxa" w:w="100"/>
              <w:right w:type="dxa" w:w="160"/>
            </w:tcMar>
          </w:tcPr>
          <w:p>
            <w:r>
              <w:rPr>
                <w:b/>
                <w:bCs/>
                <w:color w:val="C53030"/>
                <w:sz w:val="19"/>
                <w:szCs w:val="19"/>
              </w:rPr>
              <w:t xml:space="preserve">❌ Vague</w:t>
            </w:r>
          </w:p>
        </w:tc>
        <w:tc>
          <w:tcPr>
            <w:tcW w:type="dxa" w:w="3920"/>
            <w:tcBorders>
              <w:top w:val="single" w:color="CBD5E0" w:sz="2"/>
              <w:left w:val="single" w:color="CBD5E0" w:sz="2"/>
              <w:bottom w:val="single" w:color="CBD5E0" w:sz="2"/>
              <w:right w:val="single" w:color="CBD5E0" w:sz="2"/>
            </w:tcBorders>
            <w:shd w:fill="FFF5F5" w:val="clear"/>
            <w:tcMar>
              <w:top w:type="dxa" w:w="100"/>
              <w:left w:type="dxa" w:w="160"/>
              <w:bottom w:type="dxa" w:w="100"/>
              <w:right w:type="dxa" w:w="160"/>
            </w:tcMar>
          </w:tcPr>
          <w:p>
            <w:r>
              <w:rPr>
                <w:i/>
                <w:iCs/>
                <w:color w:val="5A0000"/>
                <w:sz w:val="20"/>
                <w:szCs w:val="20"/>
              </w:rPr>
              <w:t xml:space="preserve">"The system will respond quickly."</w:t>
            </w:r>
          </w:p>
        </w:tc>
        <w:tc>
          <w:tcPr>
            <w:tcW w:type="dxa" w:w="4280"/>
            <w:tcBorders>
              <w:top w:val="single" w:color="CBD5E0" w:sz="2"/>
              <w:left w:val="single" w:color="CBD5E0" w:sz="2"/>
              <w:bottom w:val="single" w:color="CBD5E0" w:sz="2"/>
              <w:right w:val="single" w:color="CBD5E0" w:sz="2"/>
            </w:tcBorders>
            <w:shd w:fill="FFF5F5" w:val="clear"/>
            <w:tcMar>
              <w:top w:type="dxa" w:w="100"/>
              <w:left w:type="dxa" w:w="160"/>
              <w:bottom w:type="dxa" w:w="100"/>
              <w:right w:type="dxa" w:w="160"/>
            </w:tcMar>
          </w:tcPr>
          <w:p>
            <w:r>
              <w:rPr>
                <w:color w:val="5A0000"/>
                <w:sz w:val="20"/>
                <w:szCs w:val="20"/>
              </w:rPr>
              <w:t xml:space="preserve">Unimplementable and unmeasurable. An L8 cannot evaluate whether this is achievable.</w:t>
            </w:r>
          </w:p>
        </w:tc>
      </w:tr>
      <w:tr>
        <w:tc>
          <w:tcPr>
            <w:tcW w:type="dxa" w:w="800"/>
            <w:tcBorders>
              <w:top w:val="single" w:color="CBD5E0" w:sz="2"/>
              <w:left w:val="single" w:color="CBD5E0" w:sz="2"/>
              <w:bottom w:val="single" w:color="CBD5E0" w:sz="2"/>
              <w:right w:val="single" w:color="CBD5E0" w:sz="2"/>
            </w:tcBorders>
            <w:shd w:fill="F0FFF4" w:val="clear"/>
            <w:tcMar>
              <w:top w:type="dxa" w:w="100"/>
              <w:left w:type="dxa" w:w="160"/>
              <w:bottom w:type="dxa" w:w="100"/>
              <w:right w:type="dxa" w:w="160"/>
            </w:tcMar>
          </w:tcPr>
          <w:p>
            <w:r>
              <w:rPr>
                <w:b/>
                <w:bCs/>
                <w:color w:val="276749"/>
                <w:sz w:val="19"/>
                <w:szCs w:val="19"/>
              </w:rPr>
              <w:t xml:space="preserve">✅ Precise</w:t>
            </w:r>
          </w:p>
        </w:tc>
        <w:tc>
          <w:tcPr>
            <w:tcW w:type="dxa" w:w="3920"/>
            <w:tcBorders>
              <w:top w:val="single" w:color="CBD5E0" w:sz="2"/>
              <w:left w:val="single" w:color="CBD5E0" w:sz="2"/>
              <w:bottom w:val="single" w:color="CBD5E0" w:sz="2"/>
              <w:right w:val="single" w:color="CBD5E0" w:sz="2"/>
            </w:tcBorders>
            <w:shd w:fill="F0FFF4" w:val="clear"/>
            <w:tcMar>
              <w:top w:type="dxa" w:w="100"/>
              <w:left w:type="dxa" w:w="160"/>
              <w:bottom w:type="dxa" w:w="100"/>
              <w:right w:type="dxa" w:w="160"/>
            </w:tcMar>
          </w:tcPr>
          <w:p>
            <w:r>
              <w:rPr>
                <w:i/>
                <w:iCs/>
                <w:color w:val="1A5631"/>
                <w:sz w:val="20"/>
                <w:szCs w:val="20"/>
              </w:rPr>
              <w:t xml:space="preserve">"The retrieval pipeline targets 250–450ms p95 end-to-end, with the reranker representing the dominant cost at 250–350ms p95 on 20K-token payloads."</w:t>
            </w:r>
          </w:p>
        </w:tc>
        <w:tc>
          <w:tcPr>
            <w:tcW w:type="dxa" w:w="4280"/>
            <w:tcBorders>
              <w:top w:val="single" w:color="CBD5E0" w:sz="2"/>
              <w:left w:val="single" w:color="CBD5E0" w:sz="2"/>
              <w:bottom w:val="single" w:color="CBD5E0" w:sz="2"/>
              <w:right w:val="single" w:color="CBD5E0" w:sz="2"/>
            </w:tcBorders>
            <w:shd w:fill="F0FFF4" w:val="clear"/>
            <w:tcMar>
              <w:top w:type="dxa" w:w="100"/>
              <w:left w:type="dxa" w:w="160"/>
              <w:bottom w:type="dxa" w:w="100"/>
              <w:right w:type="dxa" w:w="160"/>
            </w:tcMar>
          </w:tcPr>
          <w:p>
            <w:r>
              <w:rPr>
                <w:color w:val="1A5631"/>
                <w:sz w:val="20"/>
                <w:szCs w:val="20"/>
              </w:rPr>
              <w:t xml:space="preserve">Testable, reviewable, and buildable against. Demonstrates that you’ve thought about the bottleneck.</w:t>
            </w:r>
          </w:p>
        </w:tc>
      </w:tr>
    </w:tbl>
    <w:p>
      <w:pPr>
        <w:pStyle w:val="BodyText"/>
        <w:spacing w:after="80"/>
      </w:pPr>
      <w:r>
        <w:t xml:space="preserve"/>
      </w:r>
    </w:p>
    <w:p>
      <w:pPr>
        <w:pStyle w:val="Heading2"/>
      </w:pPr>
      <w:r>
        <w:t xml:space="preserve">The “Build To This” Test</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b/>
                <w:bCs/>
                <w:color w:val="1B2A47"/>
                <w:sz w:val="22"/>
                <w:szCs w:val="22"/>
              </w:rPr>
              <w:t xml:space="preserve">The gold standard for architecture documentation at Amazon: </w:t>
            </w:r>
            <w:r>
              <w:rPr>
                <w:i/>
                <w:iCs/>
                <w:color w:val="2D3748"/>
                <w:sz w:val="22"/>
                <w:szCs w:val="22"/>
              </w:rPr>
              <w:t xml:space="preserve">Could an engineer who was not in the room build to this document without coming back with clarifying questions?</w:t>
            </w:r>
          </w:p>
          <w:p>
            <w:pPr>
              <w:pStyle w:val="CalloutText"/>
              <w:spacing w:before="80"/>
            </w:pPr>
            <w:r>
              <w:rPr>
                <w:color w:val="4A6FA5"/>
                <w:sz w:val="21"/>
                <w:szCs w:val="21"/>
              </w:rPr>
              <w:t xml:space="preserve">If the answer is no, the document has holes. Find them before an L8 does.</w:t>
            </w:r>
          </w:p>
        </w:tc>
      </w:tr>
    </w:tbl>
    <w:p>
      <w:pPr>
        <w:pStyle w:val="BodyText"/>
        <w:spacing w:after="80"/>
      </w:pPr>
      <w:r>
        <w:t xml:space="preserve"/>
      </w:r>
    </w:p>
    <w:p>
      <w:pPr>
        <w:pStyle w:val="Heading2"/>
      </w:pPr>
      <w:r>
        <w:t xml:space="preserve">Show Your Assumptions</w:t>
      </w:r>
    </w:p>
    <w:p>
      <w:pPr>
        <w:pStyle w:val="BodyText"/>
      </w:pPr>
      <w:r>
        <w:t xml:space="preserve">State what you’re assuming — about the upstream system, about the data shape, about the usage pattern, about the team structure. Assumptions are not weaknesses. Unstated assumptions are.</w:t>
      </w:r>
    </w:p>
    <w:p>
      <w:pPr>
        <w:pStyle w:val="BodyText"/>
      </w:pPr>
      <w:r>
        <w:rPr>
          <w:b/>
          <w:bCs/>
          <w:sz w:val="22"/>
          <w:szCs w:val="22"/>
        </w:rPr>
        <w:t xml:space="preserve">Format: </w:t>
      </w:r>
      <w:r>
        <w:rPr>
          <w:i/>
          <w:iCs/>
          <w:sz w:val="22"/>
          <w:szCs w:val="22"/>
        </w:rPr>
        <w:t xml:space="preserve">“This section assumes X. If X proves false, the consequence is Y, which would require revisiting Z.”</w:t>
      </w:r>
    </w:p>
    <w:p>
      <w:pPr>
        <w:pStyle w:val="BodyText"/>
        <w:spacing w:after="80"/>
      </w:pPr>
      <w:r>
        <w:t xml:space="preserve"/>
      </w:r>
    </w:p>
    <w:p>
      <w:pPr>
        <w:pStyle w:val="Heading2"/>
      </w:pPr>
      <w:r>
        <w:t xml:space="preserve">Don’t Hand-Wave the Hard Parts</w:t>
      </w:r>
    </w:p>
    <w:p>
      <w:pPr>
        <w:pStyle w:val="BodyText"/>
      </w:pPr>
      <w:r>
        <w:t xml:space="preserve">L8+ readers are pattern-matching for hand-waving. Common tells:</w:t>
      </w:r>
    </w:p>
    <w:p>
      <w:pPr>
        <w:pStyle w:val="BodyText"/>
        <w:numPr>
          <w:ilvl w:val="0"/>
          <w:numId w:val="3"/>
        </w:numPr>
      </w:pPr>
      <w:r>
        <w:t xml:space="preserve">“We will handle this in implementation”</w:t>
      </w:r>
    </w:p>
    <w:p>
      <w:pPr>
        <w:pStyle w:val="BodyText"/>
        <w:numPr>
          <w:ilvl w:val="0"/>
          <w:numId w:val="3"/>
        </w:numPr>
      </w:pPr>
      <w:r>
        <w:t xml:space="preserve">“This will be determined later”</w:t>
      </w:r>
    </w:p>
    <w:p>
      <w:pPr>
        <w:pStyle w:val="BodyText"/>
        <w:numPr>
          <w:ilvl w:val="0"/>
          <w:numId w:val="3"/>
        </w:numPr>
      </w:pPr>
      <w:r>
        <w:t xml:space="preserve">“We’ll iterate on this”</w:t>
      </w:r>
    </w:p>
    <w:p>
      <w:pPr>
        <w:pStyle w:val="BodyText"/>
        <w:numPr>
          <w:ilvl w:val="0"/>
          <w:numId w:val="3"/>
        </w:numPr>
      </w:pPr>
      <w:r>
        <w:t xml:space="preserve">“Standard best practices will apply”</w:t>
      </w:r>
    </w:p>
    <w:p>
      <w:pPr>
        <w:pStyle w:val="BodyText"/>
        <w:spacing w:after="80"/>
      </w:pPr>
      <w:r>
        <w:t xml:space="preserve"/>
      </w:r>
    </w:p>
    <w:p>
      <w:pPr>
        <w:pStyle w:val="BodyText"/>
      </w:pPr>
      <w:r>
        <w:t xml:space="preserve">Every one of these is a flag that says “I haven’t thought about this yet.” If you genuinely haven’t decided, say so explicitly and state what would inform the decision. If you have decided, state the decision with its rationale.</w:t>
      </w:r>
    </w:p>
    <w:p>
      <w:pPr>
        <w:pStyle w:val="Heading1"/>
      </w:pPr>
      <w:r>
        <w:t xml:space="preserve">The Companion Artifact: API Specifications</w:t>
      </w:r>
    </w:p>
    <w:p>
      <w:pPr>
        <w:pStyle w:val="BodyText"/>
      </w:pPr>
      <w:r>
        <w:t xml:space="preserve">Architecture narrative and API specifications serve different purposes and should be separate documents that reference each other. Keeping them combined in a single document creates one artifact that does two jobs poorly.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rPr>
          <w:tblHeader/>
        </w:trPr>
        <w:tc>
          <w:tcPr>
            <w:tcW w:type="dxa" w:w="4560"/>
            <w:tcBorders>
              <w:top w:val="single" w:color="CBD5E0" w:sz="2"/>
              <w:left w:val="single" w:color="CBD5E0" w:sz="2"/>
              <w:bottom w:val="single" w:color="CBD5E0" w:sz="2"/>
              <w:right w:val="single" w:color="CBD5E0" w:sz="2"/>
            </w:tcBorders>
            <w:shd w:fill="1B2A47" w:val="clear"/>
            <w:tcMar>
              <w:top w:type="dxa" w:w="120"/>
              <w:left w:type="dxa" w:w="200"/>
              <w:bottom w:type="dxa" w:w="120"/>
              <w:right w:type="dxa" w:w="200"/>
            </w:tcMar>
          </w:tcPr>
          <w:p>
            <w:pPr>
              <w:jc w:val="center"/>
            </w:pPr>
            <w:r>
              <w:rPr>
                <w:b/>
                <w:bCs/>
                <w:color w:val="FFFFFF"/>
                <w:sz w:val="22"/>
                <w:szCs w:val="22"/>
              </w:rPr>
              <w:t xml:space="preserve">Architecture Narrative</w:t>
            </w:r>
          </w:p>
        </w:tc>
        <w:tc>
          <w:tcPr>
            <w:tcW w:type="dxa" w:w="4560"/>
            <w:tcBorders>
              <w:top w:val="single" w:color="CBD5E0" w:sz="2"/>
              <w:left w:val="single" w:color="CBD5E0" w:sz="2"/>
              <w:bottom w:val="single" w:color="CBD5E0" w:sz="2"/>
              <w:right w:val="single" w:color="CBD5E0" w:sz="2"/>
            </w:tcBorders>
            <w:shd w:fill="2C5282" w:val="clear"/>
            <w:tcMar>
              <w:top w:type="dxa" w:w="120"/>
              <w:left w:type="dxa" w:w="200"/>
              <w:bottom w:type="dxa" w:w="120"/>
              <w:right w:type="dxa" w:w="200"/>
            </w:tcMar>
          </w:tcPr>
          <w:p>
            <w:pPr>
              <w:jc w:val="center"/>
            </w:pPr>
            <w:r>
              <w:rPr>
                <w:b/>
                <w:bCs/>
                <w:color w:val="FFFFFF"/>
                <w:sz w:val="22"/>
                <w:szCs w:val="22"/>
              </w:rPr>
              <w:t xml:space="preserve">API Specification</w:t>
            </w:r>
          </w:p>
        </w:tc>
      </w:tr>
      <w:tr>
        <w:tc>
          <w:tcPr>
            <w:tcW w:type="dxa" w:w="4560"/>
            <w:tcBorders>
              <w:top w:val="single" w:color="CBD5E0" w:sz="2"/>
              <w:left w:val="single" w:color="CBD5E0" w:sz="2"/>
              <w:bottom w:val="single" w:color="CBD5E0" w:sz="2"/>
              <w:right w:val="single" w:color="CBD5E0" w:sz="2"/>
            </w:tcBorders>
            <w:shd w:fill="F7FAFF" w:val="clear"/>
            <w:tcMar>
              <w:top w:type="dxa" w:w="120"/>
              <w:left w:type="dxa" w:w="200"/>
              <w:bottom w:type="dxa" w:w="120"/>
              <w:right w:type="dxa" w:w="200"/>
            </w:tcMar>
          </w:tcPr>
          <w:p>
            <w:pPr>
              <w:spacing w:after="100"/>
            </w:pPr>
            <w:r>
              <w:rPr>
                <w:b/>
                <w:bCs/>
                <w:color w:val="1B2A47"/>
                <w:sz w:val="21"/>
                <w:szCs w:val="21"/>
              </w:rPr>
              <w:t xml:space="preserve">Answers the “why” and “how it fits”</w:t>
            </w:r>
          </w:p>
          <w:p>
            <w:pPr>
              <w:spacing w:after="80"/>
            </w:pPr>
            <w:r>
              <w:rPr>
                <w:sz w:val="20"/>
                <w:szCs w:val="20"/>
              </w:rPr>
              <w:t xml:space="preserve">• Reasoning behind decisions</w:t>
            </w:r>
          </w:p>
          <w:p>
            <w:pPr>
              <w:spacing w:after="80"/>
            </w:pPr>
            <w:r>
              <w:rPr>
                <w:sz w:val="20"/>
                <w:szCs w:val="20"/>
              </w:rPr>
              <w:t xml:space="preserve">• Trade-offs and alternatives</w:t>
            </w:r>
          </w:p>
          <w:p>
            <w:pPr>
              <w:spacing w:after="80"/>
            </w:pPr>
            <w:r>
              <w:rPr>
                <w:sz w:val="20"/>
                <w:szCs w:val="20"/>
              </w:rPr>
              <w:t xml:space="preserve">• Ownership and boundary rationale</w:t>
            </w:r>
          </w:p>
          <w:p>
            <w:pPr>
              <w:spacing w:after="80"/>
            </w:pPr>
            <w:r>
              <w:rPr>
                <w:sz w:val="20"/>
                <w:szCs w:val="20"/>
              </w:rPr>
              <w:t xml:space="preserve">• Failure philosophy</w:t>
            </w:r>
          </w:p>
          <w:p>
            <w:pPr>
              <w:spacing w:after="80"/>
            </w:pPr>
            <w:r>
              <w:rPr>
                <w:sz w:val="20"/>
                <w:szCs w:val="20"/>
              </w:rPr>
              <w:t xml:space="preserve">• Calibration surfaces</w:t>
            </w:r>
          </w:p>
        </w:tc>
        <w:tc>
          <w:tcPr>
            <w:tcW w:type="dxa" w:w="4560"/>
            <w:tcBorders>
              <w:top w:val="single" w:color="CBD5E0" w:sz="2"/>
              <w:left w:val="single" w:color="CBD5E0" w:sz="2"/>
              <w:bottom w:val="single" w:color="CBD5E0" w:sz="2"/>
              <w:right w:val="single" w:color="CBD5E0" w:sz="2"/>
            </w:tcBorders>
            <w:shd w:fill="EFF6FF" w:val="clear"/>
            <w:tcMar>
              <w:top w:type="dxa" w:w="120"/>
              <w:left w:type="dxa" w:w="200"/>
              <w:bottom w:type="dxa" w:w="120"/>
              <w:right w:type="dxa" w:w="200"/>
            </w:tcMar>
          </w:tcPr>
          <w:p>
            <w:pPr>
              <w:spacing w:after="100"/>
            </w:pPr>
            <w:r>
              <w:rPr>
                <w:b/>
                <w:bCs/>
                <w:color w:val="1B2A47"/>
                <w:sz w:val="21"/>
                <w:szCs w:val="21"/>
              </w:rPr>
              <w:t xml:space="preserve">Answers the “what exactly”</w:t>
            </w:r>
          </w:p>
          <w:p>
            <w:pPr>
              <w:spacing w:after="80"/>
            </w:pPr>
            <w:r>
              <w:rPr>
                <w:sz w:val="20"/>
                <w:szCs w:val="20"/>
              </w:rPr>
              <w:t xml:space="preserve">• Wire format and field types</w:t>
            </w:r>
          </w:p>
          <w:p>
            <w:pPr>
              <w:spacing w:after="80"/>
            </w:pPr>
            <w:r>
              <w:rPr>
                <w:sz w:val="20"/>
                <w:szCs w:val="20"/>
              </w:rPr>
              <w:t xml:space="preserve">• Error codes and edge cases</w:t>
            </w:r>
          </w:p>
          <w:p>
            <w:pPr>
              <w:spacing w:after="80"/>
            </w:pPr>
            <w:r>
              <w:rPr>
                <w:sz w:val="20"/>
                <w:szCs w:val="20"/>
              </w:rPr>
              <w:t xml:space="preserve">• Request/response shapes</w:t>
            </w:r>
          </w:p>
          <w:p>
            <w:pPr>
              <w:spacing w:after="80"/>
            </w:pPr>
            <w:r>
              <w:rPr>
                <w:sz w:val="20"/>
                <w:szCs w:val="20"/>
              </w:rPr>
              <w:t xml:space="preserve">• Validation rules</w:t>
            </w:r>
          </w:p>
          <w:p>
            <w:pPr>
              <w:spacing w:after="80"/>
            </w:pPr>
            <w:r>
              <w:rPr>
                <w:sz w:val="20"/>
                <w:szCs w:val="20"/>
              </w:rPr>
              <w:t xml:space="preserve">• Versioning and deprecation</w:t>
            </w:r>
          </w:p>
        </w:tc>
      </w:tr>
    </w:tbl>
    <w:p>
      <w:pPr>
        <w:pStyle w:val="BodyText"/>
        <w:spacing w:after="80"/>
      </w:pPr>
      <w:r>
        <w:t xml:space="preserve"/>
      </w:r>
    </w:p>
    <w:p>
      <w:pPr>
        <w:pStyle w:val="BodyText"/>
      </w:pPr>
      <w:r>
        <w:t xml:space="preserve">Neither replaces the other. The narrative without a spec is incomplete. The spec without a narrative is unmaintainable. Each document references the other — cross-reference by document identifier (e.g., [API_01], [API_02]) rather than repeating the content inline.</w:t>
      </w:r>
    </w:p>
    <w:p>
      <w:pPr>
        <w:pStyle w:val="Heading1"/>
      </w:pPr>
      <w:r>
        <w:t xml:space="preserve">Quality Checklist Before Review</w:t>
      </w:r>
    </w:p>
    <w:p>
      <w:pPr>
        <w:pStyle w:val="BodyText"/>
      </w:pPr>
      <w:r>
        <w:t xml:space="preserve">Before submitting architecture documentation for L8+ review, verify each of the following. If any item cannot be checked, the document is not ready for review. Incomplete checklist items are more visible to senior readers than authors expect.</w:t>
      </w:r>
    </w:p>
    <w:p>
      <w:pPr>
        <w:pStyle w:val="BodyText"/>
        <w:numPr>
          <w:ilvl w:val="0"/>
          <w:numId w:val="4"/>
        </w:numPr>
      </w:pPr>
      <w:r>
        <w:rPr>
          <w:b/>
          <w:bCs/>
          <w:sz w:val="22"/>
          <w:szCs w:val="22"/>
        </w:rPr>
        <w:t xml:space="preserve">Tenets exist </w:t>
      </w:r>
      <w:r>
        <w:rPr>
          <w:sz w:val="22"/>
          <w:szCs w:val="22"/>
        </w:rPr>
        <w:t xml:space="preserve">and actually resolve trade-offs (not platitudes)</w:t>
      </w:r>
    </w:p>
    <w:p>
      <w:pPr>
        <w:pStyle w:val="BodyText"/>
        <w:numPr>
          <w:ilvl w:val="0"/>
          <w:numId w:val="4"/>
        </w:numPr>
      </w:pPr>
      <w:r>
        <w:rPr>
          <w:b/>
          <w:bCs/>
          <w:sz w:val="22"/>
          <w:szCs w:val="22"/>
        </w:rPr>
        <w:t xml:space="preserve">System boundary </w:t>
      </w:r>
      <w:r>
        <w:rPr>
          <w:sz w:val="22"/>
          <w:szCs w:val="22"/>
        </w:rPr>
        <w:t xml:space="preserve">is stated in the first section — what this is and what it is not</w:t>
      </w:r>
    </w:p>
    <w:p>
      <w:pPr>
        <w:pStyle w:val="BodyText"/>
        <w:numPr>
          <w:ilvl w:val="0"/>
          <w:numId w:val="4"/>
        </w:numPr>
      </w:pPr>
      <w:r>
        <w:rPr>
          <w:b/>
          <w:bCs/>
          <w:sz w:val="22"/>
          <w:szCs w:val="22"/>
        </w:rPr>
        <w:t xml:space="preserve">Every major decision </w:t>
      </w:r>
      <w:r>
        <w:rPr>
          <w:sz w:val="22"/>
          <w:szCs w:val="22"/>
        </w:rPr>
        <w:t xml:space="preserve">has alternatives considered and rationale explicitly stated</w:t>
      </w:r>
    </w:p>
    <w:p>
      <w:pPr>
        <w:pStyle w:val="BodyText"/>
        <w:numPr>
          <w:ilvl w:val="0"/>
          <w:numId w:val="4"/>
        </w:numPr>
      </w:pPr>
      <w:r>
        <w:rPr>
          <w:b/>
          <w:bCs/>
          <w:sz w:val="22"/>
          <w:szCs w:val="22"/>
        </w:rPr>
        <w:t xml:space="preserve">Failure behavior </w:t>
      </w:r>
      <w:r>
        <w:rPr>
          <w:sz w:val="22"/>
          <w:szCs w:val="22"/>
        </w:rPr>
        <w:t xml:space="preserve">is defined for every subsystem — not just the happy path</w:t>
      </w:r>
    </w:p>
    <w:p>
      <w:pPr>
        <w:pStyle w:val="BodyText"/>
        <w:numPr>
          <w:ilvl w:val="0"/>
          <w:numId w:val="4"/>
        </w:numPr>
      </w:pPr>
      <w:r>
        <w:rPr>
          <w:b/>
          <w:bCs/>
          <w:sz w:val="22"/>
          <w:szCs w:val="22"/>
        </w:rPr>
        <w:t xml:space="preserve">Contracts between subsystems </w:t>
      </w:r>
      <w:r>
        <w:rPr>
          <w:sz w:val="22"/>
          <w:szCs w:val="22"/>
        </w:rPr>
        <w:t xml:space="preserve">are specific enough to implement against without additional coordination</w:t>
      </w:r>
    </w:p>
    <w:p>
      <w:pPr>
        <w:pStyle w:val="BodyText"/>
        <w:numPr>
          <w:ilvl w:val="0"/>
          <w:numId w:val="4"/>
        </w:numPr>
      </w:pPr>
      <w:r>
        <w:rPr>
          <w:b/>
          <w:bCs/>
          <w:sz w:val="22"/>
          <w:szCs w:val="22"/>
        </w:rPr>
        <w:t xml:space="preserve">Numbers are real </w:t>
      </w:r>
      <w:r>
        <w:rPr>
          <w:sz w:val="22"/>
          <w:szCs w:val="22"/>
        </w:rPr>
        <w:t xml:space="preserve">— latency targets, capacity requirements, and SLAs have specific values with rationale, not ranges with no basis</w:t>
      </w:r>
    </w:p>
    <w:p>
      <w:pPr>
        <w:pStyle w:val="BodyText"/>
        <w:numPr>
          <w:ilvl w:val="0"/>
          <w:numId w:val="4"/>
        </w:numPr>
      </w:pPr>
      <w:r>
        <w:rPr>
          <w:b/>
          <w:bCs/>
          <w:sz w:val="22"/>
          <w:szCs w:val="22"/>
        </w:rPr>
        <w:t xml:space="preserve">Open questions </w:t>
      </w:r>
      <w:r>
        <w:rPr>
          <w:sz w:val="22"/>
          <w:szCs w:val="22"/>
        </w:rPr>
        <w:t xml:space="preserve">are explicitly flagged rather than hidden behind confident language</w:t>
      </w:r>
    </w:p>
    <w:p>
      <w:pPr>
        <w:pStyle w:val="BodyText"/>
        <w:numPr>
          <w:ilvl w:val="0"/>
          <w:numId w:val="4"/>
        </w:numPr>
      </w:pPr>
      <w:r>
        <w:rPr>
          <w:b/>
          <w:bCs/>
          <w:sz w:val="22"/>
          <w:szCs w:val="22"/>
        </w:rPr>
        <w:t xml:space="preserve">The document passes the “build to this” test </w:t>
      </w:r>
      <w:r>
        <w:rPr>
          <w:sz w:val="22"/>
          <w:szCs w:val="22"/>
        </w:rPr>
        <w:t xml:space="preserve">— no Slack follow-ups would be needed to implement against it</w:t>
      </w:r>
    </w:p>
    <w:p>
      <w:pPr>
        <w:pStyle w:val="BodyText"/>
        <w:numPr>
          <w:ilvl w:val="0"/>
          <w:numId w:val="4"/>
        </w:numPr>
      </w:pPr>
      <w:r>
        <w:rPr>
          <w:b/>
          <w:bCs/>
          <w:sz w:val="22"/>
          <w:szCs w:val="22"/>
        </w:rPr>
        <w:t xml:space="preserve">Operational readiness </w:t>
      </w:r>
      <w:r>
        <w:rPr>
          <w:sz w:val="22"/>
          <w:szCs w:val="22"/>
        </w:rPr>
        <w:t xml:space="preserve">is addressed: monitoring, alerting, incident response, and deployment</w:t>
      </w:r>
    </w:p>
    <w:p>
      <w:pPr>
        <w:pStyle w:val="BodyText"/>
        <w:numPr>
          <w:ilvl w:val="0"/>
          <w:numId w:val="4"/>
        </w:numPr>
      </w:pPr>
      <w:r>
        <w:rPr>
          <w:b/>
          <w:bCs/>
          <w:sz w:val="22"/>
          <w:szCs w:val="22"/>
        </w:rPr>
        <w:t xml:space="preserve">Security </w:t>
      </w:r>
      <w:r>
        <w:rPr>
          <w:sz w:val="22"/>
          <w:szCs w:val="22"/>
        </w:rPr>
        <w:t xml:space="preserve">is embedded in the architecture, not appended as an afterthought</w:t>
      </w:r>
    </w:p>
    <w:p>
      <w:pPr>
        <w:pStyle w:val="BodyText"/>
        <w:numPr>
          <w:ilvl w:val="0"/>
          <w:numId w:val="4"/>
        </w:numPr>
      </w:pPr>
      <w:r>
        <w:rPr>
          <w:b/>
          <w:bCs/>
          <w:sz w:val="22"/>
          <w:szCs w:val="22"/>
        </w:rPr>
        <w:t xml:space="preserve">No hand-waving </w:t>
      </w:r>
      <w:r>
        <w:rPr>
          <w:sz w:val="22"/>
          <w:szCs w:val="22"/>
        </w:rPr>
        <w:t xml:space="preserve">— every hard problem is either solved or explicitly marked as open with decision criteria stated</w:t>
      </w:r>
    </w:p>
    <w:p>
      <w:pPr>
        <w:pStyle w:val="BodyText"/>
        <w:spacing w:after="80"/>
      </w:pPr>
      <w:r>
        <w:t xml:space="preserve"/>
      </w:r>
    </w:p>
    <w:p>
      <w:pPr>
        <w:pStyle w:val="Heading1"/>
      </w:pPr>
      <w:r>
        <w:t xml:space="preserve">The Meta-Principle</w:t>
      </w:r>
    </w:p>
    <w:p>
      <w:pPr>
        <w:pStyle w:val="BodyText"/>
      </w:pPr>
      <w:r>
        <w:t xml:space="preserve">The reason L8+ leaders at Amazon respect excellent architecture documentation is not that it’s long, not that it’s detailed, and not that it sounds technical.</w:t>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single" w:color="2C5282" w:sz="18"/>
              <w:bottom w:val="none" w:color="FFFFFF" w:sz="0"/>
              <w:right w:val="none" w:color="FFFFFF" w:sz="0"/>
            </w:tcBorders>
            <w:shd w:fill="F7FAFF" w:val="clear"/>
            <w:tcMar>
              <w:top w:type="dxa" w:w="140"/>
              <w:left w:type="dxa" w:w="280"/>
              <w:bottom w:type="dxa" w:w="140"/>
              <w:right w:type="dxa" w:w="140"/>
            </w:tcMar>
          </w:tcPr>
          <w:p>
            <w:pPr>
              <w:pStyle w:val="CalloutText"/>
            </w:pPr>
            <w:r>
              <w:rPr>
                <w:color w:val="2D3748"/>
                <w:sz w:val="22"/>
                <w:szCs w:val="22"/>
              </w:rPr>
              <w:t xml:space="preserve">What earns respect is that it demonstrates </w:t>
            </w:r>
            <w:r>
              <w:rPr>
                <w:b/>
                <w:bCs/>
                <w:color w:val="1B2A47"/>
                <w:sz w:val="22"/>
                <w:szCs w:val="22"/>
              </w:rPr>
              <w:t xml:space="preserve">the author has actually thought through the hard parts and is being honest about what they know, what they’ve decided, and what they haven’t.</w:t>
            </w:r>
          </w:p>
          <w:p>
            <w:pPr>
              <w:pStyle w:val="CalloutText"/>
              <w:spacing w:before="120"/>
            </w:pPr>
            <w:r>
              <w:rPr>
                <w:i/>
                <w:iCs/>
                <w:color w:val="2D3748"/>
                <w:sz w:val="22"/>
                <w:szCs w:val="22"/>
              </w:rPr>
              <w:t xml:space="preserve">A document that says “we don’t know yet, and here’s what would tell us” is infinitely more trustworthy than one that says “we’ve decided” when the decision is actually a guess.</w:t>
            </w:r>
          </w:p>
        </w:tc>
      </w:tr>
    </w:tbl>
    <w:p>
      <w:pPr>
        <w:pStyle w:val="BodyText"/>
        <w:spacing w:after="80"/>
      </w:pPr>
      <w:r>
        <w:t xml:space="preserve"/>
      </w:r>
    </w:p>
    <w:p>
      <w:pPr>
        <w:pStyle w:val="BodyText"/>
      </w:pPr>
      <w:r>
        <w:t xml:space="preserve">The Skywalker architecture series (Sections 01–09) already demonstrates this standard. Use it as your reference implementation. Every principle in this guide is visible in that series — not as theory, but as practice.</w:t>
      </w:r>
    </w:p>
    <w:p>
      <w:pPr>
        <w:pStyle w:val="Heading1"/>
      </w:pPr>
      <w:r>
        <w:t xml:space="preserve">What Separates Good from Perfect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rPr>
          <w:tblHeader/>
        </w:trPr>
        <w:tc>
          <w:tcPr>
            <w:tcW w:type="dxa" w:w="4560"/>
            <w:tcBorders>
              <w:top w:val="single" w:color="CBD5E0" w:sz="2"/>
              <w:left w:val="single" w:color="CBD5E0" w:sz="2"/>
              <w:bottom w:val="single" w:color="CBD5E0" w:sz="2"/>
              <w:right w:val="single" w:color="CBD5E0" w:sz="2"/>
            </w:tcBorders>
            <w:shd w:fill="4A6FA5" w:val="clear"/>
            <w:tcMar>
              <w:top w:type="dxa" w:w="120"/>
              <w:left w:type="dxa" w:w="200"/>
              <w:bottom w:type="dxa" w:w="120"/>
              <w:right w:type="dxa" w:w="200"/>
            </w:tcMar>
          </w:tcPr>
          <w:p>
            <w:pPr>
              <w:jc w:val="center"/>
            </w:pPr>
            <w:r>
              <w:rPr>
                <w:b/>
                <w:bCs/>
                <w:color w:val="FFFFFF"/>
                <w:sz w:val="22"/>
                <w:szCs w:val="22"/>
              </w:rPr>
              <w:t xml:space="preserve">Good Documentation</w:t>
            </w:r>
          </w:p>
        </w:tc>
        <w:tc>
          <w:tcPr>
            <w:tcW w:type="dxa" w:w="4560"/>
            <w:tcBorders>
              <w:top w:val="single" w:color="CBD5E0" w:sz="2"/>
              <w:left w:val="single" w:color="CBD5E0" w:sz="2"/>
              <w:bottom w:val="single" w:color="CBD5E0" w:sz="2"/>
              <w:right w:val="single" w:color="CBD5E0" w:sz="2"/>
            </w:tcBorders>
            <w:shd w:fill="1B2A47" w:val="clear"/>
            <w:tcMar>
              <w:top w:type="dxa" w:w="120"/>
              <w:left w:type="dxa" w:w="200"/>
              <w:bottom w:type="dxa" w:w="120"/>
              <w:right w:type="dxa" w:w="200"/>
            </w:tcMar>
          </w:tcPr>
          <w:p>
            <w:pPr>
              <w:jc w:val="center"/>
            </w:pPr>
            <w:r>
              <w:rPr>
                <w:b/>
                <w:bCs/>
                <w:color w:val="F6C547"/>
                <w:sz w:val="22"/>
                <w:szCs w:val="22"/>
              </w:rPr>
              <w:t xml:space="preserve">Perfect Documentation</w:t>
            </w:r>
          </w:p>
        </w:tc>
      </w:tr>
      <w:tr>
        <w:tc>
          <w:tcPr>
            <w:tcW w:type="dxa" w:w="4560"/>
            <w:tcBorders>
              <w:top w:val="single" w:color="CBD5E0" w:sz="2"/>
              <w:left w:val="single" w:color="CBD5E0" w:sz="2"/>
              <w:bottom w:val="single" w:color="CBD5E0" w:sz="2"/>
              <w:right w:val="single" w:color="CBD5E0" w:sz="2"/>
            </w:tcBorders>
            <w:shd w:fill="EFF4FB" w:val="clear"/>
            <w:tcMar>
              <w:top w:type="dxa" w:w="100"/>
              <w:left w:type="dxa" w:w="200"/>
              <w:bottom w:type="dxa" w:w="100"/>
              <w:right w:type="dxa" w:w="200"/>
            </w:tcMar>
          </w:tcPr>
          <w:p>
            <w:r>
              <w:rPr>
                <w:sz w:val="21"/>
                <w:szCs w:val="21"/>
              </w:rPr>
              <w:t xml:space="preserve">Describes what the system does</w:t>
            </w:r>
          </w:p>
        </w:tc>
        <w:tc>
          <w:tcPr>
            <w:tcW w:type="dxa" w:w="4560"/>
            <w:tcBorders>
              <w:top w:val="single" w:color="CBD5E0" w:sz="2"/>
              <w:left w:val="single" w:color="CBD5E0" w:sz="2"/>
              <w:bottom w:val="single" w:color="CBD5E0" w:sz="2"/>
              <w:right w:val="single" w:color="CBD5E0" w:sz="2"/>
            </w:tcBorders>
            <w:shd w:fill="F7FAFF" w:val="clear"/>
            <w:tcMar>
              <w:top w:type="dxa" w:w="100"/>
              <w:left w:type="dxa" w:w="200"/>
              <w:bottom w:type="dxa" w:w="100"/>
              <w:right w:type="dxa" w:w="200"/>
            </w:tcMar>
          </w:tcPr>
          <w:p>
            <w:r>
              <w:rPr>
                <w:b/>
                <w:bCs/>
                <w:sz w:val="21"/>
                <w:szCs w:val="21"/>
              </w:rPr>
              <w:t xml:space="preserve">Describes what the system refuses to do</w:t>
            </w:r>
          </w:p>
        </w:tc>
      </w:tr>
      <w:tr>
        <w:tc>
          <w:tcPr>
            <w:tcW w:type="dxa" w:w="4560"/>
            <w:tcBorders>
              <w:top w:val="single" w:color="CBD5E0" w:sz="2"/>
              <w:left w:val="single" w:color="CBD5E0" w:sz="2"/>
              <w:bottom w:val="single" w:color="CBD5E0" w:sz="2"/>
              <w:right w:val="single" w:color="CBD5E0" w:sz="2"/>
            </w:tcBorders>
            <w:shd w:fill="EFF4FB" w:val="clear"/>
            <w:tcMar>
              <w:top w:type="dxa" w:w="100"/>
              <w:left w:type="dxa" w:w="200"/>
              <w:bottom w:type="dxa" w:w="100"/>
              <w:right w:type="dxa" w:w="200"/>
            </w:tcMar>
          </w:tcPr>
          <w:p>
            <w:r>
              <w:rPr>
                <w:sz w:val="21"/>
                <w:szCs w:val="21"/>
              </w:rPr>
              <w:t xml:space="preserve">States decisions</w:t>
            </w:r>
          </w:p>
        </w:tc>
        <w:tc>
          <w:tcPr>
            <w:tcW w:type="dxa" w:w="4560"/>
            <w:tcBorders>
              <w:top w:val="single" w:color="CBD5E0" w:sz="2"/>
              <w:left w:val="single" w:color="CBD5E0" w:sz="2"/>
              <w:bottom w:val="single" w:color="CBD5E0" w:sz="2"/>
              <w:right w:val="single" w:color="CBD5E0" w:sz="2"/>
            </w:tcBorders>
            <w:shd w:fill="F7FAFF" w:val="clear"/>
            <w:tcMar>
              <w:top w:type="dxa" w:w="100"/>
              <w:left w:type="dxa" w:w="200"/>
              <w:bottom w:type="dxa" w:w="100"/>
              <w:right w:type="dxa" w:w="200"/>
            </w:tcMar>
          </w:tcPr>
          <w:p>
            <w:r>
              <w:rPr>
                <w:b/>
                <w:bCs/>
                <w:sz w:val="21"/>
                <w:szCs w:val="21"/>
              </w:rPr>
              <w:t xml:space="preserve">States what conditions would cause re-evaluation</w:t>
            </w:r>
          </w:p>
        </w:tc>
      </w:tr>
      <w:tr>
        <w:tc>
          <w:tcPr>
            <w:tcW w:type="dxa" w:w="4560"/>
            <w:tcBorders>
              <w:top w:val="single" w:color="CBD5E0" w:sz="2"/>
              <w:left w:val="single" w:color="CBD5E0" w:sz="2"/>
              <w:bottom w:val="single" w:color="CBD5E0" w:sz="2"/>
              <w:right w:val="single" w:color="CBD5E0" w:sz="2"/>
            </w:tcBorders>
            <w:shd w:fill="EFF4FB" w:val="clear"/>
            <w:tcMar>
              <w:top w:type="dxa" w:w="100"/>
              <w:left w:type="dxa" w:w="200"/>
              <w:bottom w:type="dxa" w:w="100"/>
              <w:right w:type="dxa" w:w="200"/>
            </w:tcMar>
          </w:tcPr>
          <w:p>
            <w:r>
              <w:rPr>
                <w:sz w:val="21"/>
                <w:szCs w:val="21"/>
              </w:rPr>
              <w:t xml:space="preserve">Names the systems involved</w:t>
            </w:r>
          </w:p>
        </w:tc>
        <w:tc>
          <w:tcPr>
            <w:tcW w:type="dxa" w:w="4560"/>
            <w:tcBorders>
              <w:top w:val="single" w:color="CBD5E0" w:sz="2"/>
              <w:left w:val="single" w:color="CBD5E0" w:sz="2"/>
              <w:bottom w:val="single" w:color="CBD5E0" w:sz="2"/>
              <w:right w:val="single" w:color="CBD5E0" w:sz="2"/>
            </w:tcBorders>
            <w:shd w:fill="F7FAFF" w:val="clear"/>
            <w:tcMar>
              <w:top w:type="dxa" w:w="100"/>
              <w:left w:type="dxa" w:w="200"/>
              <w:bottom w:type="dxa" w:w="100"/>
              <w:right w:type="dxa" w:w="200"/>
            </w:tcMar>
          </w:tcPr>
          <w:p>
            <w:r>
              <w:rPr>
                <w:b/>
                <w:bCs/>
                <w:sz w:val="21"/>
                <w:szCs w:val="21"/>
              </w:rPr>
              <w:t xml:space="preserve">Names ownership boundaries precisely enough to route any bug or escalation</w:t>
            </w:r>
          </w:p>
        </w:tc>
      </w:tr>
      <w:tr>
        <w:tc>
          <w:tcPr>
            <w:tcW w:type="dxa" w:w="4560"/>
            <w:tcBorders>
              <w:top w:val="single" w:color="CBD5E0" w:sz="2"/>
              <w:left w:val="single" w:color="CBD5E0" w:sz="2"/>
              <w:bottom w:val="single" w:color="CBD5E0" w:sz="2"/>
              <w:right w:val="single" w:color="CBD5E0" w:sz="2"/>
            </w:tcBorders>
            <w:shd w:fill="EFF4FB" w:val="clear"/>
            <w:tcMar>
              <w:top w:type="dxa" w:w="100"/>
              <w:left w:type="dxa" w:w="200"/>
              <w:bottom w:type="dxa" w:w="100"/>
              <w:right w:type="dxa" w:w="200"/>
            </w:tcMar>
          </w:tcPr>
          <w:p>
            <w:r>
              <w:rPr>
                <w:sz w:val="21"/>
                <w:szCs w:val="21"/>
              </w:rPr>
              <w:t xml:space="preserve">Addresses failure in general terms</w:t>
            </w:r>
          </w:p>
        </w:tc>
        <w:tc>
          <w:tcPr>
            <w:tcW w:type="dxa" w:w="4560"/>
            <w:tcBorders>
              <w:top w:val="single" w:color="CBD5E0" w:sz="2"/>
              <w:left w:val="single" w:color="CBD5E0" w:sz="2"/>
              <w:bottom w:val="single" w:color="CBD5E0" w:sz="2"/>
              <w:right w:val="single" w:color="CBD5E0" w:sz="2"/>
            </w:tcBorders>
            <w:shd w:fill="F7FAFF" w:val="clear"/>
            <w:tcMar>
              <w:top w:type="dxa" w:w="100"/>
              <w:left w:type="dxa" w:w="200"/>
              <w:bottom w:type="dxa" w:w="100"/>
              <w:right w:type="dxa" w:w="200"/>
            </w:tcMar>
          </w:tcPr>
          <w:p>
            <w:r>
              <w:rPr>
                <w:b/>
                <w:bCs/>
                <w:sz w:val="21"/>
                <w:szCs w:val="21"/>
              </w:rPr>
              <w:t xml:space="preserve">Defines failure mode, operational signal, and recovery path for each subsystem</w:t>
            </w:r>
          </w:p>
        </w:tc>
      </w:tr>
      <w:tr>
        <w:tc>
          <w:tcPr>
            <w:tcW w:type="dxa" w:w="4560"/>
            <w:tcBorders>
              <w:top w:val="single" w:color="CBD5E0" w:sz="2"/>
              <w:left w:val="single" w:color="CBD5E0" w:sz="2"/>
              <w:bottom w:val="single" w:color="CBD5E0" w:sz="2"/>
              <w:right w:val="single" w:color="CBD5E0" w:sz="2"/>
            </w:tcBorders>
            <w:shd w:fill="EFF4FB" w:val="clear"/>
            <w:tcMar>
              <w:top w:type="dxa" w:w="100"/>
              <w:left w:type="dxa" w:w="200"/>
              <w:bottom w:type="dxa" w:w="100"/>
              <w:right w:type="dxa" w:w="200"/>
            </w:tcMar>
          </w:tcPr>
          <w:p>
            <w:r>
              <w:rPr>
                <w:sz w:val="21"/>
                <w:szCs w:val="21"/>
              </w:rPr>
              <w:t xml:space="preserve">Two engineers could discuss it</w:t>
            </w:r>
          </w:p>
        </w:tc>
        <w:tc>
          <w:tcPr>
            <w:tcW w:type="dxa" w:w="4560"/>
            <w:tcBorders>
              <w:top w:val="single" w:color="CBD5E0" w:sz="2"/>
              <w:left w:val="single" w:color="CBD5E0" w:sz="2"/>
              <w:bottom w:val="single" w:color="CBD5E0" w:sz="2"/>
              <w:right w:val="single" w:color="CBD5E0" w:sz="2"/>
            </w:tcBorders>
            <w:shd w:fill="F7FAFF" w:val="clear"/>
            <w:tcMar>
              <w:top w:type="dxa" w:w="100"/>
              <w:left w:type="dxa" w:w="200"/>
              <w:bottom w:type="dxa" w:w="100"/>
              <w:right w:type="dxa" w:w="200"/>
            </w:tcMar>
          </w:tcPr>
          <w:p>
            <w:r>
              <w:rPr>
                <w:b/>
                <w:bCs/>
                <w:sz w:val="21"/>
                <w:szCs w:val="21"/>
              </w:rPr>
              <w:t xml:space="preserve">Two engineers could independently build to the contract with no coordination beyond the document</w:t>
            </w:r>
          </w:p>
        </w:tc>
      </w:tr>
    </w:tbl>
    <w:p>
      <w:pPr>
        <w:pStyle w:val="BodyText"/>
        <w:spacing w:after="80"/>
      </w:pPr>
      <w:r>
        <w:t xml:space="preserve"/>
      </w:r>
    </w:p>
    <w:p>
      <w:pPr>
        <w:pStyle w:val="Heading1"/>
      </w:pPr>
      <w:r>
        <w:t xml:space="preserve">Sources and Reference Implementation</w:t>
      </w:r>
    </w:p>
    <w:p>
      <w:pPr>
        <w:pStyle w:val="BodyText"/>
      </w:pPr>
      <w:r>
        <w:t xml:space="preserve">This guide synthesizes principles from the following sources. All are available as reference implementations of the standard described above.</w:t>
      </w:r>
    </w:p>
    <w:p>
      <w:pPr>
        <w:pStyle w:val="BodyText"/>
        <w:numPr>
          <w:ilvl w:val="0"/>
          <w:numId w:val="3"/>
        </w:numPr>
      </w:pPr>
      <w:r>
        <w:t xml:space="preserve">Skywalker Architecture Plan series (Sections 01–09)</w:t>
      </w:r>
    </w:p>
    <w:p>
      <w:pPr>
        <w:pStyle w:val="BodyText"/>
        <w:numPr>
          <w:ilvl w:val="0"/>
          <w:numId w:val="3"/>
        </w:numPr>
      </w:pPr>
      <w:r>
        <w:t xml:space="preserve">Architecture Review documents (Documents 1–4)</w:t>
      </w:r>
    </w:p>
    <w:p>
      <w:pPr>
        <w:pStyle w:val="BodyText"/>
        <w:numPr>
          <w:ilvl w:val="0"/>
          <w:numId w:val="3"/>
        </w:numPr>
      </w:pPr>
      <w:r>
        <w:t xml:space="preserve">Skywalker PRD V2</w:t>
      </w:r>
    </w:p>
    <w:p>
      <w:pPr>
        <w:pStyle w:val="BodyText"/>
        <w:numPr>
          <w:ilvl w:val="0"/>
          <w:numId w:val="3"/>
        </w:numPr>
      </w:pPr>
      <w:r>
        <w:t xml:space="preserve">Amazon engineering writing culture as practiced in L8+ design reviews</w:t>
      </w:r>
    </w:p>
    <w:p>
      <w:pPr>
        <w:pStyle w:val="BodyText"/>
        <w:spacing w:after="80"/>
      </w:pPr>
      <w:r>
        <w:t xml:space="preserve"/>
      </w:r>
    </w:p>
    <w:p>
      <w:pPr>
        <w:pStyle w:val="BodyText"/>
      </w:pPr>
      <w:r>
        <w:t xml:space="preserve">The Skywalker architecture series is a living example of every principle in this guide. When in doubt about how to apply any principle, review how it appears in the series — not as theory, but as working documentation.</w:t>
      </w:r>
    </w:p>
    <w:p>
      <w:pPr>
        <w:pStyle w:val="BodyText"/>
        <w:spacing w:after="80"/>
      </w:pPr>
      <w:r>
        <w:t xml:space="preserve"/>
      </w:r>
    </w:p>
    <w:p>
      <w:pPr>
        <w:pStyle w:val="BodyText"/>
        <w:spacing w:after="80"/>
      </w:pPr>
      <w:r>
        <w:t xml:space="preserve"/>
      </w:r>
    </w:p>
    <w:tbl>
      <w:tblPr>
        <w:tblW w:type="auto" w:w="10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B2A47" w:sz="8"/>
              <w:left w:val="none" w:color="FFFFFF" w:sz="0"/>
              <w:bottom w:val="none" w:color="FFFFFF" w:sz="0"/>
              <w:right w:val="none" w:color="FFFFFF" w:sz="0"/>
            </w:tcBorders>
            <w:shd w:fill="FFFFFF" w:val="clear"/>
            <w:tcMar>
              <w:top w:type="dxa" w:w="140"/>
              <w:left w:type="dxa" w:w="0"/>
              <w:bottom w:type="dxa" w:w="80"/>
              <w:right w:type="dxa" w:w="0"/>
            </w:tcMar>
          </w:tcPr>
          <w:p>
            <w:pPr>
              <w:tabs>
                <w:tab w:val="right" w:pos="9026"/>
              </w:tabs>
            </w:pPr>
            <w:r>
              <w:rPr>
                <w:rFonts w:ascii="Calibri" w:cs="Calibri" w:eastAsia="Calibri" w:hAnsi="Calibri"/>
                <w:color w:val="8A9ABB"/>
                <w:sz w:val="18"/>
                <w:szCs w:val="18"/>
              </w:rPr>
              <w:t xml:space="preserve">INTERNAL USE ONLY — Project Skywalker — Architecture Documentation Standards</w:t>
            </w:r>
            <w:r>
              <w:rPr>
                <w:sz w:val="18"/>
                <w:szCs w:val="18"/>
              </w:rPr>
              <w:t xml:space="preserve">			</w:t>
            </w:r>
            <w:r>
              <w:rPr>
                <w:rFonts w:ascii="Calibri" w:cs="Calibri" w:eastAsia="Calibri" w:hAnsi="Calibri"/>
                <w:i/>
                <w:iCs/>
                <w:color w:val="8A9ABB"/>
                <w:sz w:val="18"/>
                <w:szCs w:val="18"/>
              </w:rPr>
              <w:t xml:space="preserve">For Nick Matthews from George Masters, June 2026</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4" w:sz="4" w:space="4"/>
      </w:pBdr>
      <w:jc w:val="center"/>
    </w:pPr>
    <w:r>
      <w:rPr>
        <w:rFonts w:ascii="Calibri" w:cs="Calibri" w:eastAsia="Calibri" w:hAnsi="Calibri"/>
        <w:color w:val="A0AABB"/>
        <w:sz w:val="18"/>
        <w:szCs w:val="18"/>
      </w:rPr>
      <w:t xml:space="preserve">Page </w:t>
    </w:r>
    <w:r>
      <w:rPr>
        <w:rFonts w:ascii="Calibri" w:cs="Calibri" w:eastAsia="Calibri" w:hAnsi="Calibri"/>
        <w:color w:val="6B7FA0"/>
        <w:sz w:val="18"/>
        <w:szCs w:val="18"/>
      </w:rPr>
      <w:fldChar w:fldCharType="begin"/>
      <w:instrText xml:space="preserve">PAGE</w:instrText>
      <w:fldChar w:fldCharType="separate"/>
      <w:fldChar w:fldCharType="end"/>
    </w:r>
    <w:r>
      <w:rPr>
        <w:rFonts w:ascii="Calibri" w:cs="Calibri" w:eastAsia="Calibri" w:hAnsi="Calibri"/>
        <w:color w:val="A0AABB"/>
        <w:sz w:val="18"/>
        <w:szCs w:val="18"/>
      </w:rPr>
      <w:t xml:space="preserve"> of </w:t>
    </w:r>
    <w:r>
      <w:rPr>
        <w:rFonts w:ascii="Calibri" w:cs="Calibri" w:eastAsia="Calibri" w:hAnsi="Calibri"/>
        <w:color w:val="6B7FA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4" w:sz="4" w:space="4"/>
      </w:pBdr>
      <w:tabs>
        <w:tab w:val="right" w:pos="9026"/>
      </w:tabs>
    </w:pPr>
    <w:r>
      <w:rPr>
        <w:rFonts w:ascii="Calibri" w:cs="Calibri" w:eastAsia="Calibri" w:hAnsi="Calibri"/>
        <w:color w:val="A0AABB"/>
        <w:sz w:val="18"/>
        <w:szCs w:val="18"/>
      </w:rPr>
      <w:t xml:space="preserve">L8-Ready Technical Architecture Documentation Guide</w:t>
    </w:r>
    <w:r>
      <w:rPr>
        <w:sz w:val="18"/>
        <w:szCs w:val="18"/>
      </w:rPr>
      <w:t xml:space="preserve">	</w:t>
    </w:r>
    <w:r>
      <w:rPr>
        <w:rFonts w:ascii="Calibri" w:cs="Calibri" w:eastAsia="Calibri" w:hAnsi="Calibri"/>
        <w:b/>
        <w:bCs/>
        <w:color w:val="A0AABB"/>
        <w:sz w:val="18"/>
        <w:szCs w:val="18"/>
      </w:rPr>
      <w:t xml:space="preserve">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rPr>
        <w:rFonts w:ascii="Symbol" w:cs="Symbol" w:eastAsia="Symbol" w:hAnsi="Symbol"/>
        <w:sz w:val="22"/>
        <w:szCs w:val="22"/>
      </w:rPr>
    </w:lvl>
    <w:lvl w:ilvl="1" w15:tentative="1">
      <w:start w:val="1"/>
      <w:numFmt w:val="bullet"/>
      <w:lvlText w:val="◦"/>
      <w:lvlJc w:val="left"/>
      <w:pPr>
        <w:ind w:left="1080" w:hanging="360"/>
      </w:pPr>
      <w:rPr>
        <w:rFonts w:ascii="Courier New" w:cs="Courier New" w:eastAsia="Courier New" w:hAnsi="Courier New"/>
        <w:sz w:val="20"/>
        <w:szCs w:val="20"/>
      </w:rPr>
    </w:lvl>
  </w:abstractNum>
  <w:abstractNum w:abstractNumId="3" w15:restartNumberingAfterBreak="0">
    <w:multiLevelType w:val="hybridMultilevel"/>
    <w:lvl w:ilvl="0" w15:tentative="1">
      <w:start w:val="1"/>
      <w:numFmt w:val="bullet"/>
      <w:lvlText w:val="□"/>
      <w:lvlJc w:val="left"/>
      <w:pPr>
        <w:ind w:left="60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0"/>
      <w:jc w:val="left"/>
    </w:pPr>
    <w:rPr>
      <w:rFonts w:ascii="Calibri" w:cs="Calibri" w:eastAsia="Calibri" w:hAnsi="Calibri"/>
      <w:b/>
      <w:bCs/>
      <w:color w:val="1B2A47"/>
      <w:sz w:val="52"/>
      <w:szCs w:val="52"/>
    </w:rPr>
  </w:style>
  <w:style w:type="paragraph" w:styleId="DocSubtitle">
    <w:name w:val="DocSubtitle"/>
    <w:basedOn w:val="Normal"/>
    <w:qFormat/>
    <w:pPr>
      <w:spacing w:after="400" w:before="0"/>
      <w:jc w:val="left"/>
    </w:pPr>
    <w:rPr>
      <w:rFonts w:ascii="Calibri" w:cs="Calibri" w:eastAsia="Calibri" w:hAnsi="Calibri"/>
      <w:i/>
      <w:iCs/>
      <w:color w:val="5A6A8A"/>
      <w:sz w:val="22"/>
      <w:szCs w:val="22"/>
    </w:rPr>
  </w:style>
  <w:style w:type="paragraph" w:styleId="Heading1">
    <w:name w:val="Heading 1"/>
    <w:basedOn w:val="Normal"/>
    <w:next w:val="Normal"/>
    <w:qFormat/>
    <w:pPr>
      <w:pBdr>
        <w:bottom w:val="single" w:color="D0D8E8" w:sz="4" w:space="4"/>
      </w:pBdr>
      <w:spacing w:after="160" w:before="480"/>
      <w:outlineLvl w:val="0"/>
    </w:pPr>
    <w:rPr>
      <w:rFonts w:ascii="Calibri" w:cs="Calibri" w:eastAsia="Calibri" w:hAnsi="Calibri"/>
      <w:b/>
      <w:bCs/>
      <w:color w:val="1B2A47"/>
      <w:sz w:val="30"/>
      <w:szCs w:val="30"/>
    </w:rPr>
  </w:style>
  <w:style w:type="paragraph" w:styleId="Heading2">
    <w:name w:val="Heading 2"/>
    <w:basedOn w:val="Normal"/>
    <w:next w:val="Normal"/>
    <w:qFormat/>
    <w:pPr>
      <w:spacing w:after="120" w:before="360"/>
      <w:outlineLvl w:val="1"/>
    </w:pPr>
    <w:rPr>
      <w:rFonts w:ascii="Calibri" w:cs="Calibri" w:eastAsia="Calibri" w:hAnsi="Calibri"/>
      <w:b/>
      <w:bCs/>
      <w:color w:val="1E3A6B"/>
      <w:sz w:val="24"/>
      <w:szCs w:val="24"/>
    </w:rPr>
  </w:style>
  <w:style w:type="paragraph" w:styleId="Heading3">
    <w:name w:val="Heading 3"/>
    <w:basedOn w:val="Normal"/>
    <w:next w:val="Normal"/>
    <w:qFormat/>
    <w:pPr>
      <w:spacing w:after="80" w:before="280"/>
      <w:outlineLvl w:val="2"/>
    </w:pPr>
    <w:rPr>
      <w:rFonts w:ascii="Calibri" w:cs="Calibri" w:eastAsia="Calibri" w:hAnsi="Calibri"/>
      <w:b/>
      <w:bCs/>
      <w:color w:val="2C5282"/>
      <w:sz w:val="22"/>
      <w:szCs w:val="22"/>
    </w:rPr>
  </w:style>
  <w:style w:type="paragraph" w:styleId="BodyText">
    <w:name w:val="Body Text"/>
    <w:basedOn w:val="Normal"/>
    <w:pPr>
      <w:spacing w:after="160" w:before="0" w:line="276"/>
    </w:pPr>
    <w:rPr>
      <w:rFonts w:ascii="Calibri" w:cs="Calibri" w:eastAsia="Calibri" w:hAnsi="Calibri"/>
      <w:color w:val="1A1A2E"/>
      <w:sz w:val="22"/>
      <w:szCs w:val="22"/>
    </w:rPr>
  </w:style>
  <w:style w:type="paragraph" w:styleId="IntroText">
    <w:name w:val="Intro Text"/>
    <w:basedOn w:val="Normal"/>
    <w:pPr>
      <w:spacing w:after="200" w:before="0" w:line="300"/>
    </w:pPr>
    <w:rPr>
      <w:rFonts w:ascii="Calibri" w:cs="Calibri" w:eastAsia="Calibri" w:hAnsi="Calibri"/>
      <w:i w:val="false"/>
      <w:iCs w:val="false"/>
      <w:color w:val="2D3748"/>
      <w:sz w:val="23"/>
      <w:szCs w:val="23"/>
    </w:rPr>
  </w:style>
  <w:style w:type="paragraph" w:styleId="CalloutText">
    <w:name w:val="Callout Text"/>
    <w:basedOn w:val="Normal"/>
    <w:pPr>
      <w:spacing w:after="80" w:before="80" w:line="264"/>
      <w:ind w:left="120"/>
    </w:pPr>
    <w:rPr>
      <w:rFonts w:ascii="Calibri" w:cs="Calibri" w:eastAsia="Calibri" w:hAnsi="Calibri"/>
      <w:color w:val="1A365D"/>
      <w:sz w:val="22"/>
      <w:szCs w:val="22"/>
    </w:rPr>
  </w:style>
  <w:style w:type="paragraph" w:styleId="FooterStyle">
    <w:name w:val="Footer Style"/>
    <w:basedOn w:val="Normal"/>
    <w:pPr>
      <w:jc w:val="center"/>
    </w:pPr>
    <w:rPr>
      <w:rFonts w:ascii="Calibri" w:cs="Calibri" w:eastAsia="Calibri" w:hAnsi="Calibri"/>
      <w:color w:val="8A9ABB"/>
      <w:sz w:val="18"/>
      <w:szCs w:val="18"/>
    </w:rPr>
  </w:style>
  <w:style w:type="character" w:styleId="CodeInline">
    <w:name w:val="Code Inline"/>
    <w:uiPriority w:val="99"/>
    <w:unhideWhenUsed/>
    <w:rPr>
      <w:rFonts w:ascii="Consolas" w:cs="Consolas" w:eastAsia="Consolas" w:hAnsi="Consolas"/>
      <w:b w:val="false"/>
      <w:bCs w:val="false"/>
      <w:color w:val="C7254E"/>
      <w:sz w:val="20"/>
      <w:szCs w:val="20"/>
    </w:rPr>
  </w:style>
  <w:style w:type="character" w:styleId="Strong">
    <w:name w:val="Strong"/>
    <w:uiPriority w:val="99"/>
    <w:unhideWhenUsed/>
    <w:rPr>
      <w:b/>
      <w:bCs/>
      <w:color w:val="1A1A2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DDAF486-D947-4E6D-A964-B4AEB5BD9B33}">
  <we:reference id="2f33f607-97c7-4595-bf11-f05b1ebfa89c" version="1.0.1.8" store="EXCatalog" storeType="EXCatalog"/>
  <we:alternateReferences/>
  <we:properties>
    <we:property name="Office.AutoShowTaskpaneWithDocument" value="true"/>
    <we:property name="conversationId" value="&quot;83929315-d8cf-41ab-8ef1-68648ab4fed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2026-06-10T06:05:08.050Z</dcterms:created>
  <dcterms:modified xsi:type="dcterms:W3CDTF">2026-06-10T06:05:08.052Z</dcterms:modified>
</cp:coreProperties>
</file>

<file path=docProps/custom.xml><?xml version="1.0" encoding="utf-8"?>
<Properties xmlns="http://schemas.openxmlformats.org/officeDocument/2006/custom-properties" xmlns:vt="http://schemas.openxmlformats.org/officeDocument/2006/docPropsVTypes"/>
</file>