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t xml:space="preserve">5. Query Pipeline</w:t>
      </w:r>
    </w:p>
    <w:p>
      <w:pPr>
        <w:spacing w:after="120" w:before="120"/>
      </w:pPr>
      <w:r>
        <w:rPr>
          <w:b/>
          <w:bCs/>
        </w:rPr>
        <w:t xml:space="preserve">Scope:</w:t>
      </w:r>
      <w:r>
        <w:t xml:space="preserve"> Phase 1 June baseline and Phase 2 August routing shape</w:t>
      </w:r>
    </w:p>
    <w:p>
      <w:pPr>
        <w:pStyle w:val="Heading3"/>
        <w:spacing w:after="120" w:before="240"/>
      </w:pPr>
      <w:r>
        <w:t xml:space="preserve">5.1 Where This Part Sits in the Larger Architecture</w:t>
      </w:r>
    </w:p>
    <w:p>
      <w:pPr>
        <w:spacing w:after="120" w:before="120"/>
      </w:pPr>
      <w:r>
        <w:t xml:space="preserve">In the earlier parts of the larger Skywalker document, we establish why the system exists, how knowledge enters it, how we shape documents into retrieval-ready structures, and how we store those structures in OpenSearch. This part picks up at the moment a real user sends us a real question. It defines the online path. We are specifying how we take a scoped request, apply identity-aware retrieval, refine the evidence, and return a grounded answer envelope that the caller can trust and render consistently. The query path consumes the metadata contract created by ingest, relies on the chunk taxonomy produced by the chunker, and exercises the OpenSearch decisions established in §4.</w:t>
      </w:r>
    </w:p>
    <w:p>
      <w:pPr>
        <w:pStyle w:val="Heading3"/>
        <w:spacing w:after="120" w:before="240"/>
      </w:pPr>
      <w:r>
        <w:t xml:space="preserve">5.2 What We Are Building in the Query Path</w:t>
      </w:r>
    </w:p>
    <w:p>
      <w:pPr>
        <w:spacing w:after="120" w:before="120"/>
      </w:pPr>
      <w:r>
        <w:t xml:space="preserve">We define the query pipeline as the complete request path from when a caller submits a user question with identity context to when we return a structured response envelope containing answer text, source links, policy links, routing metadata, and confidence signaling --- the full online execution path for one question.</w:t>
      </w:r>
    </w:p>
    <w:p>
      <w:pPr>
        <w:spacing w:after="120" w:before="120"/>
      </w:pPr>
      <w:r>
        <w:t xml:space="preserve">In Skywalker, that path is single-pass by design. We are not building a multi-hop research agent. We are answering T&amp;E policy and process questions against a bounded operational corpus with strong metadata constraints and a tight latency target. In that environment, the right plan is one well-constructed retrieval pass, followed by reranking, followed by tightly constrained generation or a direct FAQ cache return when the question is one we already understand well enough to answer from authored content.</w:t>
      </w:r>
    </w:p>
    <w:p>
      <w:pPr>
        <w:spacing w:after="120" w:before="120"/>
      </w:pPr>
      <w:r>
        <w:t xml:space="preserve">That gives us three runtime answer outcomes even though we have only two milestone phases. In Phase 1, the only live answer path is the RAG path. In Phase 2, the FAQ cache becomes a first-stage intercept for high-confidence known questions. At runtime, we therefore support a direct cache hit, a deliberate fallthrough from attempted cache routing into the RAG path, and a pure RAG path with no cache attempt because the feature is disabled. These distinctions affect how we interpret latency, how we attribute misses, and how we measure quality.</w:t>
      </w:r>
    </w:p>
    <w:p>
      <w:pPr>
        <w:spacing w:after="120" w:before="120"/>
      </w:pPr>
      <w:r>
        <w:t xml:space="preserve">The central control surface for the online path is still the Java Query Orchestrator, but we should not describe the subsystem as though every concern begins and ends inside one service. Some responsibilities belong in OpenSearch search pipelines, some at ingest time, and some in the generation boundary.</w:t>
      </w:r>
    </w:p>
    <w:p>
      <w:pPr>
        <w:pStyle w:val="Heading3"/>
        <w:spacing w:after="120" w:before="240"/>
      </w:pPr>
      <w:r>
        <w:t xml:space="preserve">5.3 The Fixed Decisions We Build Around</w:t>
      </w:r>
    </w:p>
    <w:p>
      <w:pPr>
        <w:spacing w:after="120" w:before="120"/>
      </w:pPr>
      <w:r>
        <w:t xml:space="preserve">We standardize the embedding contract on Cohere Embed v4 through Amazon Bedrock, using </w:t>
      </w:r>
      <w:r>
        <w:rPr>
          <w:rFonts w:ascii="Consolas" w:cs="Consolas" w:eastAsia="Consolas" w:hAnsi="Consolas"/>
          <w:sz w:val="20"/>
          <w:szCs w:val="20"/>
          <w:shd w:fill="F0F0F0" w:val="clear"/>
        </w:rPr>
        <w:t xml:space="preserve">cohere.embed-v4:0</w:t>
      </w:r>
      <w:r>
        <w:t xml:space="preserve">, strict </w:t>
      </w:r>
      <w:r>
        <w:rPr>
          <w:rFonts w:ascii="Consolas" w:cs="Consolas" w:eastAsia="Consolas" w:hAnsi="Consolas"/>
          <w:sz w:val="20"/>
          <w:szCs w:val="20"/>
          <w:shd w:fill="F0F0F0" w:val="clear"/>
        </w:rPr>
        <w:t xml:space="preserve">search_document</w:t>
      </w:r>
      <w:r>
        <w:t xml:space="preserve"> versus </w:t>
      </w:r>
      <w:r>
        <w:rPr>
          <w:rFonts w:ascii="Consolas" w:cs="Consolas" w:eastAsia="Consolas" w:hAnsi="Consolas"/>
          <w:sz w:val="20"/>
          <w:szCs w:val="20"/>
          <w:shd w:fill="F0F0F0" w:val="clear"/>
        </w:rPr>
        <w:t xml:space="preserve">search_query</w:t>
      </w:r>
      <w:r>
        <w:t xml:space="preserve"> input-type asymmetry for corpus and query embedding respectively, float embeddings, and a launch output dimension pinned to</w:t>
      </w:r>
    </w:p>
    <w:p>
      <w:pPr>
        <w:pStyle w:val="ListParagraph"/>
        <w:numPr>
          <w:ilvl w:val="0"/>
          <w:numId w:val="2"/>
        </w:numPr>
        <w:spacing w:after="60" w:before="60"/>
      </w:pPr>
      <w:r>
        <w:t xml:space="preserve">The service supports configurable output dimensions from 256</w:t>
      </w:r>
    </w:p>
    <w:p>
      <w:pPr>
        <w:spacing w:after="120" w:before="120"/>
      </w:pPr>
      <w:r>
        <w:t xml:space="preserve">through 1536, which is useful for controlled future experiments, but any dimension change is a corpus-wide migration. It is not a per-request toggle and it is not something we let drift casually once the index is live.</w:t>
      </w:r>
    </w:p>
    <w:p>
      <w:pPr>
        <w:spacing w:after="120" w:before="120"/>
      </w:pPr>
      <w:r>
        <w:t xml:space="preserve">We also treat Bedrock Inline Agent as the required generation surface for this architecture. At the same time, we keep it behind a narrow internal boundary. Current Bedrock documentation makes it clear that inline agents support streaming, prompt overrides, session identifiers, idle session TTL, and inline session state, while also marking the feature as preview. That is not a reason to avoid it. It is a reason to isolate it so the rest of the query path does not become coupled to preview-specific mechanics.</w:t>
      </w:r>
    </w:p>
    <w:p>
      <w:pPr>
        <w:spacing w:after="120" w:before="120"/>
      </w:pPr>
      <w:r>
        <w:t xml:space="preserve">For policy links, we follow the ingest-time inheritance model established in the larger design. We do not add a second query-time subsystem that looks up policy links independently of retrieval. Instead, we inherit policy links onto chunk metadata during ingest and propagate them forward from the reranked context set into the response envelope.</w:t>
      </w:r>
    </w:p>
    <w:p>
      <w:pPr>
        <w:spacing w:after="120" w:before="120"/>
      </w:pPr>
      <w:r>
        <w:t xml:space="preserve">For chunk handling, we carry the four-type taxonomy established by the chunker all the way through the online path: parent chunks, child chunks, semantic chunks, and boundary chunks. The query pipeline therefore does not treat every retrieved candidate as the same kind of object. It deliberately reshapes candidates before reranking so the cross-encoder sees the right surfaces.</w:t>
      </w:r>
    </w:p>
    <w:p>
      <w:pPr>
        <w:spacing w:after="120" w:before="120"/>
      </w:pPr>
      <w:r>
        <w:t xml:space="preserve">Finally, we keep hybrid score fusion where it belongs: inside OpenSearch search-pipeline machinery rather than hand-assembling score arithmetic in Java. Our application should express retrieval intent and metadata constraints. Our search layer should own lexical-vector normalization and combination.</w:t>
      </w:r>
    </w:p>
    <w:p>
      <w:pPr>
        <w:pBdr>
          <w:bottom w:val="single" w:color="CCCCCC" w:sz="4" w:space="1"/>
        </w:pBdr>
        <w:spacing w:after="200" w:before="200"/>
      </w:pPr>
    </w:p>
    <w:p>
      <w:pPr>
        <w:spacing w:after="120" w:before="120"/>
      </w:pPr>
      <w:r>
        <w:t xml:space="preserve">\### 5.4 The Request Contract and the Identity Context Problem</w:t>
      </w:r>
    </w:p>
    <w:p>
      <w:pPr>
        <w:spacing w:after="120" w:before="120"/>
      </w:pPr>
      <w:r>
        <w:t xml:space="preserve">Every query enters the system as structured input, not as an unstructured prompt handed directly to a model. The request must contain the user's question, the user's country, the user's approximate job level, and the user's access-control tier. It may also contain a destination country for travel questions and a session identifier.</w:t>
      </w:r>
    </w:p>
    <w:p>
      <w:pPr>
        <w:spacing w:after="120" w:before="120"/>
      </w:pPr>
      <w:r>
        <w:t xml:space="preserve">We treat </w:t>
      </w:r>
      <w:r>
        <w:rPr>
          <w:rFonts w:ascii="Consolas" w:cs="Consolas" w:eastAsia="Consolas" w:hAnsi="Consolas"/>
          <w:sz w:val="20"/>
          <w:szCs w:val="20"/>
          <w:shd w:fill="F0F0F0" w:val="clear"/>
        </w:rPr>
        <w:t xml:space="preserve">query_text</w:t>
      </w:r>
      <w:r>
        <w:t xml:space="preserve">, </w:t>
      </w:r>
      <w:r>
        <w:rPr>
          <w:rFonts w:ascii="Consolas" w:cs="Consolas" w:eastAsia="Consolas" w:hAnsi="Consolas"/>
          <w:sz w:val="20"/>
          <w:szCs w:val="20"/>
          <w:shd w:fill="F0F0F0" w:val="clear"/>
        </w:rPr>
        <w:t xml:space="preserve">user_level</w:t>
      </w:r>
      <w:r>
        <w:t xml:space="preserve">, and </w:t>
      </w:r>
      <w:r>
        <w:rPr>
          <w:rFonts w:ascii="Consolas" w:cs="Consolas" w:eastAsia="Consolas" w:hAnsi="Consolas"/>
          <w:sz w:val="20"/>
          <w:szCs w:val="20"/>
          <w:shd w:fill="F0F0F0" w:val="clear"/>
        </w:rPr>
        <w:t xml:space="preserve">user_country</w:t>
      </w:r>
      <w:r>
        <w:t xml:space="preserve"> as mandatory. Without them we cannot construct the metadata filters that make the answer specific to the employee asking. In this system, context-free is not neutral. It is wrong-shaped. A hotel entitlement answer that is valid for one level or one country but not another is not "mostly right." It is operationally bad data. We should refuse to pretend otherwise.</w:t>
      </w:r>
    </w:p>
    <w:p>
      <w:pPr>
        <w:spacing w:after="120" w:before="120"/>
      </w:pPr>
      <w:r>
        <w:t xml:space="preserve">The request contract is the same regardless of which integration surface submits the query. An enterprise web session, the Slack bot, and the external chatbot API all populate the same fields. What differs is the reliability of the metadata. Enterprise sessions provide identity context deterministically through authenticated session data. The Slack integration collects it through user self-report at the start of every conversation (see the Integration Shape section earlier in this document), which introduces a layer of uncertainty --- the user may provide incorrect information or may not know their exact level. The query pipeline does not distinguish between these sources. It treats the request fields as authoritative regardless of origin. The responsibility for metadata accuracy lives at the integration boundary, not inside the Orchestrator.</w:t>
      </w:r>
    </w:p>
    <w:p>
      <w:pPr>
        <w:spacing w:after="120" w:before="120"/>
      </w:pPr>
      <w:r>
        <w:t xml:space="preserve">We also need to account for the role or position dimension where role-differentiated policy applies. The fact that current request examples center on level and country does not make role optional in the architecture. It means the request contract is still narrower than the metadata philosophy we have already chosen. We should therefore reserve a first-class place in the online schema for role-sensitive scope even before the exact field name and encoding are finalized. Waiting until role-differentiated content enters the corpus and then discovering that the request contract has no clean way to express it would be a preventable design failure.</w:t>
      </w:r>
    </w:p>
    <w:p>
      <w:pPr>
        <w:spacing w:after="120" w:before="120"/>
      </w:pPr>
      <w:r>
        <w:t xml:space="preserve">We therefore treat the request contract as having four conceptually important identity dimensions. The required active ones are query text, level, country, and access tier. The reserved but architecturally real one is role or position scope. When role-sensitive content enters the index, that field graduates from reserved to required for the subset of requests whose policy applicability depends on it.</w:t>
      </w:r>
    </w:p>
    <w:p>
      <w:pPr>
        <w:spacing w:after="120" w:before="120"/>
      </w:pPr>
      <w:r>
        <w:rPr>
          <w:rFonts w:ascii="Consolas" w:cs="Consolas" w:eastAsia="Consolas" w:hAnsi="Consolas"/>
          <w:sz w:val="20"/>
          <w:szCs w:val="20"/>
          <w:shd w:fill="F0F0F0" w:val="clear"/>
        </w:rPr>
        <w:t xml:space="preserve">destination_country</w:t>
      </w:r>
      <w:r>
        <w:t xml:space="preserve"> is a first-class scope field, where the query path acknowledges that home-country context and destination-country policy scope are not the same thing. An employee based in the United States asking about hotel entitlements in Frankfurt is not asking a US-scoped entitlement question. Our retrieval filter has to account for that. The danger is not simply that the wrong chunk might rank lower. The danger is that home-country chunks may rank well enough lexically or semantically to look plausible while being wrong for the actual travel context.</w:t>
      </w:r>
    </w:p>
    <w:p>
      <w:pPr>
        <w:spacing w:after="120" w:before="120"/>
      </w:pPr>
      <w:r>
        <w:t xml:space="preserve">Our governing position is this: when </w:t>
      </w:r>
      <w:r>
        <w:rPr>
          <w:rFonts w:ascii="Consolas" w:cs="Consolas" w:eastAsia="Consolas" w:hAnsi="Consolas"/>
          <w:sz w:val="20"/>
          <w:szCs w:val="20"/>
          <w:shd w:fill="F0F0F0" w:val="clear"/>
        </w:rPr>
        <w:t xml:space="preserve">destination_country</w:t>
      </w:r>
      <w:r>
        <w:t xml:space="preserve"> is present and the question is about destination-governed entitlements or travel conditions, destination becomes the primary region filter for retrieval. We should not blindly widen the filter to </w:t>
      </w:r>
      <w:r>
        <w:rPr>
          <w:rFonts w:ascii="Consolas" w:cs="Consolas" w:eastAsia="Consolas" w:hAnsi="Consolas"/>
          <w:sz w:val="20"/>
          <w:szCs w:val="20"/>
          <w:shd w:fill="F0F0F0" w:val="clear"/>
        </w:rPr>
        <w:t xml:space="preserve">destination_country OR user_country</w:t>
      </w:r>
      <w:r>
        <w:t xml:space="preserve"> because that creates a recall gain by reintroducing irrelevant home-country content into the candidate set. If the corpus contains home-country process guidance that still matters for destination-governed questions, we should model that content with metadata that lets it survive for the right reasons, not by broadening the region filter and relying on the reranker to compensate.</w:t>
      </w:r>
    </w:p>
    <w:p>
      <w:pPr>
        <w:spacing w:after="120" w:before="120"/>
      </w:pPr>
      <w:r>
        <w:t xml:space="preserve">The </w:t>
      </w:r>
      <w:r>
        <w:rPr>
          <w:rFonts w:ascii="Consolas" w:cs="Consolas" w:eastAsia="Consolas" w:hAnsi="Consolas"/>
          <w:sz w:val="20"/>
          <w:szCs w:val="20"/>
          <w:shd w:fill="F0F0F0" w:val="clear"/>
        </w:rPr>
        <w:t xml:space="preserve">session_id</w:t>
      </w:r>
      <w:r>
        <w:t xml:space="preserve"> field is accepted in the online contract, but at launch it is not allowed to alter retrieval behavior. More on that later. -----------------------------------------------------------------------</w:t>
      </w:r>
    </w:p>
    <w:p>
      <w:pPr>
        <w:pStyle w:val="Heading3"/>
        <w:spacing w:after="120" w:before="240"/>
      </w:pPr>
      <w:r>
        <w:t xml:space="preserve">5.5 Request Validation and Rate Limiting</w:t>
      </w:r>
    </w:p>
    <w:p>
      <w:pPr>
        <w:spacing w:after="120" w:before="120"/>
      </w:pPr>
      <w:r>
        <w:t xml:space="preserve">The query pipeline rejects malformed or context-incomplete requests before any downstream service call. A request missing query text, user level, user country, or access tier is rejected immediately, as is a request whose level or country encoding does not match the system's accepted schema or that carries an access tier outside the supported set. This is the only clean place to stop bad requests before they contaminate metrics, burn inference budget, or produce ambiguous response handling downstream.</w:t>
      </w:r>
    </w:p>
    <w:p>
      <w:pPr>
        <w:spacing w:after="120" w:before="120"/>
      </w:pPr>
      <w:r>
        <w:t xml:space="preserve">We assign the correlation identifier immediately after validation as the request's continuity thread across the online path, propagated through every stage boundary, every downstream call, and the final response envelope. Rate limiting belongs after validation and before the embedding call --- malformed requests should not increment usage counters, and valid but excessive requests should be stopped before they consume expensive path resources, so a request that breaches the quota never reaches embedding. Missing context, invalid identity scope, and rate-limit violations are all reasons to return no answer, and the system does not offer degraded retrieval on a request that is malformed in the fields required for policy-safe answers.</w:t>
      </w:r>
    </w:p>
    <w:p>
      <w:pPr>
        <w:pStyle w:val="Heading3"/>
        <w:spacing w:after="120" w:before="240"/>
      </w:pPr>
      <w:r>
        <w:t xml:space="preserve">5.6 Embedding Contract</w:t>
      </w:r>
    </w:p>
    <w:p>
      <w:pPr>
        <w:spacing w:after="120" w:before="120"/>
      </w:pPr>
      <w:r>
        <w:t xml:space="preserve">After validation and rate limiting, the query pipeline embeds the query exactly once, and that vector is reused for FAQ classification in Phase 2 and for document retrieval in both phases with no separate classifier-specific or retrieval-specific embedding.</w:t>
      </w:r>
    </w:p>
    <w:p>
      <w:pPr>
        <w:spacing w:after="120" w:before="120"/>
      </w:pPr>
      <w:r>
        <w:t xml:space="preserve">The practical benefit is latency and simplicity, and using one embedding call also makes model coupling visible --- the FAQ classification index and the main retrieval index are built in the same embedding space, which means a model change is an index contract migration rather than a local tweak.</w:t>
      </w:r>
    </w:p>
    <w:p>
      <w:pPr>
        <w:spacing w:after="120" w:before="120"/>
      </w:pPr>
      <w:r>
        <w:t xml:space="preserve">Cohere Embed v4 supports multiple output dimensions. That means "we use Embed v4" is not enough. The live contract must freeze the model ID, the output dimension, the embedding type, and the input-type discipline together. In this part, the frozen contract is:</w:t>
      </w:r>
    </w:p>
    <w:p>
      <w:pPr>
        <w:spacing w:after="120" w:before="120"/>
      </w:pPr>
      <w:r>
        <w:rPr>
          <w:rFonts w:ascii="Consolas" w:cs="Consolas" w:eastAsia="Consolas" w:hAnsi="Consolas"/>
          <w:sz w:val="20"/>
          <w:szCs w:val="20"/>
          <w:shd w:fill="F0F0F0" w:val="clear"/>
        </w:rPr>
        <w:t xml:space="preserve">cohere.embed-v4:0</w:t>
      </w:r>
      <w:r>
        <w:t xml:space="preserve">, float embeddings, </w:t>
      </w:r>
      <w:r>
        <w:rPr>
          <w:rFonts w:ascii="Consolas" w:cs="Consolas" w:eastAsia="Consolas" w:hAnsi="Consolas"/>
          <w:sz w:val="20"/>
          <w:szCs w:val="20"/>
          <w:shd w:fill="F0F0F0" w:val="clear"/>
        </w:rPr>
        <w:t xml:space="preserve">output_dimension=1536</w:t>
      </w:r>
      <w:r>
        <w:t xml:space="preserve">, </w:t>
      </w:r>
      <w:r>
        <w:rPr>
          <w:rFonts w:ascii="Consolas" w:cs="Consolas" w:eastAsia="Consolas" w:hAnsi="Consolas"/>
          <w:sz w:val="20"/>
          <w:szCs w:val="20"/>
          <w:shd w:fill="F0F0F0" w:val="clear"/>
        </w:rPr>
        <w:t xml:space="preserve">input_type=search_query</w:t>
      </w:r>
      <w:r>
        <w:t xml:space="preserve"> for query-time calls, and </w:t>
      </w:r>
      <w:r>
        <w:rPr>
          <w:rFonts w:ascii="Consolas" w:cs="Consolas" w:eastAsia="Consolas" w:hAnsi="Consolas"/>
          <w:sz w:val="20"/>
          <w:szCs w:val="20"/>
          <w:shd w:fill="F0F0F0" w:val="clear"/>
        </w:rPr>
        <w:t xml:space="preserve">input_type=search_document</w:t>
      </w:r>
      <w:r>
        <w:t xml:space="preserve"> for ingest-time content embedding.</w:t>
      </w:r>
    </w:p>
    <w:p>
      <w:pPr>
        <w:spacing w:after="120" w:before="120"/>
      </w:pPr>
      <w:r>
        <w:t xml:space="preserve">1536 matches the current public default behavior of Embed v4 when no alternate output dimension is selected. More importantly, pinning the dimension explicitly avoids a nasty class of future ambiguity. Because the model can emit 256, 512, 1024, or 1536 dimensions, failing to pin the output dimension in both code and index schema is an invitation for one environment to index one shape and another to query with another. That sort of mismatch leads directly to avoidable runtime incompatibility.</w:t>
      </w:r>
    </w:p>
    <w:p>
      <w:pPr>
        <w:spacing w:after="120" w:before="120"/>
      </w:pPr>
      <w:r>
        <w:t xml:space="preserve">The </w:t>
      </w:r>
      <w:r>
        <w:rPr>
          <w:rFonts w:ascii="Consolas" w:cs="Consolas" w:eastAsia="Consolas" w:hAnsi="Consolas"/>
          <w:sz w:val="20"/>
          <w:szCs w:val="20"/>
          <w:shd w:fill="F0F0F0" w:val="clear"/>
        </w:rPr>
        <w:t xml:space="preserve">input_type</w:t>
      </w:r>
      <w:r>
        <w:t xml:space="preserve"> rule is even more load-bearing. Bedrock's current Embed v4 documentation explicitly preserves the asymmetric retrieval pattern: corpus content should be embedded with </w:t>
      </w:r>
      <w:r>
        <w:rPr>
          <w:rFonts w:ascii="Consolas" w:cs="Consolas" w:eastAsia="Consolas" w:hAnsi="Consolas"/>
          <w:sz w:val="20"/>
          <w:szCs w:val="20"/>
          <w:shd w:fill="F0F0F0" w:val="clear"/>
        </w:rPr>
        <w:t xml:space="preserve">search_document</w:t>
      </w:r>
      <w:r>
        <w:t xml:space="preserve"> and user queries with </w:t>
      </w:r>
      <w:r>
        <w:rPr>
          <w:rFonts w:ascii="Consolas" w:cs="Consolas" w:eastAsia="Consolas" w:hAnsi="Consolas"/>
          <w:sz w:val="20"/>
          <w:szCs w:val="20"/>
          <w:shd w:fill="F0F0F0" w:val="clear"/>
        </w:rPr>
        <w:t xml:space="preserve">search_query</w:t>
      </w:r>
      <w:r>
        <w:t xml:space="preserve">. This is not an implementation detail to be delegated to a helper and then forgotten. It is a correctness boundary. If the wrong input type is used, the system still returns vectors. Nothing crashes. Retrieval just gets subtly worse in a way that looks plausible until someone finally runs an evaluation and wonders why the system feels dumber than it should. The query pipeline specification must therefore treat </w:t>
      </w:r>
      <w:r>
        <w:rPr>
          <w:rFonts w:ascii="Consolas" w:cs="Consolas" w:eastAsia="Consolas" w:hAnsi="Consolas"/>
          <w:sz w:val="20"/>
          <w:szCs w:val="20"/>
          <w:shd w:fill="F0F0F0" w:val="clear"/>
        </w:rPr>
        <w:t xml:space="preserve">input_type</w:t>
      </w:r>
      <w:r>
        <w:t xml:space="preserve"> as a hard semantic marker, not a configurable convenience.</w:t>
      </w:r>
    </w:p>
    <w:p>
      <w:pPr>
        <w:spacing w:after="120" w:before="120"/>
      </w:pPr>
      <w:r>
        <w:t xml:space="preserve">Query embedding failure is one of the few places where the online path must remain fail-closed. Without the vector there is no FAQ classification and no semantic retrieval. Since the system is defined around those capabilities, there is no alternate valid path. Retries for transient Bedrock failures should be bounded and idempotent, and their exact policy belongs in runtime configuration. After the retry budget is exhausted, no embedding means no answer.</w:t>
      </w:r>
    </w:p>
    <w:p>
      <w:pPr>
        <w:spacing w:after="120" w:before="120"/>
      </w:pPr>
      <w:r>
        <w:t xml:space="preserve">A final subtlety matters here. Because Embed v4 supports up to 96 inputs per request, the same model contract also constrains the ingest path's batching behavior. That is not part of the online query path directly, but it reinforces the central point: the embedding contract is shared infrastructure, not merely a query function call.</w:t>
      </w:r>
    </w:p>
    <w:p>
      <w:pPr>
        <w:pStyle w:val="Heading3"/>
        <w:spacing w:after="120" w:before="240"/>
      </w:pPr>
      <w:r>
        <w:t xml:space="preserve">5.7 Phase Routing and the FAQ Interception Path</w:t>
      </w:r>
    </w:p>
    <w:p>
      <w:pPr>
        <w:spacing w:after="120" w:before="120"/>
      </w:pPr>
      <w:r>
        <w:t xml:space="preserve">Once the query vector exists, the request encounters the only major routing fork in the query pipeline. In Phase 1, the query always proceeds directly to document retrieval as a purposeful baseline that exposes real retrieval behavior before the FAQ cache intercepts the most frequent traffic.</w:t>
      </w:r>
    </w:p>
    <w:p>
      <w:pPr>
        <w:spacing w:after="120" w:before="120"/>
      </w:pPr>
      <w:r>
        <w:t xml:space="preserve">In Phase 2, the pipeline gains an FAQ interception branch in front of main retrieval. Importantly, Phase 2 should not require a structural rewrite of the request path. The control branch belongs in the Phase 1 codebase as a dormant configuration-controlled path. The shape of the request pipeline should remain stable across milestones even when a branch is disabled.</w:t>
      </w:r>
    </w:p>
    <w:p>
      <w:pPr>
        <w:spacing w:after="120" w:before="120"/>
      </w:pPr>
      <w:r>
        <w:t xml:space="preserve">The FAQ classifier uses the same query vector and submits it as a k-nearest-neighbor search against a dedicated FAQ index. Only the top result is needed because the routing question is binary: is there a high-confidence known FAQ match or not? That top result returns a candidate FAQ identity and a similarity score.</w:t>
      </w:r>
    </w:p>
    <w:p>
      <w:pPr>
        <w:spacing w:after="120" w:before="120"/>
      </w:pPr>
      <w:r>
        <w:t xml:space="preserve">The initial threshold logic from the source material remains sensible. Language-specific thresholds acknowledge that same-intent cross-lingual similarity scores are not perfectly aligned with same-language scores. English can tolerate a stricter threshold than German when the FAQ paraphrase bank is English-centric. These threshold values are launch defaults and should be driven by configuration, not code constants. Threshold calibration is a pre-activation task.</w:t>
      </w:r>
    </w:p>
    <w:p>
      <w:pPr>
        <w:spacing w:after="120" w:before="120"/>
      </w:pPr>
      <w:r>
        <w:t xml:space="preserve">The most important routing philosophy on the FAQ path is that the system should bias toward false negatives rather than false positives. A false negative simply sends a FAQ-like question through the main RAG path. That costs latency but still preserves a route to a grounded answer. A false positive routes the user to a pre-authored answer that may not actually answer the question asked. In a policy system, that is the worse error. Missing cache opportunities is preferable to misclassifying a question into the wrong pre-authored answer.</w:t>
      </w:r>
    </w:p>
    <w:p>
      <w:pPr>
        <w:spacing w:after="120" w:before="120"/>
      </w:pPr>
      <w:r>
        <w:t xml:space="preserve">Once a FAQ identity is resolved, the online path asks DynamoDB for the best available answer using four parallel fallback keys that represent exact, country-specific, level-specific, and universal specificity, which acknowledges that the authored-answer matrix is sparse and handles that directly. A high-confidence classifier result with no authored answer is a content gap, not a system error, and the correct behavior is to fall through to the RAG path and surface the miss as content-signal telemetry. If the classifier itself fails, the request also falls through to RAG, because classification is an optimization and quality accelerator rather than a prerequisite for answering.</w:t>
      </w:r>
    </w:p>
    <w:p>
      <w:pPr>
        <w:pStyle w:val="Heading3"/>
        <w:spacing w:after="120" w:before="240"/>
      </w:pPr>
      <w:r>
        <w:t xml:space="preserve">5.8 Main Retrieval: OpenSearch Hybrid Search</w:t>
      </w:r>
    </w:p>
    <w:p>
      <w:pPr>
        <w:spacing w:after="120" w:before="120"/>
      </w:pPr>
      <w:r>
        <w:t xml:space="preserve">The main retrieval path is where the query pipeline meets the real corpus, using hybrid search that combines lexical and semantic retrieval in one online step. BM25 is excellent when the employee uses the exact document vocabulary, a process acronym, or a proper noun that matters more as a literal token than as an abstract concept, while vector search is excellent when the employee asks for the right thing in different words than the corpus uses.</w:t>
      </w:r>
    </w:p>
    <w:p>
      <w:pPr>
        <w:spacing w:after="120" w:before="120"/>
      </w:pPr>
      <w:r>
        <w:t xml:space="preserve">The important refinement here is where hybrid fusion should live. The query pipeline should not try to reconstruct hybrid-score combination in Java. Current OpenSearch documentation for both core OpenSearch and OpenSearch Serverless explicitly supports hybrid queries coupled with a search pipeline that normalizes and combines the scores from multiple subqueries. The Orchestrator assembles the hybrid query clauses and points them at the correct search pipeline. Score fusion belongs in the search layer.</w:t>
      </w:r>
    </w:p>
    <w:p>
      <w:pPr>
        <w:spacing w:after="120" w:before="120"/>
      </w:pPr>
      <w:r>
        <w:t xml:space="preserve">That separation has practical advantages. It keeps lexical/vector weighting, score normalization choice, and combination technique out of the application binary and in a system surface built for retrieval behavior. It also means evaluation-driven relevance tuning does not require the Java query path to relearn arithmetic every time the search team wants to move a weight or compare normalization strategies. The application should express intent; OpenSearch should execute retrieval logic. This does not make the application thin --- it still has to decide what clauses to send and how to construct the filters --- but it keeps the right logic in the right layer.</w:t>
      </w:r>
    </w:p>
    <w:p>
      <w:pPr>
        <w:spacing w:after="120" w:before="120"/>
      </w:pPr>
      <w:r>
        <w:t xml:space="preserve">The retrieval call must request more candidates than the reranker will ultimately see. The reason is not mysterious. OpenSearch's post-filtering can reduce the live candidate count after similarity search. Both AWS and OpenSearch documentation explicitly note that when k-NN is used with additional clauses or post-filtering, the final result set can be smaller than the requested </w:t>
      </w:r>
      <w:r>
        <w:rPr>
          <w:rFonts w:ascii="Consolas" w:cs="Consolas" w:eastAsia="Consolas" w:hAnsi="Consolas"/>
          <w:sz w:val="20"/>
          <w:szCs w:val="20"/>
          <w:shd w:fill="F0F0F0" w:val="clear"/>
        </w:rPr>
        <w:t xml:space="preserve">k</w:t>
      </w:r>
      <w:r>
        <w:t xml:space="preserve">. That validates the architecture overview's use of an over-retrieval buffer before reranking. The exact candidate budget is configurable, but the architectural pattern is fixed: the retriever asks for a broader candidate set than the reranker needs because metadata filters are allowed to throw some of that pool away.</w:t>
      </w:r>
    </w:p>
    <w:p>
      <w:pPr>
        <w:spacing w:after="120" w:before="120"/>
      </w:pPr>
      <w:r>
        <w:t xml:space="preserve">The post-filter is the online expression of policy applicability. At minimum it constrains level applicability, region applicability, and access-control tier. As the role dimension becomes active in the corpus, it must also constrain role-sensitive content. This filter is the policy safety perimeter around retrieval.</w:t>
      </w:r>
    </w:p>
    <w:p>
      <w:pPr>
        <w:spacing w:after="120" w:before="120"/>
      </w:pPr>
      <w:r>
        <w:t xml:space="preserve">Two unresolved issues deserve to stay explicit. The first is region encoding. The architecture overview itself says this must be finalized before index build because the field mapping cannot drift casually afterward. The query pipeline therefore depends on a stable region encoding contract that is shared with ingest. Whether the system uses country codes alone or a mix of countries and region groups is not a query-layer opinion. It is a corpus-wide schema decision.</w:t>
      </w:r>
    </w:p>
    <w:p>
      <w:pPr>
        <w:spacing w:after="120" w:before="120"/>
      </w:pPr>
      <w:r>
        <w:t xml:space="preserve">The second is the treatment of destination country versus home country. We already resolved the governing principle earlier: destination should dominate entitlement retrieval when the question is destination-governed. What remains open is how the content team wants home-country process content modeled so that it can survive in the right cases without broadening the region filter indiscriminately. That is a content-metadata design dependency.</w:t>
      </w:r>
    </w:p>
    <w:p>
      <w:pPr>
        <w:pStyle w:val="Heading3"/>
        <w:spacing w:after="120" w:before="240"/>
      </w:pPr>
      <w:r>
        <w:t xml:space="preserve">5.9 Candidate Shaping</w:t>
      </w:r>
    </w:p>
    <w:p>
      <w:pPr>
        <w:spacing w:after="120" w:before="120"/>
      </w:pPr>
      <w:r>
        <w:t xml:space="preserve">Retrieved chunks are not all treated the same, because retrieval surfaces and reranking surfaces are not identical in a structure-aware pipeline. The four-type chunk taxonomy from the chunker is carried all the way through query-time candidate handling: parent chunks, child chunks, semantic chunks, and boundary chunks.</w:t>
      </w:r>
    </w:p>
    <w:p>
      <w:pPr>
        <w:spacing w:after="120" w:before="120"/>
      </w:pPr>
      <w:r>
        <w:t xml:space="preserve">Child chunks are the sharpest structural retrieval units. They are supposed to be good at getting the right section into the candidate pool without requiring the vector search to score huge parent sections directly. But once a child chunk is retrieved, it is no longer the right unit for the cross-encoder reranker. The reranker does better work when it can see the full parent section rather than only the sliver of text that was most locally retrievable. So children are retrieval surfaces, not reranking surfaces. Query time should promote them to parents before reranking.</w:t>
      </w:r>
    </w:p>
    <w:p>
      <w:pPr>
        <w:spacing w:after="120" w:before="120"/>
      </w:pPr>
      <w:r>
        <w:t xml:space="preserve">Parent chunks are therefore context surfaces. They represent whole sections and are what the reranker and generator should see when a child from that section matched. If multiple children from the same parent are retrieved, the query pipeline should promote the parent once, not once per child. Parent replacement is many-to-one.</w:t>
      </w:r>
    </w:p>
    <w:p>
      <w:pPr>
        <w:spacing w:after="120" w:before="120"/>
      </w:pPr>
      <w:r>
        <w:t xml:space="preserve">Semantic chunks are different. Under the current design, they come from documents where the normalizer could not recover heading hierarchy, so they have no parent linkage. They remain valid reranking surfaces in their own right and should not be promoted to parents because they have none. If the dual-index experiment described in §3.5.2 later introduces semantic chunks on structured documents, the candidate shaping rules for those would need to be revisited.</w:t>
      </w:r>
    </w:p>
    <w:p>
      <w:pPr>
        <w:spacing w:after="120" w:before="120"/>
      </w:pPr>
      <w:r>
        <w:t xml:space="preserve">Boundary chunks are the special case that justifies the four-type taxonomy. They capture relationships across section boundaries that neither parent contains independently. A query about an exception, handoff, or override that lives in the seam between adjacent sections is exactly the kind of thing a naive structure-aware retriever can lose. Boundary chunks therefore survive to reranking unchanged. They are not children and should not be promoted to parents.</w:t>
      </w:r>
    </w:p>
    <w:p>
      <w:pPr>
        <w:spacing w:after="120" w:before="120"/>
      </w:pPr>
      <w:r>
        <w:t xml:space="preserve">This yields a clean online shaping policy: children are replaced by their parents before reranking, parents remain as they are, semantic chunks remain as they are (they have no parent linkage under the current design), and boundary chunks always remain as they are.</w:t>
      </w:r>
    </w:p>
    <w:p>
      <w:pPr>
        <w:spacing w:after="120" w:before="120"/>
      </w:pPr>
      <w:r>
        <w:t xml:space="preserve">The redundancy rule applies only when parent promotion creates overlap. After child-to-parent promotion, the candidate set can now contain both a parent chunk and another chunk drawn from that same parent section. If both go to the reranker, that section gets disproportionate voice in the shortlist simply because it is represented twice. The right deduplication rule is narrower than "remove everything that overlaps": if a child chunk's parent section is already present in the candidate set as a promoted parent, the child is already represented and can be removed. Boundary chunks are exempt because they are not subsets of either adjacent parent.</w:t>
      </w:r>
    </w:p>
    <w:p>
      <w:pPr>
        <w:spacing w:after="120" w:before="120"/>
      </w:pPr>
      <w:r>
        <w:t xml:space="preserve">That is the query-time logic. Underneath it is a data-contract requirement we need to state plainly: the deduplication key must be globally unambiguous. If parent chunk identifiers are not globally unique across documents, then parent-based promotion and deduplication must use a compound identity such as source document plus parent identifier or a stable section identity emitted by the chunker. Query-time logic cannot safely deduplicate on a field whose scope is ambiguous.</w:t>
      </w:r>
    </w:p>
    <w:p>
      <w:pPr>
        <w:spacing w:after="120" w:before="120"/>
      </w:pPr>
      <w:r>
        <w:t xml:space="preserve">A second important design point belongs here. Parent fetching is part of the retrieval-to-reranking transformation. If parent fetch fails, the pipeline should not silently drop the child and pretend nothing happened. It should retain the child fragment as a degraded fallback. Partial evidence is worse than full context, but it is still better than deleting potentially relevant content from the reranker's world.</w:t>
      </w:r>
    </w:p>
    <w:p>
      <w:pPr>
        <w:spacing w:after="120" w:before="120"/>
      </w:pPr>
      <w:r>
        <w:t xml:space="preserve">The result of candidate shaping is therefore not "the top 50 from OpenSearch." It is a new, smaller, better-structured candidate pool whose members are the right surfaces for a cross-encoder to score.</w:t>
      </w:r>
    </w:p>
    <w:p>
      <w:pPr>
        <w:pBdr>
          <w:left w:val="single" w:color="CCCCCC" w:sz="2" w:space="4"/>
        </w:pBdr>
        <w:spacing w:after="120" w:before="120"/>
        <w:ind w:left="360"/>
      </w:pPr>
      <w:r>
        <w:rPr>
          <w:rFonts w:ascii="Consolas" w:cs="Consolas" w:eastAsia="Consolas" w:hAnsi="Consolas"/>
          <w:color w:val="333333"/>
          <w:sz w:val="18"/>
          <w:szCs w:val="18"/>
        </w:rPr>
        <w:t xml:space="preserve">flowchart TD
 A["Retrieved candidate"] --&gt; B{"chunk_type"}
 B --&gt;|child| C["Fetch parent chunk"]
 C --&gt; D["Replace child with parent"]
 B --&gt;|parent| E["Keep parent"]
 B --&gt;|semantic| F["Keep semantic"]
 B --&gt;|boundary| G["Keep boundary"]
 D --&gt; H["Deduplicate promoted parents"]
 E --&gt; H
 F --&gt; H
 G --&gt; H
 H --&gt; I["Reranker candidate pool"]</w:t>
      </w:r>
    </w:p>
    <w:p>
      <w:pPr>
        <w:pStyle w:val="Heading3"/>
        <w:spacing w:after="120" w:before="240"/>
      </w:pPr>
      <w:r>
        <w:t xml:space="preserve">5.10 Reranking</w:t>
      </w:r>
    </w:p>
    <w:p>
      <w:pPr>
        <w:spacing w:after="120" w:before="120"/>
      </w:pPr>
      <w:r>
        <w:t xml:space="preserve">Bi-encoder retrieval is necessary because it scales, and cross-encoder reranking is necessary because retrieval alone is not enough. Vector similarity can surface a section that lives in the right semantic neighborhood without fully resolving whether it answers the actual question asked. BM25 can surface exact vocabulary overlaps that are lexically impressive and substantively irrelevant. The reranker exists to score the query and each candidate together rather than independently. In other words, retrieval says "this looks related," and reranking says "yes, but does it answer the question?"</w:t>
      </w:r>
    </w:p>
    <w:p>
      <w:pPr>
        <w:spacing w:after="120" w:before="120"/>
      </w:pPr>
      <w:r>
        <w:t xml:space="preserve">Current Bedrock documentation continues to support reranking as a first-class API operation and confirms that Cohere Rerank 3.5 is the only reranker available in </w:t>
      </w:r>
      <w:r>
        <w:rPr>
          <w:rFonts w:ascii="Consolas" w:cs="Consolas" w:eastAsia="Consolas" w:hAnsi="Consolas"/>
          <w:sz w:val="20"/>
          <w:szCs w:val="20"/>
          <w:shd w:fill="F0F0F0" w:val="clear"/>
        </w:rPr>
        <w:t xml:space="preserve">us-east-1</w:t>
      </w:r>
      <w:r>
        <w:t xml:space="preserve">, which matches the internal architectural choice already made in the source material. The external service availability and the internal design are aligned, and reranking is the last relevance-quality gate before generation --- the generator should see a short, curated, high-quality context set rather than the full unshaped retrieval pool.</w:t>
      </w:r>
    </w:p>
    <w:p>
      <w:pPr>
        <w:spacing w:after="120" w:before="120"/>
      </w:pPr>
      <w:r>
        <w:t xml:space="preserve">The architecture overview's </w:t>
      </w:r>
      <w:r>
        <w:rPr>
          <w:rFonts w:ascii="Consolas" w:cs="Consolas" w:eastAsia="Consolas" w:hAnsi="Consolas"/>
          <w:sz w:val="20"/>
          <w:szCs w:val="20"/>
          <w:shd w:fill="F0F0F0" w:val="clear"/>
        </w:rPr>
        <w:t xml:space="preserve">numberOfResults=8</w:t>
      </w:r>
      <w:r>
        <w:t xml:space="preserve"> remains a strong starting value, and we keep it as the launch assumption. It may need to become six or ten after evaluation. The principle is: generation should receive a deliberately bounded set of reranked context chunks, not an arbitrary spillover from retrieval.</w:t>
      </w:r>
    </w:p>
    <w:p>
      <w:pPr>
        <w:spacing w:after="120" w:before="120"/>
      </w:pPr>
      <w:r>
        <w:t xml:space="preserve">The reranker also shapes failure policy. If reranking fails transiently, the pipeline should degrade rather than collapse. The right fallback is to pass a bounded subset of the retrieval-shaped candidate pool to generation in retrieval order. That is a worse answer surface than reranked order, but it is still grounded. In a user-facing assistant, that is usually the better failure mode than "no answer." Embedding failure is fatal because it removes the semantic substrate of the whole query path. Reranking failure is not fatal because the pipeline still has a candidate set, just a less refined one.</w:t>
      </w:r>
    </w:p>
    <w:p>
      <w:pPr>
        <w:spacing w:after="120" w:before="120"/>
      </w:pPr>
      <w:r>
        <w:t xml:space="preserve">One subtle but important improvement belongs here. Confidence should not be derived by naively pretending the reranker's raw scores are calibrated probabilities. They are not. They are relative relevance scores emitted by a ranking model. They can inform confidence, but they are not themselves "the probability that the answer is right." The response-confidence scheme uses reranker signals as one input among several rather than treating them as calibrated probabilities.</w:t>
      </w:r>
    </w:p>
    <w:p>
      <w:pPr>
        <w:pStyle w:val="Heading3"/>
        <w:spacing w:after="120" w:before="240"/>
      </w:pPr>
      <w:r>
        <w:t xml:space="preserve">5.11 Generation</w:t>
      </w:r>
    </w:p>
    <w:p>
      <w:pPr>
        <w:spacing w:after="120" w:before="120"/>
      </w:pPr>
      <w:r>
        <w:t xml:space="preserve">Once the shortlist exists, generation becomes a much smaller problem because retrieval and reranking have already narrowed the candidate space. The system uses Bedrock Inline Agent as the managed execution surface for generation, with Claude Sonnet 4.6 as the generation model.</w:t>
      </w:r>
    </w:p>
    <w:p>
      <w:pPr>
        <w:spacing w:after="120" w:before="120"/>
      </w:pPr>
      <w:r>
        <w:t xml:space="preserve">Current AWS documentation for inline agents matters here in two ways. First, it confirms that inline agents support streaming, prompt overrides, session identifiers, idle session TTL, and inline session state. Second, and more strategically, it marks the feature as preview and subject to change. The query pipeline should speak to generation through a narrow internal interface that expresses only what Skywalker actually needs: a grounded answer call that accepts a structured context bundle and returns streamed or accumulated answer content plus the metadata needed for the envelope. The Orchestrator should not become entangled with preview-specific request shapes any more than necessary.</w:t>
      </w:r>
    </w:p>
    <w:p>
      <w:pPr>
        <w:spacing w:after="120" w:before="120"/>
      </w:pPr>
      <w:r>
        <w:t xml:space="preserve">This is the place where caution matters. A dedicated generation microservice or adapter boundary prevents a preview dependency from leaking outward into the rest of the query path. If Skywalker later keeps inline agents, fine. If it later decides a direct model invocation path is more stable or more controllable, the blast radius should be local.</w:t>
      </w:r>
    </w:p>
    <w:p>
      <w:pPr>
        <w:spacing w:after="120" w:before="120"/>
      </w:pPr>
      <w:r>
        <w:t xml:space="preserve">The prompt structure itself should remain two-part. A stable system block holds behavioral rules, answer format instructions, source-grounding requirements, citation behavior, and refusal/escalation logic. A per-request context block holds the user context, the reranked chunks, and the already-assembled link metadata. This is good design regardless of runtime surface. It keeps the durable behavioral contract separate from the ephemeral factual context.</w:t>
      </w:r>
    </w:p>
    <w:p>
      <w:pPr>
        <w:spacing w:after="120" w:before="120"/>
      </w:pPr>
      <w:r>
        <w:t xml:space="preserve">One refinement is necessary here because the public AWS documentation introduces ambiguity the internal architecture overview did not acknowledge. Bedrock's public prompt-caching documentation explicitly describes prompt caching for Converse, ConverseStream, InvokeModel, and InvokeModelWithResponseStream. The inline-agent documentation, by contrast, emphasizes prompt overrides and streaming but does not explicitly document prompt caching as part of the inline-agent invocation path. That does not prove inline agents cannot benefit from prompt caching in some way, but it does mean Skywalker should not treat prompt-caching savings on the generation leg as a foundational assumption until they are empirically verified in the actual runtime. The static prompt should be kept stable regardless, but the query-pipeline latency model should not depend on prompt caching until it is verified in the actual runtime.</w:t>
      </w:r>
    </w:p>
    <w:p>
      <w:pPr>
        <w:spacing w:after="120" w:before="120"/>
      </w:pPr>
      <w:r>
        <w:t xml:space="preserve">The behavioral contract for generation remains strict. The model answers only from retrieved and supplied context. It does not repair missing facts from general model memory. It does not invent policy values, dollar amounts, or eligibility thresholds not present in the supplied grounding set. If the context does not answer the question, the model says so and routes the user toward escalation.</w:t>
      </w:r>
    </w:p>
    <w:p>
      <w:pPr>
        <w:spacing w:after="120" w:before="120"/>
      </w:pPr>
      <w:r>
        <w:t xml:space="preserve">Streaming should remain enabled. Current inline-agent documentation confirms support for streaming final responses, and the architecture overview correctly values perceived latency improvements on the online path. The user should begin seeing an answer while generation completes, provided the calling surface can render streamed output sensibly.</w:t>
      </w:r>
    </w:p>
    <w:p>
      <w:pPr>
        <w:pStyle w:val="Heading3"/>
        <w:spacing w:after="120" w:before="240"/>
      </w:pPr>
      <w:r>
        <w:t xml:space="preserve">5.12 Policy Links and Source Links</w:t>
      </w:r>
    </w:p>
    <w:p>
      <w:pPr>
        <w:spacing w:after="120" w:before="120"/>
      </w:pPr>
      <w:r>
        <w:t xml:space="preserve">The system surfaces relevant policy documents as links rather than using them as generation substrate. Policy links are inherited at ingest onto chunk metadata, and at query time the pipeline unions and deduplicates them from the reranked context set, keeping the surfaced policy materials tied to the operational evidence that actually grounded the answer and avoiding contextually irrelevant policy links that happen to match the user's country and level but have nothing to do with the retrieved operational content.</w:t>
      </w:r>
    </w:p>
    <w:p>
      <w:pPr>
        <w:spacing w:after="120" w:before="120"/>
      </w:pPr>
      <w:r>
        <w:t xml:space="preserve">Source links are similar but not identical. They should not be emitted one per chunk. The answer envelope should surface distinct source documents represented in the grounded context, not a list of repetitive chunk-level citations. Multiple reranked chunks from the same source document collapse into one source-link entry carrying the document title, URL, effective-date signal, and content-owner metadata if that is part of the corpus contract.</w:t>
      </w:r>
    </w:p>
    <w:p>
      <w:pPr>
        <w:spacing w:after="120" w:before="120"/>
      </w:pPr>
      <w:r>
        <w:t xml:space="preserve">The query path therefore has two link-assembly jobs after reranking and before generation: distinct source-document assembly and distinct policy-link union, both of which are deterministic transformations over chunk metadata that require no second retrieval system. A user can see which operational documents supported the answer and which governing policy documents are relevant for deeper reading.</w:t>
      </w:r>
    </w:p>
    <w:p>
      <w:pPr>
        <w:pStyle w:val="Heading3"/>
        <w:spacing w:after="120" w:before="240"/>
      </w:pPr>
      <w:r>
        <w:t xml:space="preserve">5.13 Response Confidence and Escalation</w:t>
      </w:r>
    </w:p>
    <w:p>
      <w:pPr>
        <w:spacing w:after="120" w:before="120"/>
      </w:pPr>
      <w:r>
        <w:t xml:space="preserve">The response envelope carries answer text, routing path, source links, policy links, confidence signaling, escalation path when applicable, and trace identifiers.</w:t>
      </w:r>
    </w:p>
    <w:p>
      <w:pPr>
        <w:spacing w:after="120" w:before="120"/>
      </w:pPr>
      <w:r>
        <w:t xml:space="preserve">Cache-hit responses remain straightforward. They are pre-authored, reviewed answers served by exact or fallback FAQ resolution. Their confidence can remain HIGH because the system is not generating the core answer content. The main uncertainty on that path is content freshness and applicability, which is already managed through authored-answer maintenance rather than online inference.</w:t>
      </w:r>
    </w:p>
    <w:p>
      <w:pPr>
        <w:spacing w:after="120" w:before="120"/>
      </w:pPr>
      <w:r>
        <w:t xml:space="preserve">RAG responses are different. Here the system genuinely has to make a judgment about how strong the grounding set is. We should not derive confidence from the top reranker score alone. That is too thin. At the same time, simply refusing to define confidence is not good enough. We need to specify what confidence should conceptually express.</w:t>
      </w:r>
    </w:p>
    <w:p>
      <w:pPr>
        <w:spacing w:after="120" w:before="120"/>
      </w:pPr>
      <w:r>
        <w:t xml:space="preserve">We treat confidence on the RAG path as a conservative, composite judgment over retrieval and grounding quality rather than as a direct alias for one model's score. At minimum it should reflect three things: the strength of the top reranked evidence, the separation between the best evidence and the next-best alternatives, and whether the final answer can be fully grounded in the supplied sources. That last point is the important one. A model that answers from thin context with great rhetorical enthusiasm should not receive a HIGH confidence label merely because one reranker score was numerically strong.</w:t>
      </w:r>
    </w:p>
    <w:p>
      <w:pPr>
        <w:spacing w:after="120" w:before="120"/>
      </w:pPr>
      <w:r>
        <w:t xml:space="preserve">This means the implementation should not freeze a numeric calibration formula in this prose. That would violate the primer's instruction not to invent specifics that require empirical tuning. What we can and should do in this part is specify the principle: confidence is a post-retrieval answerability signal, not a prettified reranker score. The score thresholds and any composite mapping must live in configuration and be calibrated against evaluation data.</w:t>
      </w:r>
    </w:p>
    <w:p>
      <w:pPr>
        <w:spacing w:after="120" w:before="120"/>
      </w:pPr>
      <w:r>
        <w:t xml:space="preserve">LOW confidence triggers an escalation path in the response envelope. That part stays. But the escalation path should be treated as part of the user contract, not as an afterthought attached only when the confidence signal drops. It needs to be configurably resolvable by query domain and user region. The Orchestrator should not hardcode human-contact endpoints into logic branches.</w:t>
      </w:r>
    </w:p>
    <w:p>
      <w:pPr>
        <w:spacing w:after="120" w:before="120"/>
      </w:pPr>
      <w:r>
        <w:t xml:space="preserve">The confidence field should reflect actual grounding quality rather than a single model score.</w:t>
      </w:r>
    </w:p>
    <w:p>
      <w:pPr>
        <w:pStyle w:val="Heading3"/>
        <w:spacing w:after="120" w:before="240"/>
      </w:pPr>
      <w:r>
        <w:t xml:space="preserve">5.14 Failure Semantics</w:t>
      </w:r>
    </w:p>
    <w:p>
      <w:pPr>
        <w:spacing w:after="120" w:before="120"/>
      </w:pPr>
      <w:r>
        <w:t xml:space="preserve">Skywalker fails closed at request validation --- missing identity context, invalid access tier, malformed required fields, or a request that cannot be safely scoped to the user are all reasons to stop immediately and return no answer. It also fails closed when query embedding cannot be produced after the bounded retry budget is exhausted, since without the vector both FAQ classification and semantic retrieval are unavailable. The pipeline fails open from FAQ classification into the RAG path (a classifier outage or score miss simply means the request takes the slower path) and from cache lookup into RAG when the classifier matched but no authored answer exists. It degrades in place on parent-fetch failure by retaining the child fragment instead of deleting the candidate, and on reranker failure by passing a bounded retrieval-shaped shortlist into generation in retrieval order.</w:t>
      </w:r>
    </w:p>
    <w:p>
      <w:pPr>
        <w:spacing w:after="120" w:before="120"/>
      </w:pPr>
      <w:r>
        <w:t xml:space="preserve">The generation step is straightforward. If generation cannot complete after bounded retries for transient failures, the pipeline returns a failure.</w:t>
      </w:r>
    </w:p>
    <w:p>
      <w:pPr>
        <w:spacing w:after="120" w:before="120"/>
      </w:pPr>
      <w:r>
        <w:t xml:space="preserve">Policy-link absence should not invalidate an otherwise grounded operational answer if the retrieved chunks themselves remain valid and the answer is supported. The system should surface source links and whatever policy links are available. Missing policy-link inheritance is a metadata quality problem, not necessarily an online-answerability failure.</w:t>
      </w:r>
    </w:p>
    <w:p>
      <w:pPr>
        <w:spacing w:after="120" w:before="120"/>
      </w:pPr>
      <w:r>
        <w:t xml:space="preserve">These semantics matter because they keep the system's online behavior coherent. A user should not have to infer from the outside whether the system just broke, took a slower route, or is deliberately withholding an answer because it lacked safe scope. The pipeline itself should know the difference.</w:t>
      </w:r>
    </w:p>
    <w:p>
      <w:pPr>
        <w:pStyle w:val="Heading3"/>
        <w:spacing w:after="120" w:before="240"/>
      </w:pPr>
      <w:r>
        <w:t xml:space="preserve">5.15 Session State</w:t>
      </w:r>
    </w:p>
    <w:p>
      <w:pPr>
        <w:spacing w:after="120" w:before="120"/>
      </w:pPr>
      <w:r>
        <w:t xml:space="preserve">The architecture overview's notion that multi-turn session context lives in Lambda memory for the duration of a session is not a reliable query-pipeline design. Lambda does not provide request affinity by session identifier. A given follow-up turn may land on the same warm execution environment or on a different one. Building conversational continuity on Lambda execution environment affinity is not reliable.</w:t>
      </w:r>
    </w:p>
    <w:p>
      <w:pPr>
        <w:spacing w:after="120" w:before="120"/>
      </w:pPr>
      <w:r>
        <w:t xml:space="preserve">Current inline-agent documentation complicates this in an interesting way by explicitly supporting session IDs, idle session TTL, and inline session state. That means Bedrock's agent runtime now has its own notion of multi-turn continuity. But even that does not rescue the idea that Lambda memory should hold the session. It simply means there is a new future design option if Skywalker ever wants true multi-turn behavior in the generation subsystem.</w:t>
      </w:r>
    </w:p>
    <w:p>
      <w:pPr>
        <w:spacing w:after="120" w:before="120"/>
      </w:pPr>
      <w:r>
        <w:t xml:space="preserve">For the launch query pipeline, the correct posture remains stateless retrieval and stateless answer construction. The incoming </w:t>
      </w:r>
      <w:r>
        <w:rPr>
          <w:rFonts w:ascii="Consolas" w:cs="Consolas" w:eastAsia="Consolas" w:hAnsi="Consolas"/>
          <w:sz w:val="20"/>
          <w:szCs w:val="20"/>
          <w:shd w:fill="F0F0F0" w:val="clear"/>
        </w:rPr>
        <w:t xml:space="preserve">session_id</w:t>
      </w:r>
      <w:r>
        <w:t xml:space="preserve"> can be accepted, traced, and echoed. It should not alter retrieval filters, cache logic, or candidate shaping. The system should behave deterministically per request regardless of which execution environment receives it.</w:t>
      </w:r>
    </w:p>
    <w:p>
      <w:pPr>
        <w:spacing w:after="120" w:before="120"/>
      </w:pPr>
      <w:r>
        <w:t xml:space="preserve">If genuine multi-turn behavior becomes a requirement later, the system can evaluate two explicit designs instead of relying on wishful warmth. One is an external session store that the Orchestrator can read and write deterministically across invocations. The other is deliberate use of inline-agent session machinery inside the generation boundary, provided the team decides that the preview-runtime semantics are stable enough for the product requirement. Neither of those relies on Lambda execution environment affinity.</w:t>
      </w:r>
    </w:p>
    <w:p>
      <w:pPr>
        <w:pStyle w:val="Heading3"/>
        <w:spacing w:after="120" w:before="240"/>
      </w:pPr>
      <w:r>
        <w:t xml:space="preserve">5.16 Configuration Surface</w:t>
      </w:r>
    </w:p>
    <w:p>
      <w:pPr>
        <w:spacing w:after="120" w:before="120"/>
      </w:pPr>
      <w:r>
        <w:t xml:space="preserve">Many query-pipeline behaviors should be data or configuration, not code, because retrieval quality will be tuned after launch.</w:t>
      </w:r>
    </w:p>
    <w:p>
      <w:pPr>
        <w:spacing w:after="120" w:before="120"/>
      </w:pPr>
      <w:r>
        <w:t xml:space="preserve">The phase switch that turns FAQ interception on or off belongs in configuration. So do the language-specific classification thresholds. So does the hybrid retrieval search-pipeline binding and its associated weighting behavior, though the actual fusion math should live in OpenSearch rather than in Java. So do any confidence-calibration thresholds and escalation-path mappings. So does the embedding contract's output dimension if and only if the system treats a change there as a full index-migration event rather than a casual runtime toggle. That last caveat matters: some configuration values are safe to tune live; others are system-identity choices that happen to live in configuration so environments cannot drift accidentally.</w:t>
      </w:r>
    </w:p>
    <w:p>
      <w:pPr>
        <w:spacing w:after="120" w:before="120"/>
      </w:pPr>
      <w:r>
        <w:t xml:space="preserve">The general rule is simple. Anything that evaluation will tune should not be baked into code. Anything whose change would invalidate indexes, cache content, or corpus compatibility should still be explicit and centrally managed, but should not be flippable without a coordinated migration.</w:t>
      </w:r>
    </w:p>
    <w:p>
      <w:pPr>
        <w:spacing w:after="120" w:before="120"/>
      </w:pPr>
      <w:r>
        <w:t xml:space="preserve">This matters because the query pipeline is where experimentation pressure will naturally accumulate. Thresholds, shortlist sizes, and weighting values all look temptingly adjustable once real traffic appears. The best defense against ad hoc drift is to define up front which things are tuned operationally and which things constitute a contract migration.</w:t>
      </w:r>
    </w:p>
    <w:p>
      <w:pPr>
        <w:pStyle w:val="Heading3"/>
        <w:spacing w:after="120" w:before="240"/>
      </w:pPr>
      <w:r>
        <w:t xml:space="preserve">5.17 Service Seams and Ownership Inside the Query Path</w:t>
      </w:r>
    </w:p>
    <w:p>
      <w:pPr>
        <w:spacing w:after="120" w:before="120"/>
      </w:pPr>
      <w:r>
        <w:t xml:space="preserve">A strong query-pipeline plan should define not only what the pipeline does but where responsibilities stop, because the Query Orchestrator handling every request does not mean it should own every behavior.</w:t>
      </w:r>
    </w:p>
    <w:p>
      <w:pPr>
        <w:spacing w:after="120" w:before="120"/>
      </w:pPr>
      <w:r>
        <w:t xml:space="preserve">The Orchestrator should own request validation, identity-context normalization, rate-limit gating, the single embedding call, phase routing, FAQ classification invocation, cache-resolution orchestration, hybrid retrieval invocation, candidate shaping, link assembly, confidence and routing metadata assembly, and the final response envelope. OpenSearch should own lexical/vector score fusion through its search-pipeline machinery, with the Orchestrator expressing the retrieval request and filters rather than performing score combination. The chunker and ingest path should own chunk taxonomy, parent and boundary identities, metadata inheritance, and the guarantee that query-time shaping has the fields it needs. The generation microservice should own prompt templates, model invocation details, streaming adaptation, and any preview-specific Bedrock inline-agent mechanics, receiving a complete grounded context bundle from the Orchestrator. The FAQ content store should own authored answer content and specificity fallback data. These boundaries reduce the amount of logic that has to change together when one subsystem evolves.</w:t>
      </w:r>
    </w:p>
    <w:p>
      <w:pPr>
        <w:pStyle w:val="Heading3"/>
        <w:spacing w:after="120" w:before="240"/>
      </w:pPr>
      <w:r>
        <w:t xml:space="preserve">5.18 The Complete Online Flow</w:t>
      </w:r>
    </w:p>
    <w:p>
      <w:pPr>
        <w:spacing w:after="120" w:before="120"/>
      </w:pPr>
      <w:r>
        <w:t xml:space="preserve">The full query pipeline works as follows. A caller submits a structured request containing the user's question and identity scope. The Orchestrator validates the request and rejects it immediately if the scope needed for safe retrieval is missing or malformed. The request receives a correlation identifier. Rate limiting is checked before semantic work begins.</w:t>
      </w:r>
    </w:p>
    <w:p>
      <w:pPr>
        <w:spacing w:after="120" w:before="120"/>
      </w:pPr>
      <w:r>
        <w:t xml:space="preserve">The query is embedded exactly once with Cohere Embed v4 using </w:t>
      </w:r>
      <w:r>
        <w:rPr>
          <w:rFonts w:ascii="Consolas" w:cs="Consolas" w:eastAsia="Consolas" w:hAnsi="Consolas"/>
          <w:sz w:val="20"/>
          <w:szCs w:val="20"/>
          <w:shd w:fill="F0F0F0" w:val="clear"/>
        </w:rPr>
        <w:t xml:space="preserve">search_query</w:t>
      </w:r>
      <w:r>
        <w:t xml:space="preserve">, float embeddings, and a pinned 1536-dimensional output. That vector becomes the request's semantic identity for all downstream vector operations.</w:t>
      </w:r>
    </w:p>
    <w:p>
      <w:pPr>
        <w:spacing w:after="120" w:before="120"/>
      </w:pPr>
      <w:r>
        <w:t xml:space="preserve">If the Phase 2 FAQ branch is disabled, the pipeline proceeds directly to main retrieval. If it is enabled, the same vector is first used to search the FAQ classification index. The classifier result is interpreted against a language-specific threshold. A miss or classifier failure falls through to retrieval. A hit drives four parallel authored-answer lookups across the FAQ specificity hierarchy. If an authored answer resolves cleanly, the pipeline returns a cache-hit response. If the answer is absent or cannot be retrieved, the request falls through to the main RAG path and the miss is treated as a content gap, not a user error.</w:t>
      </w:r>
    </w:p>
    <w:p>
      <w:pPr>
        <w:spacing w:after="120" w:before="120"/>
      </w:pPr>
      <w:r>
        <w:t xml:space="preserve">Main retrieval is a hybrid OpenSearch search composed of lexical and vector subqueries plus post-filters for level, region, access tier, and later role scope. Score normalization and combination live in an OpenSearch search pipeline, not in Java. The retriever asks for a broader candidate set than the generator will ever see because post-filtering can reduce the live pool.</w:t>
      </w:r>
    </w:p>
    <w:p>
      <w:pPr>
        <w:spacing w:after="120" w:before="120"/>
      </w:pPr>
      <w:r>
        <w:t xml:space="preserve">The returned candidate set is then reshaped. Child chunks are promoted to parents. Parents remain. Semantic chunks remain as they are --- under the current design they have no parent linkage and are not subject to parent-based deduplication. Boundary chunks remain because they represent cross-section meaning that no single parent contains. Parent-fetch failure degrades to retaining the child fragment rather than deleting evidence.</w:t>
      </w:r>
    </w:p>
    <w:p>
      <w:pPr>
        <w:spacing w:after="120" w:before="120"/>
      </w:pPr>
      <w:r>
        <w:t xml:space="preserve">The shaped candidate set is reranked with Cohere Rerank 3.5 via Bedrock. The reranker's job is to identify which of these now-query-appropriate context units best answer the actual question asked. A bounded top subset becomes the generation context. If reranking fails, the pipeline degrades to using the retrieval-shaped order rather than returning nothing.</w:t>
      </w:r>
    </w:p>
    <w:p>
      <w:pPr>
        <w:spacing w:after="120" w:before="120"/>
      </w:pPr>
      <w:r>
        <w:t xml:space="preserve">From the reranked set, the Orchestrator assembles distinct source links and the union of inherited policy links. Those plus user context and reranked chunk text form the context bundle passed to the generation microservice.</w:t>
      </w:r>
    </w:p>
    <w:p>
      <w:pPr>
        <w:spacing w:after="120" w:before="120"/>
      </w:pPr>
      <w:r>
        <w:t xml:space="preserve">Generation runs through the narrow generation boundary using the inline-agent-backed implementation chosen by the internal architecture. It streams its answer. It is constrained to answer only from supplied context and to acknowledge when the context does not answer the question.</w:t>
      </w:r>
    </w:p>
    <w:p>
      <w:pPr>
        <w:spacing w:after="120" w:before="120"/>
      </w:pPr>
      <w:r>
        <w:t xml:space="preserve">The Orchestrator then assembles the response envelope containing the answer text, routing-path signal, confidence and confidence percentage where applicable, source links, policy links, escalation path when warranted, session echo, correlation ID, and latency breakdown. The caller receives one structurally stable response shape regardless of whether the answer came from the cache path or the RAG path.</w:t>
      </w:r>
    </w:p>
    <w:p>
      <w:pPr>
        <w:pBdr>
          <w:left w:val="single" w:color="CCCCCC" w:sz="2" w:space="4"/>
        </w:pBdr>
        <w:spacing w:after="120" w:before="120"/>
        <w:ind w:left="360"/>
      </w:pPr>
      <w:r>
        <w:rPr>
          <w:rFonts w:ascii="Consolas" w:cs="Consolas" w:eastAsia="Consolas" w:hAnsi="Consolas"/>
          <w:color w:val="333333"/>
          <w:sz w:val="18"/>
          <w:szCs w:val="18"/>
        </w:rPr>
        <w:t xml:space="preserve">sequenceDiagram
 participant Caller
 participant Orchestrator
 participant RateLimit as DynamoDB Rate Limit
 participant Embed as Bedrock Embed v4
 participant FAQIdx as OpenSearch FAQ Index
 participant FAQStore as DynamoDB FAQ Table
 participant AnswerStore as S3 Answer Store
 participant Search as OpenSearch Hybrid Search
 participant Rerank as Bedrock Rerank
 participant Gen as Generation Boundary
 Caller-&gt;&gt;Orchestrator: query + identity scope
 Orchestrator-&gt;&gt;Orchestrator: validate request
 Orchestrator-&gt;&gt;RateLimit: check/increment quota
 RateLimit--&gt;&gt;Orchestrator: allow or reject
 Orchestrator-&gt;&gt;Embed: embed once (search_query, 1536)
 Embed--&gt;&gt;Orchestrator: query vector
 alt Phase 2 enabled
 Orchestrator-&gt;&gt;FAQIdx: kNN classify FAQ
 FAQIdx--&gt;&gt;Orchestrator: faq_id + score
 alt threshold hit
 Orchestrator-&gt;&gt;FAQStore: parallel specificity lookups
 FAQStore--&gt;&gt;Orchestrator: answer key or null
 alt authored answer exists
 Orchestrator-&gt;&gt;AnswerStore: load answer blob
 AnswerStore--&gt;&gt;Orchestrator: authored answer
 Orchestrator--&gt;&gt;Caller: CACHE_HIT response
 else no authored answer
 Note over Orchestrator: content gap, continue to RAG
 end
 else classifier miss/failure
 Note over Orchestrator: continue to RAG
 end
 end
 Orchestrator-&gt;&gt;Search: hybrid retrieval + post filters
 Search--&gt;&gt;Orchestrator: candidate pool
 Orchestrator-&gt;&gt;Orchestrator: parent promotion + semantic dedupe + boundary retention
 Orchestrator-&gt;&gt;Rerank: rerank shaped candidates
 Rerank--&gt;&gt;Orchestrator: top context set
 Orchestrator-&gt;&gt;Orchestrator: assemble source_links + policy_links
 Orchestrator-&gt;&gt;Gen: grounded generation request
 Gen--&gt;&gt;Orchestrator: streamed grounded answer
 Orchestrator-&gt;&gt;Orchestrator: confidence + envelope assembly
 Orchestrator--&gt;&gt;Caller: RAG or CACHE_MISS_RAG response</w:t>
      </w:r>
    </w:p>
    <w:p>
      <w:pPr>
        <w:pStyle w:val="Heading3"/>
        <w:spacing w:after="120" w:before="240"/>
      </w:pPr>
      <w:r>
        <w:t xml:space="preserve">5.19 Resolved Decisions and Open Dependencies</w:t>
      </w:r>
    </w:p>
    <w:p>
      <w:pPr>
        <w:spacing w:after="120" w:before="120"/>
      </w:pPr>
      <w:r>
        <w:t xml:space="preserve">The resolved decisions for the current plan are as follows. The governing precedence is the active design program first, the larger architecture next, and current AWS/OpenSearch documentation where we need to verify external service behavior. The embedding contract is normalized to Cohere Embed v4 at </w:t>
      </w:r>
      <w:r>
        <w:rPr>
          <w:rFonts w:ascii="Consolas" w:cs="Consolas" w:eastAsia="Consolas" w:hAnsi="Consolas"/>
          <w:sz w:val="20"/>
          <w:szCs w:val="20"/>
          <w:shd w:fill="F0F0F0" w:val="clear"/>
        </w:rPr>
        <w:t xml:space="preserve">cohere.embed-v4:0</w:t>
      </w:r>
      <w:r>
        <w:t xml:space="preserve">, float vectors, 1536 dimensions, and strict query/document input-type asymmetry. Policy links are query-time metadata unions over retrieved chunk context, not a separate request-time policy-link lookup subsystem. The chunk taxonomy is four-type, and candidate shaping explicitly handles all four types. Hybrid score fusion belongs in OpenSearch search pipelines, not in Java application code. Generation stays behind a narrow adapter boundary because inline agents are currently documented publicly as preview. The query path remains stateless across turns at launch, and </w:t>
      </w:r>
      <w:r>
        <w:rPr>
          <w:rFonts w:ascii="Consolas" w:cs="Consolas" w:eastAsia="Consolas" w:hAnsi="Consolas"/>
          <w:sz w:val="20"/>
          <w:szCs w:val="20"/>
          <w:shd w:fill="F0F0F0" w:val="clear"/>
        </w:rPr>
        <w:t xml:space="preserve">session_id</w:t>
      </w:r>
      <w:r>
        <w:t xml:space="preserve"> does not alter retrieval behavior.</w:t>
      </w:r>
    </w:p>
    <w:p>
      <w:pPr>
        <w:spacing w:after="120" w:before="120"/>
      </w:pPr>
      <w:r>
        <w:t xml:space="preserve">The remaining open dependencies are narrower than they were before. The exact request-field name and encoding for role or position scope must be finalized so the online contract matches the metadata architecture the primer already describes. The region encoding contract and the specific metadata pattern that distinguishes destination-governed entitlements from home-country process guidance must be finalized jointly by content and index design so the online filter does not have to guess. Classification thresholds, confidence calibration, shortlist size, and hybrid weighting remain evaluation-tuned parameters.</w:t>
      </w:r>
    </w:p>
    <w:p>
      <w:pPr>
        <w:pStyle w:val="Heading3"/>
        <w:spacing w:after="120" w:before="240"/>
      </w:pPr>
      <w:r>
        <w:t xml:space="preserve">5.20 Source Basis and Verification Boundary</w:t>
      </w:r>
    </w:p>
    <w:p>
      <w:pPr>
        <w:spacing w:after="120" w:before="120"/>
      </w:pPr>
      <w:r>
        <w:t xml:space="preserve">This part is grounded in the Skywalker architecture overview, the current documentation program constraints, and current public AWS and OpenSearch documentation for Bedrock Cohere Embed v4, Bedrock reranking, Bedrock inline agents, Bedrock prompt caching, OpenSearch hybrid search, and OpenSearch post-filter behavior.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4" w:sz="4" w:space="4"/>
      </w:pBdr>
      <w:spacing w:after="0"/>
      <w:jc w:val="right"/>
    </w:pPr>
    <w:r>
      <w:rPr>
        <w:rFonts w:ascii="Arial" w:cs="Arial" w:eastAsia="Arial" w:hAnsi="Arial"/>
        <w:i/>
        <w:iCs/>
        <w:color w:val="2E5984"/>
        <w:sz w:val="18"/>
        <w:szCs w:val="18"/>
      </w:rPr>
      <w:t xml:space="preserve">Project Skywalker — Query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6E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4A7FB0"/>
      <w:sz w:val="24"/>
      <w:szCs w:val="24"/>
    </w:rPr>
  </w:style>
  <w:style w:type="paragraph" w:styleId="Heading5">
    <w:name w:val="Heading 5"/>
    <w:basedOn w:val="Normal"/>
    <w:next w:val="Normal"/>
    <w:qFormat/>
    <w:pPr>
      <w:spacing w:after="80" w:before="180"/>
      <w:outlineLvl w:val="4"/>
    </w:pPr>
    <w:rPr>
      <w:rFonts w:ascii="Arial" w:cs="Arial" w:eastAsia="Arial" w:hAnsi="Arial"/>
      <w:b/>
      <w:bCs/>
      <w:i/>
      <w:iCs/>
      <w:color w:val="4A7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2026-03-19T05:14:11.628Z</dcterms:created>
  <dcterms:modified xsi:type="dcterms:W3CDTF">2026-03-19T05:14:11.628Z</dcterms:modified>
</cp:coreProperties>
</file>

<file path=docProps/custom.xml><?xml version="1.0" encoding="utf-8"?>
<Properties xmlns="http://schemas.openxmlformats.org/officeDocument/2006/custom-properties" xmlns:vt="http://schemas.openxmlformats.org/officeDocument/2006/docPropsVTypes"/>
</file>