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t xml:space="preserve">4. OpenSearch &amp; Indexing</w:t>
      </w:r>
    </w:p>
    <w:p>
      <w:pPr>
        <w:spacing w:after="120" w:before="120"/>
      </w:pPr>
      <w:r>
        <w:t xml:space="preserve">This section defines the retrieval substrate that ingestion, chunking, retrieval, reranking, and answer assembly all depend on: the index topology, vector configuration, field schema, chunk representation, filtering model, parent-context reconstruction pattern, and the boundaries between fixed decisions and calibration surfaces.</w:t>
      </w:r>
    </w:p>
    <w:p>
      <w:pPr>
        <w:spacing w:after="120" w:before="120"/>
      </w:pPr>
      <w:r>
        <w:t xml:space="preserve">The index is not just storage. It is part of the behavior of the system. If ingestion writes the wrong fields, retrieval quality degrades without throwing an obvious error. If the chunker produces the right chunks but the index does not preserve their relationships, the query path cannot recover the right context. If the orchestrator constructs filters against field types or sentinel values that the index does not actually support, the system quietly returns the wrong candidate set or no candidates at all.</w:t>
      </w:r>
    </w:p>
    <w:p>
      <w:pPr>
        <w:pStyle w:val="Heading3"/>
        <w:spacing w:after="120" w:before="240"/>
      </w:pPr>
      <w:r>
        <w:t xml:space="preserve">4.1 The Constraints That Matter Here</w:t>
      </w:r>
    </w:p>
    <w:p>
      <w:pPr>
        <w:spacing w:after="120" w:before="120"/>
      </w:pPr>
      <w:r>
        <w:t xml:space="preserve">Several upstream decisions narrow the design space sharply. We are using OpenSearch Serverless as the designated vector store for all vector operations in the system. We are using Cohere Embed v4 through Bedrock, with document-side and query-side embeddings produced using their correct asymmetric input types. We are treating 1536 dimensions as the working production default for the retrieval system. We are not indexing policy documents as a separately retrievable text corpus; instead, policy links travel through metadata inheritance on operational chunks. We are not doing multi-hop retrieval. We are embedding the live query exactly once and reusing that vector for both FAQ classification and main-corpus retrieval. And we are building this inside the Brazil-centered Amazon internal environment described by the primer, which means the system has to remain practical for a Java-heavy implementation with a very explicit service boundary model.</w:t>
      </w:r>
    </w:p>
    <w:p>
      <w:pPr>
        <w:spacing w:after="120" w:before="120"/>
      </w:pPr>
      <w:r>
        <w:t xml:space="preserve">These constraints have direct implications. Because the query embedding is reused, the FAQ index and the corpus index must share a coherent vector-space contract. Because policy links are inherited metadata rather than a query-time subsystem, the schema has to preserve them cleanly. Because chunk structure is richer than flat semantic slicing, the index has to represent parent, child, semantic, and boundary units without flattening their meaning away. Because latency matters and multi-hop retrieval is out, the first-pass retrieval surface has to be good enough to carry a lot of the system's correctness burden.</w:t>
      </w:r>
    </w:p>
    <w:p>
      <w:pPr>
        <w:pStyle w:val="Heading3"/>
        <w:spacing w:after="120" w:before="240"/>
      </w:pPr>
      <w:r>
        <w:t xml:space="preserve">4.2 Why We Want Direct OpenSearch Control</w:t>
      </w:r>
    </w:p>
    <w:p>
      <w:pPr>
        <w:spacing w:after="120" w:before="120"/>
      </w:pPr>
      <w:r>
        <w:t xml:space="preserve">The retrieval layer uses OpenSearch directly rather than a higher-level managed retrieval abstraction, because the problem shape is too specific for a generic retrieval wrapper to handle the dimensions that matter. The system needs a retrieval layer that understands chunk taxonomy, preserves parent-child relationships, supports vector-first retrieval with lexical assistance, filters on multiple forms of applicability metadata, and can be tuned against real traffic without waiting for a managed service to expose the right lever. That is already a fairly opinionated retrieval stack. Once we accept that, the appeal of abstraction drops fast. A simpler managed layer might reduce some plumbing, but it would do so by collapsing precisely the dimensions we need to preserve.</w:t>
      </w:r>
    </w:p>
    <w:p>
      <w:pPr>
        <w:spacing w:after="120" w:before="120"/>
      </w:pPr>
      <w:r>
        <w:t xml:space="preserve">The chunk model is structurally rich. Documents with recoverable hierarchy produce parent chunks that act as context surfaces, child chunks that act as structural retrieval surfaces, and boundary chunks that represent the seams between adjacent sections. Documents without recoverable hierarchy receive semantic chunking as their primary retrieval surface. Any retrieval system that assumes all chunks are equivalent is already working against the chunker rather than with it.</w:t>
      </w:r>
    </w:p>
    <w:p>
      <w:pPr>
        <w:spacing w:after="120" w:before="120"/>
      </w:pPr>
      <w:r>
        <w:t xml:space="preserve">Direct OpenSearch control lets us keep those distinctions explicit. We can index the chunk types separately but query them together. We can exclude parents from direct first-pass retrieval without losing the ability to fetch them later. We can retain boundary chunks as first-class candidates. We can evolve weighting, analyzers, and field semantics through controlled index revisions rather than working through an abstraction that hides the retrieval mechanics.</w:t>
      </w:r>
    </w:p>
    <w:p>
      <w:pPr>
        <w:pStyle w:val="Heading3"/>
        <w:spacing w:after="120" w:before="240"/>
      </w:pPr>
      <w:r>
        <w:t xml:space="preserve">4.3 Retrieval Posture: k-NN First, Hybrid by Design</w:t>
      </w:r>
    </w:p>
    <w:p>
      <w:pPr>
        <w:spacing w:after="120" w:before="120"/>
      </w:pPr>
      <w:r>
        <w:t xml:space="preserve">The retrieval approach is vector-first hybrid retrieval, where dense vector similarity serves as the primary recall engine. That is the right default because the hard part of this domain is not matching exact keywords. The hard part is correctly connecting user phrasing to policy-and-process content when the wording varies, the phrasing is conversational, the corpus terminology is uneven, and multilingual behavior matters. Employees do not ask the way document authors write. They ask the way humans ask when they are trying to get work done.</w:t>
      </w:r>
    </w:p>
    <w:p>
      <w:pPr>
        <w:spacing w:after="120" w:before="120"/>
      </w:pPr>
      <w:r>
        <w:t xml:space="preserve">BM25 still matters. In fact, it matters a lot for specific classes of questions: system names, policy identifiers, process acronyms, form names, expense platform names, and other exact lexical anchors. There are times when the user knows the exact term and the corpus uses the exact same term, and in those cases BM25 provides strong exact-match recall.</w:t>
      </w:r>
    </w:p>
    <w:p>
      <w:pPr>
        <w:spacing w:after="120" w:before="120"/>
      </w:pPr>
      <w:r>
        <w:t xml:space="preserve">But BM25 should not be treated as co-equal with dense retrieval in the conceptual center of the system. It is a precision aid and a stabilizer, not the main event. The strongest architectural language for this chapter is therefore not "we use hybrid retrieval" in the abstract, but "we use a k-NN-led hybrid retrieval strategy." That phrasing matters because it affects how we evaluate the system. We are not trying to prove that lexical and vector retrieval are equal partners in a happy marriage. We are trying to ensure that semantic retrieval does the heavy lifting while lexical matching rescues important exactness failures. Initial equal weighting is acceptable as a launch baseline when real traffic and judgment data are not yet available, and should be treated as a provisional calibration point.</w:t>
      </w:r>
    </w:p>
    <w:p>
      <w:pPr>
        <w:pStyle w:val="Heading3"/>
        <w:spacing w:after="120" w:before="240"/>
      </w:pPr>
      <w:r>
        <w:t xml:space="preserve">4.4 Index Topology</w:t>
      </w:r>
    </w:p>
    <w:p>
      <w:pPr>
        <w:spacing w:after="120" w:before="120"/>
      </w:pPr>
      <w:r>
        <w:t xml:space="preserve">The system uses two logical indexes within a single OpenSearch Serverless collection. The first is the main corpus index. This contains the operational content produced by ingestion and chunking: child chunks, semantic chunks, boundary chunks, and parent chunks retained for later context recovery. This index is updated continuously as documents change and are reprocessed.</w:t>
      </w:r>
    </w:p>
    <w:p>
      <w:pPr>
        <w:spacing w:after="120" w:before="120"/>
      </w:pPr>
      <w:r>
        <w:t xml:space="preserve">The second is the FAQ classification index. This contains canonical FAQ questions and their paraphrase expansions embedded in the same vector space as the main corpus. It does not store the operational answer corpus itself. Its job is routing: decide whether a query belongs on the FAQ fast path before the main retrieval-and-generation path is invoked. Because the live query embedding is reused for both surfaces, the vector-space assumptions between the two indexes must remain aligned. Both indexes should be accessed through aliases rather than direct versioned names, which gives us a safe path for rebuilds and schema evolution: populate a new index version behind the write alias, verify it, then atomically move the read alias. The application code should know only the stable alias names. It should not know or care whether the active corpus index is </w:t>
      </w:r>
      <w:r>
        <w:rPr>
          <w:rFonts w:ascii="Consolas" w:cs="Consolas" w:eastAsia="Consolas" w:hAnsi="Consolas"/>
          <w:sz w:val="20"/>
          <w:szCs w:val="20"/>
          <w:shd w:fill="F0F0F0" w:val="clear"/>
        </w:rPr>
        <w:t xml:space="preserve">v1</w:t>
      </w:r>
      <w:r>
        <w:t xml:space="preserve">, </w:t>
      </w:r>
      <w:r>
        <w:rPr>
          <w:rFonts w:ascii="Consolas" w:cs="Consolas" w:eastAsia="Consolas" w:hAnsi="Consolas"/>
          <w:sz w:val="20"/>
          <w:szCs w:val="20"/>
          <w:shd w:fill="F0F0F0" w:val="clear"/>
        </w:rPr>
        <w:t xml:space="preserve">v2</w:t>
      </w:r>
      <w:r>
        <w:t xml:space="preserve">, or </w:t>
      </w:r>
      <w:r>
        <w:rPr>
          <w:rFonts w:ascii="Consolas" w:cs="Consolas" w:eastAsia="Consolas" w:hAnsi="Consolas"/>
          <w:sz w:val="20"/>
          <w:szCs w:val="20"/>
          <w:shd w:fill="F0F0F0" w:val="clear"/>
        </w:rPr>
        <w:t xml:space="preserve">v9</w:t>
      </w:r>
      <w:r>
        <w:t xml:space="preserve">.</w:t>
      </w:r>
    </w:p>
    <w:p>
      <w:pPr>
        <w:pStyle w:val="Heading3"/>
        <w:spacing w:after="120" w:before="240"/>
      </w:pPr>
      <w:r>
        <w:t xml:space="preserve">4.5 Embedding Contract and Dimensionality</w:t>
      </w:r>
    </w:p>
    <w:p>
      <w:pPr>
        <w:spacing w:after="120" w:before="120"/>
      </w:pPr>
      <w:r>
        <w:t xml:space="preserve">Cohere Embed v4 is the correct embedding family for this system under the current constraints, and the choice is driven by more than just English-language retrieval quality. Skywalker serves a global user base, and Embed v4 supports cross-lingual retrieval: a user can ask in German and retrieve English-language corpus content because the model maps multiple languages into the same embedding space. This is a critical capability for a T&amp;E system where the operational corpus may be primarily English but the users are not.</w:t>
      </w:r>
    </w:p>
    <w:p>
      <w:pPr>
        <w:spacing w:after="120" w:before="120"/>
      </w:pPr>
      <w:r>
        <w:t xml:space="preserve">However, cross-lingual embedding quality is not uniform across languages, and this non-uniformity operates on two axes. First, monolingual retrieval quality varies by language --- the same model performing English-to-English retrieval will produce tighter, more reliable scores than Japanese-to-Japanese, because the model saw more English training data. Published evaluations of Cohere's multilingual embeddings show nDCG@10 differences of several points between high-resource European languages on the same retrieval task. Second, cross-lingual retrieval (query in one language, documents in another) is systematically lower quality than monolingual retrieval, and the gap widens for typologically distant or cross-script language pairs. Recent research on cross-lingual retrieval with multilingual encoders (Goworek et al., 2025) found that even the strongest encoders show Recall@100 gaps of 10-20+ percentage points between easy same-script pairs (English-Spanish) and hard cross-script pairs (Arabic-Russian, Japanese-English). The cross-lingual delta is the larger effect. This has direct implications for any system behavior that depends on similarity score thresholds --- FAQ classification thresholds, retrieval score interpretation, and confidence signals all need to account for the fact that cross-lingual scores are systematically lower and more variable than same-language scores. The language-specific FAQ thresholds described in §5.7 exist for exactly this reason.</w:t>
      </w:r>
    </w:p>
    <w:p>
      <w:pPr>
        <w:spacing w:after="120" w:before="120"/>
      </w:pPr>
      <w:r>
        <w:t xml:space="preserve">For Skywalker specifically, the corpus is expected to be English or near-exclusively English, but the user base is global and users will frequently query in whatever language they are most comfortable with. Cross-lingual retrieval is therefore not an edge case but a likely and frequent operating mode. Every non-English query pays the cross-lingual tax, and the size of that tax depends on how typologically distant the user's language is from English. Same-script European languages (German, French, Spanish) will retrieve well. Cross-script languages (Japanese, Arabic, Hindi) will retrieve less reliably. This is a known property of the embedding model, not a defect in the system, and not something we can meaningfully mitigate at the retrieval layer. It is documented here so the team understands why cross-lingual queries may produce lower-confidence results and does not misattribute that behavior to a retrieval or chunking defect.</w:t>
      </w:r>
    </w:p>
    <w:p>
      <w:pPr>
        <w:spacing w:after="120" w:before="120"/>
      </w:pPr>
      <w:r>
        <w:t xml:space="preserve">Bedrock's documentation matters here for two additional reasons. First, the model supports configurable output dimensions from 256 to 1536. Second, it is intentionally asymmetric, meaning query and document embeddings must be generated with their proper roles rather than treated as interchangeable. For Skywalker, 1536 dimensions should remain the working default because retrieval quality is a primary concern and because no evaluation currently justifies cutting the representational space down in exchange for operational tidiness.</w:t>
      </w:r>
    </w:p>
    <w:p>
      <w:pPr>
        <w:spacing w:after="120" w:before="120"/>
      </w:pPr>
      <w:r>
        <w:t xml:space="preserve">That choice binds both indexes --- if we ever change dimensionality or move to a different embedding family, both must be rebuilt together. Reusing a single query embedding makes that coupling explicit.</w:t>
      </w:r>
    </w:p>
    <w:p>
      <w:pPr>
        <w:pStyle w:val="Heading3"/>
        <w:spacing w:after="120" w:before="240"/>
      </w:pPr>
      <w:r>
        <w:t xml:space="preserve">4.6 HNSW and Engine Direction</w:t>
      </w:r>
    </w:p>
    <w:p>
      <w:pPr>
        <w:spacing w:after="120" w:before="120"/>
      </w:pPr>
      <w:r>
        <w:t xml:space="preserve">For approximate nearest-neighbor search, HNSW is the right method family. The reason is straightforward. We care about high-recall single-pass retrieval under tight latency, and we expect many semantically adjacent chunks in the same neighborhood. HNSW's navigable proximity graph is well suited to that operating mode.</w:t>
      </w:r>
    </w:p>
    <w:p>
      <w:pPr>
        <w:spacing w:after="120" w:before="120"/>
      </w:pPr>
      <w:r>
        <w:t xml:space="preserve">On the engine choice, we should prefer Faiss-backed HNSW rather than NMSLIB. Upstream OpenSearch now treats NMSLIB as deprecated and recommends Faiss or Lucene instead. AWS's OpenSearch Serverless documentation also centers Faiss-specific vector features in vector search collections. Given that NMSLIB is deprecated and Faiss is the recommended path for OpenSearch Serverless, there is no reason to use the legacy engine.</w:t>
      </w:r>
    </w:p>
    <w:p>
      <w:pPr>
        <w:spacing w:after="120" w:before="120"/>
      </w:pPr>
      <w:r>
        <w:t xml:space="preserve">The parameter posture should be quality-forward. The earlier OpenSearch draft proposed high </w:t>
      </w:r>
      <w:r>
        <w:rPr>
          <w:rFonts w:ascii="Consolas" w:cs="Consolas" w:eastAsia="Consolas" w:hAnsi="Consolas"/>
          <w:sz w:val="20"/>
          <w:szCs w:val="20"/>
          <w:shd w:fill="F0F0F0" w:val="clear"/>
        </w:rPr>
        <w:t xml:space="preserve">ef_construction</w:t>
      </w:r>
      <w:r>
        <w:t xml:space="preserve"> and </w:t>
      </w:r>
      <w:r>
        <w:rPr>
          <w:rFonts w:ascii="Consolas" w:cs="Consolas" w:eastAsia="Consolas" w:hAnsi="Consolas"/>
          <w:sz w:val="20"/>
          <w:szCs w:val="20"/>
          <w:shd w:fill="F0F0F0" w:val="clear"/>
        </w:rPr>
        <w:t xml:space="preserve">ef_search</w:t>
      </w:r>
      <w:r>
        <w:t xml:space="preserve"> values and a modest </w:t>
      </w:r>
      <w:r>
        <w:rPr>
          <w:rFonts w:ascii="Consolas" w:cs="Consolas" w:eastAsia="Consolas" w:hAnsi="Consolas"/>
          <w:sz w:val="20"/>
          <w:szCs w:val="20"/>
          <w:shd w:fill="F0F0F0" w:val="clear"/>
        </w:rPr>
        <w:t xml:space="preserve">m</w:t>
      </w:r>
      <w:r>
        <w:t xml:space="preserve">. The spirit of that recommendation is right: prioritize recall quality over ingest throughput and tolerate a somewhat expensive retrieval step if it materially improves candidate quality. What should change is not the direction but the certainty. These should be treated as starting assumptions subject to empirical validation.</w:t>
      </w:r>
    </w:p>
    <w:p>
      <w:pPr>
        <w:spacing w:after="120" w:before="120"/>
      </w:pPr>
      <w:r>
        <w:t xml:space="preserve">So our recommended baseline is a Faiss-backed HNSW index with aggressive construction and search breadth appropriate for a quality-first pilot. We begin with graph density that is at least sensible for launch and explicitly expect to test whether higher connectivity materially improves recall on our corpus once we have a real evaluation set. The exact parameters will be validated against real corpus behavior once an evaluation set is available.</w:t>
      </w:r>
    </w:p>
    <w:p>
      <w:pPr>
        <w:pStyle w:val="Heading3"/>
        <w:spacing w:after="120" w:before="240"/>
      </w:pPr>
      <w:r>
        <w:t xml:space="preserve">4.7 Main Corpus Schema</w:t>
      </w:r>
    </w:p>
    <w:p>
      <w:pPr>
        <w:spacing w:after="120" w:before="120"/>
      </w:pPr>
      <w:r>
        <w:t xml:space="preserve">The schema of the corpus index is the shared contract between ingestion, chunking, retrieval, reranking preparation, and answer assembly, and the field design is built around system behavior. The index needs, at minimum, an embedding field, the retrievable chunk text, chunk type, source document identity, parent linkage where relevant, document type, applicability metadata, access tier, inherited policy-link metadata, ownership/provenance metadata, and ingest versioning metadata.</w:t>
      </w:r>
    </w:p>
    <w:p>
      <w:pPr>
        <w:spacing w:after="120" w:before="120"/>
      </w:pPr>
      <w:r>
        <w:rPr>
          <w:rFonts w:ascii="Consolas" w:cs="Consolas" w:eastAsia="Consolas" w:hAnsi="Consolas"/>
          <w:sz w:val="20"/>
          <w:szCs w:val="20"/>
          <w:shd w:fill="F0F0F0" w:val="clear"/>
        </w:rPr>
        <w:t xml:space="preserve">chunk_text</w:t>
      </w:r>
      <w:r>
        <w:t xml:space="preserve"> is the lexical search surface and the downstream content payload. It is what BM25 searches, what reranking reads, and what the answering layer ultimately cites. It should therefore remain focused on the meaningful content of the chunk rather than absorbing miscellaneous metadata.</w:t>
      </w:r>
    </w:p>
    <w:p>
      <w:pPr>
        <w:spacing w:after="120" w:before="120"/>
      </w:pPr>
      <w:r>
        <w:rPr>
          <w:rFonts w:ascii="Consolas" w:cs="Consolas" w:eastAsia="Consolas" w:hAnsi="Consolas"/>
          <w:sz w:val="20"/>
          <w:szCs w:val="20"/>
          <w:shd w:fill="F0F0F0" w:val="clear"/>
        </w:rPr>
        <w:t xml:space="preserve">chunk_type</w:t>
      </w:r>
      <w:r>
        <w:t xml:space="preserve"> is essential because the retrieval system behaves differently by chunk class, requiring us to distinguish parents from children, semantic chunks, and boundary chunks at search time and during candidate post-processing. </w:t>
      </w:r>
      <w:r>
        <w:rPr>
          <w:rFonts w:ascii="Consolas" w:cs="Consolas" w:eastAsia="Consolas" w:hAnsi="Consolas"/>
          <w:sz w:val="20"/>
          <w:szCs w:val="20"/>
          <w:shd w:fill="F0F0F0" w:val="clear"/>
        </w:rPr>
        <w:t xml:space="preserve">source_doc_id</w:t>
      </w:r>
      <w:r>
        <w:t xml:space="preserve"> must identify the originating document stably across reingests, which is what allows us to reason about document lineage and deduplication coherently.</w:t>
      </w:r>
    </w:p>
    <w:p>
      <w:pPr>
        <w:spacing w:after="120" w:before="120"/>
      </w:pPr>
      <w:r>
        <w:rPr>
          <w:rFonts w:ascii="Consolas" w:cs="Consolas" w:eastAsia="Consolas" w:hAnsi="Consolas"/>
          <w:sz w:val="20"/>
          <w:szCs w:val="20"/>
          <w:shd w:fill="F0F0F0" w:val="clear"/>
        </w:rPr>
        <w:t xml:space="preserve">parent_chunk_id</w:t>
      </w:r>
      <w:r>
        <w:t xml:space="preserve"> must point directly to the actual indexed parent document ID. That keeps parent-context recovery simple. The query path should not need a second search or a translation layer merely to fetch the parent of a retrieved child. It should be able to fetch those parents by direct ID in one operation.</w:t>
      </w:r>
    </w:p>
    <w:p>
      <w:pPr>
        <w:spacing w:after="120" w:before="120"/>
      </w:pPr>
      <w:r>
        <w:t xml:space="preserve">Applicability metadata is retrieval infrastructure. The identity context includes country, approximate job level, and role or position where role-differentiated policy applies. That means the index must preserve country, level, and role-oriented applicability in a form suitable for exact filtering. These fields are part of how retrieval remains correct for the specific employee asking the question, and </w:t>
      </w:r>
      <w:r>
        <w:rPr>
          <w:rFonts w:ascii="Consolas" w:cs="Consolas" w:eastAsia="Consolas" w:hAnsi="Consolas"/>
          <w:sz w:val="20"/>
          <w:szCs w:val="20"/>
          <w:shd w:fill="F0F0F0" w:val="clear"/>
        </w:rPr>
        <w:t xml:space="preserve">access_control_tier</w:t>
      </w:r>
      <w:r>
        <w:t xml:space="preserve"> belongs in the same category as a retrieval boundary --- chunks should never enter the candidate set if the caller should not be able to see them.</w:t>
      </w:r>
    </w:p>
    <w:p>
      <w:pPr>
        <w:spacing w:after="120" w:before="120"/>
      </w:pPr>
      <w:r>
        <w:rPr>
          <w:rFonts w:ascii="Consolas" w:cs="Consolas" w:eastAsia="Consolas" w:hAnsi="Consolas"/>
          <w:sz w:val="20"/>
          <w:szCs w:val="20"/>
          <w:shd w:fill="F0F0F0" w:val="clear"/>
        </w:rPr>
        <w:t xml:space="preserve">policy_links</w:t>
      </w:r>
      <w:r>
        <w:t xml:space="preserve"> should be stored as inherited chunk metadata, not reconstructed at query time from a separate system. This is one of the clearest ways the primer improves the older architecture draft. The policy-link problem is fundamentally an ingest-time inheritance problem. If an operational chunk derives authority from or is governed by a policy document, that relationship should already be represented on the chunk when it is indexed. Then retrieval returns it naturally, and the answering layer can merge and deduplicate those links into the response envelope. That is cleaner than introducing a runtime policy-link lookup subsystem, and it aligns better with the way policy is meant to appear in the user experience.</w:t>
      </w:r>
    </w:p>
    <w:p>
      <w:pPr>
        <w:spacing w:after="120" w:before="120"/>
      </w:pPr>
      <w:r>
        <w:t xml:space="preserve">One mapping detail needs an explicit correction because it affects failure visibility. Current OpenSearch documentation is clear that </w:t>
      </w:r>
      <w:r>
        <w:rPr>
          <w:rFonts w:ascii="Consolas" w:cs="Consolas" w:eastAsia="Consolas" w:hAnsi="Consolas"/>
          <w:sz w:val="20"/>
          <w:szCs w:val="20"/>
          <w:shd w:fill="F0F0F0" w:val="clear"/>
        </w:rPr>
        <w:t xml:space="preserve">dynamic: false</w:t>
      </w:r>
      <w:r>
        <w:t xml:space="preserve"> does not reject documents with undeclared fields. It prevents those fields from being indexed, but they can still remain in </w:t>
      </w:r>
      <w:r>
        <w:rPr>
          <w:rFonts w:ascii="Consolas" w:cs="Consolas" w:eastAsia="Consolas" w:hAnsi="Consolas"/>
          <w:sz w:val="20"/>
          <w:szCs w:val="20"/>
          <w:shd w:fill="F0F0F0" w:val="clear"/>
        </w:rPr>
        <w:t xml:space="preserve">_source</w:t>
      </w:r>
      <w:r>
        <w:t xml:space="preserve">. The mode that actually throws an indexing exception on undeclared fields is </w:t>
      </w:r>
      <w:r>
        <w:rPr>
          <w:rFonts w:ascii="Consolas" w:cs="Consolas" w:eastAsia="Consolas" w:hAnsi="Consolas"/>
          <w:sz w:val="20"/>
          <w:szCs w:val="20"/>
          <w:shd w:fill="F0F0F0" w:val="clear"/>
        </w:rPr>
        <w:t xml:space="preserve">dynamic: strict</w:t>
      </w:r>
      <w:r>
        <w:t xml:space="preserve">. For a system where silent schema drift can cause hard-to-diagnose relevance bugs, </w:t>
      </w:r>
      <w:r>
        <w:rPr>
          <w:rFonts w:ascii="Consolas" w:cs="Consolas" w:eastAsia="Consolas" w:hAnsi="Consolas"/>
          <w:sz w:val="20"/>
          <w:szCs w:val="20"/>
          <w:shd w:fill="F0F0F0" w:val="clear"/>
        </w:rPr>
        <w:t xml:space="preserve">dynamic: strict</w:t>
      </w:r>
      <w:r>
        <w:t xml:space="preserve"> is the safer production stance. Undeclared fields should cause indexing exceptions rather than being silently accepted.</w:t>
      </w:r>
    </w:p>
    <w:p>
      <w:pPr>
        <w:pStyle w:val="Heading3"/>
        <w:spacing w:after="120" w:before="240"/>
      </w:pPr>
      <w:r>
        <w:t xml:space="preserve">4.8 Lexical Analysis</w:t>
      </w:r>
    </w:p>
    <w:p>
      <w:pPr>
        <w:spacing w:after="120" w:before="120"/>
      </w:pPr>
      <w:r>
        <w:t xml:space="preserve">The lexical side of hybrid retrieval should begin with a standard analyzer unless evaluation shows a domain-specific analyzer is needed. That is the prudent initial posture because it keeps the launch schema simpler and avoids unnecessary analyzer cleverness before we have evidence.</w:t>
      </w:r>
    </w:p>
    <w:p>
      <w:pPr>
        <w:spacing w:after="120" w:before="120"/>
      </w:pPr>
      <w:r>
        <w:t xml:space="preserve">However, generic lexical analysis may not be sufficient for this domain. T&amp;E language is full of acronyms, symbolic terms, product names, and compact expressions that can be tokenized in awkward ways. If domain-important tokens are being split or normalized into forms that reduce lexical usefulness, BM25 becomes less valuable precisely where we intended it to help, so the standard analyzer is the starting point with acronym-heavy failure modes as an expected calibration target.</w:t>
      </w:r>
    </w:p>
    <w:p>
      <w:pPr>
        <w:pStyle w:val="Heading3"/>
        <w:spacing w:after="120" w:before="240"/>
      </w:pPr>
      <w:r>
        <w:t xml:space="preserve">4.9 Parent Retrieval and Context Reconstruction</w:t>
      </w:r>
    </w:p>
    <w:p>
      <w:pPr>
        <w:spacing w:after="120" w:before="120"/>
      </w:pPr>
      <w:r>
        <w:t xml:space="preserve">Parent chunks should be indexed but excluded from direct first-pass retrieval, because they are broad by design. They represent larger sections of documents and therefore carry richer context. That is exactly why they are useful after retrieval identifies the right area of a document. It is also why they are risky as first-pass candidates. Broad chunks often score well for broad reasons. They can crowd out more precise units simply because they contain more semantic mass and more lexical surface area.</w:t>
      </w:r>
    </w:p>
    <w:p>
      <w:pPr>
        <w:spacing w:after="120" w:before="120"/>
      </w:pPr>
      <w:r>
        <w:t xml:space="preserve">So we should retrieve on child chunks, semantic chunks, and boundary chunks. Then, before reranking, we replace retrieved children with their parents where that produces a better context surface. Multiple children under the same parent collapse into one parent context surface. Semantic chunks that do not participate in a parent-child structure remain as themselves. Boundary chunks remain first-class candidates because sometimes the important meaning really is at the seam and not inside a single parent section.</w:t>
      </w:r>
    </w:p>
    <w:p>
      <w:pPr>
        <w:spacing w:after="120" w:before="120"/>
      </w:pPr>
      <w:r>
        <w:t xml:space="preserve">This design only works cleanly if </w:t>
      </w:r>
      <w:r>
        <w:rPr>
          <w:rFonts w:ascii="Consolas" w:cs="Consolas" w:eastAsia="Consolas" w:hAnsi="Consolas"/>
          <w:sz w:val="20"/>
          <w:szCs w:val="20"/>
          <w:shd w:fill="F0F0F0" w:val="clear"/>
        </w:rPr>
        <w:t xml:space="preserve">parent_chunk_id</w:t>
      </w:r>
      <w:r>
        <w:t xml:space="preserve"> points directly to the indexed parent document ID. The query path should be able to issue one direct-ID fetch for the needed parents and proceed. That is simpler, cheaper, and less failure-prone than trying to rediscover parent context through another search.</w:t>
      </w:r>
    </w:p>
    <w:p>
      <w:pPr>
        <w:pStyle w:val="Heading3"/>
        <w:spacing w:after="120" w:before="240"/>
      </w:pPr>
      <w:r>
        <w:t xml:space="preserve">4.10 Filtering Model</w:t>
      </w:r>
    </w:p>
    <w:p>
      <w:pPr>
        <w:spacing w:after="120" w:before="120"/>
      </w:pPr>
      <w:r>
        <w:t xml:space="preserve">The retrieval path needs exact filtering on applicability and access metadata. Embeddings alone cannot reliably enforce who a chunk applies to, what country it governs, what role it targets, or whether it is permissible for the caller to see it. That means filtering is part of the retrieval contract, not an afterthought.</w:t>
      </w:r>
    </w:p>
    <w:p>
      <w:pPr>
        <w:spacing w:after="120" w:before="120"/>
      </w:pPr>
      <w:r>
        <w:t xml:space="preserve">The base model is straightforward. We filter on country applicability, level applicability, role-specific applicability where the content model requires it, and access tier. We also exclude parent chunks from direct retrieval. Sentinel values like universal applicability remain useful, but only as part of a tightly controlled shared vocabulary across ingestion, indexing, and query construction.</w:t>
      </w:r>
    </w:p>
    <w:p>
      <w:pPr>
        <w:spacing w:after="120" w:before="120"/>
      </w:pPr>
      <w:r>
        <w:t xml:space="preserve">One question remains genuinely open: how </w:t>
      </w:r>
      <w:r>
        <w:rPr>
          <w:rFonts w:ascii="Consolas" w:cs="Consolas" w:eastAsia="Consolas" w:hAnsi="Consolas"/>
          <w:sz w:val="20"/>
          <w:szCs w:val="20"/>
          <w:shd w:fill="F0F0F0" w:val="clear"/>
        </w:rPr>
        <w:t xml:space="preserve">destination_country</w:t>
      </w:r>
      <w:r>
        <w:t xml:space="preserve"> should interact with </w:t>
      </w:r>
      <w:r>
        <w:rPr>
          <w:rFonts w:ascii="Consolas" w:cs="Consolas" w:eastAsia="Consolas" w:hAnsi="Consolas"/>
          <w:sz w:val="20"/>
          <w:szCs w:val="20"/>
          <w:shd w:fill="F0F0F0" w:val="clear"/>
        </w:rPr>
        <w:t xml:space="preserve">user_country</w:t>
      </w:r>
      <w:r>
        <w:t xml:space="preserve"> for travel queries. The older draft framed that correctly as a policy-semantics question rather than a search-engine question. If some content is destination-governed and some content is home-country-governed, then both may need to participate in filtering. If destination fully supersedes home country for a given class of question, then retrieval should reflect that. We should keep that ambiguity visible until the content semantics are resolved rather than burying an accidental assumption in the query builder.</w:t>
      </w:r>
    </w:p>
    <w:p>
      <w:pPr>
        <w:pStyle w:val="Heading3"/>
        <w:spacing w:after="120" w:before="240"/>
      </w:pPr>
      <w:r>
        <w:t xml:space="preserve">4.11 Hybrid Query Composition</w:t>
      </w:r>
    </w:p>
    <w:p>
      <w:pPr>
        <w:spacing w:after="120" w:before="120"/>
      </w:pPr>
      <w:r>
        <w:t xml:space="preserve">The retrieval query should combine a lexical clause over </w:t>
      </w:r>
      <w:r>
        <w:rPr>
          <w:rFonts w:ascii="Consolas" w:cs="Consolas" w:eastAsia="Consolas" w:hAnsi="Consolas"/>
          <w:sz w:val="20"/>
          <w:szCs w:val="20"/>
          <w:shd w:fill="F0F0F0" w:val="clear"/>
        </w:rPr>
        <w:t xml:space="preserve">chunk_text</w:t>
      </w:r>
      <w:r>
        <w:t xml:space="preserve"> with a k-NN clause over the dense vector field and let OpenSearch handle normalization and score fusion through a search pipeline. That is cleaner than trying to combine scores in application code and keeps the retrieval behavior near the engine that actually computed the underlying relevance signals.</w:t>
      </w:r>
    </w:p>
    <w:p>
      <w:pPr>
        <w:spacing w:after="120" w:before="120"/>
      </w:pPr>
      <w:r>
        <w:t xml:space="preserve">The key design intent is that hybrid fusion should preserve the semantic dominance of the vector path while still letting lexical precision matter. Equal weighting is acceptable as a launch baseline because it is interpretable and easy to reason about, but it should be treated as a starting point, and our real expectation is that production tuning may shift toward a more vector-heavy blend once we observe how the corpus and user traffic behave. The design permits that tuning without an index rebuild, since search-pipeline weighting can be revised as part of relevance calibration rather than treated as a schema event.</w:t>
      </w:r>
    </w:p>
    <w:p>
      <w:pPr>
        <w:pStyle w:val="Heading3"/>
        <w:spacing w:after="120" w:before="240"/>
      </w:pPr>
      <w:r>
        <w:t xml:space="preserve">4.12 FAQ Classification Index</w:t>
      </w:r>
    </w:p>
    <w:p>
      <w:pPr>
        <w:spacing w:after="120" w:before="120"/>
      </w:pPr>
      <w:r>
        <w:t xml:space="preserve">The FAQ index is simpler than the corpus index but architecturally important because it is where the single-embedding-call decision becomes visibly binding. The same live query vector that goes to main-corpus retrieval also goes to FAQ classification, which means the FAQ index must share the same embedding family, the same configured dimensionality, and similarity semantics compatible with the corpus index. FAQ exemplars are document-side objects and should therefore be embedded with the document-side input type, while live queries use the query-side input type --- this asymmetry is required by the model's design. The FAQ index should follow the same engine direction as the corpus index for operational consistency, since hidden divergence between classification and retrieval surfaces would create difficult-to-diagnose failures.</w:t>
      </w:r>
    </w:p>
    <w:p>
      <w:pPr>
        <w:pStyle w:val="Heading3"/>
        <w:spacing w:after="120" w:before="240"/>
      </w:pPr>
      <w:r>
        <w:t xml:space="preserve">4.13 Schema Evolution and Reindexing</w:t>
      </w:r>
    </w:p>
    <w:p>
      <w:pPr>
        <w:spacing w:after="120" w:before="120"/>
      </w:pPr>
      <w:r>
        <w:t xml:space="preserve">Not every additive field change requires migration, but every retrieval-critical change should be treated as a new-index event in practice. If we change analyzer behavior, vector configuration, parent-link semantics, policy-link representation, or the meaning and type of applicability fields, then we are in controlled migration territory.</w:t>
      </w:r>
    </w:p>
    <w:p>
      <w:pPr>
        <w:spacing w:after="120" w:before="120"/>
      </w:pPr>
      <w:r>
        <w:t xml:space="preserve">The operational doctrine should therefore be simple. Retrieval-critical changes happen through versioned indexes and alias swaps. We create a new corpus index version with the revised mapping or settings, repopulate it, verify representative retrieval behavior and field correctness, then move the read alias atomically. Patching live semantics in place risks incoherent relevance behavior across a half-upgraded corpus.</w:t>
      </w:r>
    </w:p>
    <w:p>
      <w:pPr>
        <w:pStyle w:val="Heading3"/>
        <w:spacing w:after="120" w:before="240"/>
      </w:pPr>
      <w:r>
        <w:t xml:space="preserve">4.14 Recommended Initial Baseline</w:t>
      </w:r>
    </w:p>
    <w:p>
      <w:pPr>
        <w:spacing w:after="120" w:before="120"/>
      </w:pPr>
      <w:r>
        <w:t xml:space="preserve">For the initial implementation, we build the corpus index and FAQ classification index in the same OpenSearch Serverless collection. We use Cohere Embed v4 embeddings at 1536 dimensions for both, with </w:t>
      </w:r>
      <w:r>
        <w:rPr>
          <w:rFonts w:ascii="Consolas" w:cs="Consolas" w:eastAsia="Consolas" w:hAnsi="Consolas"/>
          <w:sz w:val="20"/>
          <w:szCs w:val="20"/>
          <w:shd w:fill="F0F0F0" w:val="clear"/>
        </w:rPr>
        <w:t xml:space="preserve">search_document</w:t>
      </w:r>
      <w:r>
        <w:t xml:space="preserve"> on corpus and FAQ-side embeddings and </w:t>
      </w:r>
      <w:r>
        <w:rPr>
          <w:rFonts w:ascii="Consolas" w:cs="Consolas" w:eastAsia="Consolas" w:hAnsi="Consolas"/>
          <w:sz w:val="20"/>
          <w:szCs w:val="20"/>
          <w:shd w:fill="F0F0F0" w:val="clear"/>
        </w:rPr>
        <w:t xml:space="preserve">search_query</w:t>
      </w:r>
      <w:r>
        <w:t xml:space="preserve"> on live queries. We configure the vector fields for Faiss-backed HNSW and begin with quality-forward settings rather than throughput-first defaults. We keep hybrid retrieval enabled from day one, but we frame it as k-NN-led retrieval with BM25 support rather than as an equal-weight arrangement. We index parent chunks for later contextual replacement but exclude them from direct first-pass retrieval. We preserve child, semantic, and boundary chunks as direct retrieval surfaces. We encode applicability and access metadata as first-class indexed fields designed for exact filtering. We store inherited policy links on the chunks themselves, not in a separate runtime lookup table. We use aliases for all application-facing index access so that schema and parameter evolution can happen through controlled version swaps rather than modifying the live index.</w:t>
      </w:r>
    </w:p>
    <w:p>
      <w:pPr>
        <w:spacing w:after="120" w:before="120"/>
      </w:pPr>
      <w:r>
        <w:t xml:space="preserve">That baseline gives us the right shape for the initial phase: enough control to observe real retrieval behavior, enough structure to support the chunk taxonomy, and enough openness to recalibrate once traffic and evaluation data tell us where our current assumptions hold and where they need adjustment.</w:t>
      </w:r>
    </w:p>
    <w:p>
      <w:pPr>
        <w:pStyle w:val="Heading3"/>
        <w:spacing w:after="120" w:before="240"/>
      </w:pPr>
      <w:r>
        <w:t xml:space="preserve">4.15 The Places We Should Expect to Learn Something</w:t>
      </w:r>
    </w:p>
    <w:p>
      <w:pPr>
        <w:spacing w:after="120" w:before="120"/>
      </w:pPr>
      <w:r>
        <w:t xml:space="preserve">The initial index design identifies the parts most likely to need recalibration and makes those recalibrations feasible. The first learning surface is HNSW connectivity and search breadth --- we are confident that HNSW is the correct family and that a quality-forward configuration is right for launch, but we are less certain about the best long-term graph density and search-breadth settings for this corpus under real latency and recall conditions. The second is lexical contribution, where we expect BM25 to matter for certain classes of question but the proportion of those classes in real usage will be determined by traffic data. The third is analyzer behavior --- we know domain acronyms and symbolic terms may stress a generic analyzer, but we do not yet know whether the failure mode is significant enough to justify a custom analyzer and the reindex cost that comes with it.</w:t>
      </w:r>
    </w:p>
    <w:p>
      <w:pPr>
        <w:spacing w:after="120" w:before="120"/>
      </w:pPr>
      <w:r>
        <w:t xml:space="preserve">The fourth is metadata granularity, where we will learn in practice how often role-specific divergence materially changes retrieval behavior enough to justify more granular metadata curation across the corpus. The fifth is parent replacement behavior itself --- we believe reconstructing parent context before reranking is the right move for structured documents, but there may be cases where a child or boundary chunk is the sharper candidate surface and parent promotion is counterproductive.</w:t>
      </w:r>
    </w:p>
    <w:p>
      <w:pPr>
        <w:pStyle w:val="Heading3"/>
        <w:spacing w:after="120" w:before="240"/>
      </w:pPr>
      <w:r>
        <w:t xml:space="preserve">4.16 Final Position</w:t>
      </w:r>
    </w:p>
    <w:p>
      <w:pPr>
        <w:spacing w:after="120" w:before="120"/>
      </w:pPr>
      <w:r>
        <w:t xml:space="preserve">The OpenSearch and indexing design uses a direct, Faiss-backed HNSW architecture with vector-first hybrid retrieval, chunk-aware schema design, parent-context reconstruction, and metadata modeled as part of the retrieval contract.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984" w:sz="4" w:space="4"/>
      </w:pBdr>
      <w:spacing w:after="0"/>
      <w:jc w:val="right"/>
    </w:pPr>
    <w:r>
      <w:rPr>
        <w:rFonts w:ascii="Arial" w:cs="Arial" w:eastAsia="Arial" w:hAnsi="Arial"/>
        <w:i/>
        <w:iCs/>
        <w:color w:val="2E5984"/>
        <w:sz w:val="18"/>
        <w:szCs w:val="18"/>
      </w:rPr>
      <w:t xml:space="preserve">Project Skywalker — OpenSearch &amp; Indexing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B6E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4A7FB0"/>
      <w:sz w:val="24"/>
      <w:szCs w:val="24"/>
    </w:rPr>
  </w:style>
  <w:style w:type="paragraph" w:styleId="Heading5">
    <w:name w:val="Heading 5"/>
    <w:basedOn w:val="Normal"/>
    <w:next w:val="Normal"/>
    <w:qFormat/>
    <w:pPr>
      <w:spacing w:after="80" w:before="180"/>
      <w:outlineLvl w:val="4"/>
    </w:pPr>
    <w:rPr>
      <w:rFonts w:ascii="Arial" w:cs="Arial" w:eastAsia="Arial" w:hAnsi="Arial"/>
      <w:b/>
      <w:bCs/>
      <w:i/>
      <w:iCs/>
      <w:color w:val="4A7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2026-03-19T05:14:11.558Z</dcterms:created>
  <dcterms:modified xsi:type="dcterms:W3CDTF">2026-03-19T05:14:11.558Z</dcterms:modified>
</cp:coreProperties>
</file>

<file path=docProps/custom.xml><?xml version="1.0" encoding="utf-8"?>
<Properties xmlns="http://schemas.openxmlformats.org/officeDocument/2006/custom-properties" xmlns:vt="http://schemas.openxmlformats.org/officeDocument/2006/docPropsVTypes"/>
</file>