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CONTRATO DE PRESTAÇÃO DE SERVIÇOS PARA RECONHECIMENTO DA CIDADANIA ITALIANA POR DESCENDÊNCIA E EMISSÃO DE CERTIDÃO DE ITALIANA </w:t>
      </w:r>
    </w:p>
    <w:p w:rsidR="00000000" w:rsidDel="00000000" w:rsidP="00000000" w:rsidRDefault="00000000" w:rsidRPr="00000000" w14:paraId="00000002">
      <w:pPr>
        <w:spacing w:line="360" w:lineRule="auto"/>
        <w:ind w:left="118" w:firstLine="0"/>
        <w:jc w:val="both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118" w:firstLine="0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PARTES CONTRATANTES:</w:t>
      </w:r>
    </w:p>
    <w:p w:rsidR="00000000" w:rsidDel="00000000" w:rsidP="00000000" w:rsidRDefault="00000000" w:rsidRPr="00000000" w14:paraId="00000004">
      <w:pPr>
        <w:spacing w:before="157" w:lineRule="auto"/>
        <w:ind w:left="10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Person_details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Bahnschrift" w:cs="Bahnschrift" w:eastAsia="Bahnschrift" w:hAnsi="Bahnschrift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360" w:lineRule="auto"/>
        <w:ind w:firstLine="118"/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PARTE CONTRATADA: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" w:line="360" w:lineRule="auto"/>
        <w:ind w:left="118" w:right="114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IO.GRINGO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, aqui denominado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, CNPJ: 42.311.104/0001-67, com sede comercial Avenida Itália, n. 928 – sala 1808, Jardim das Nações, Taubaté – SP, CEP: 12030-212.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" w:line="360" w:lineRule="auto"/>
        <w:ind w:left="118" w:right="114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8" w:right="119" w:firstLine="0"/>
        <w:jc w:val="center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Pelo presente instrumento particular as partes acima denominadas têm entre si justo e contratado o presente, que se regerá pelas seguintes cláusulas e condições: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360" w:lineRule="auto"/>
        <w:ind w:firstLine="24"/>
        <w:jc w:val="both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CLÁUSULA I – DO OBJETO DESTE CONTRATO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A parte contratada, pelo presente instrumento e na melhor forma de direito, obriga-se a executar para as partes contratantes: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240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1º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Serviços relativos à preparação da documentação comprobatória da descendência italiana das partes contratantes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em conformidade com a proposta formal em anexo, a ser considerada parte integrante do presente.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2º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Serviços relativos à assessoria para reconhecimento da cidadania italiana mediante pedido judicial no Tribunal Ordinário competente italiano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: os serviços acima mencionados compreendem todos e quaisquer procedimentos, ainda que realizados por terceiros, judiciais (em todos os graus de jurisdição) e administrativos, em território nacional e italiano. Será de competência da parte contratada o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acompanhamento do processo até o trânsito em julgado da ação, registro da sentença, em caso de procedência transcrição dos documentos no município competente italiano e posteriormente inscrição das partes contratantes no cadastro de italianos residentes no exterior (AIRE),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tudo em conformidade com a proposta formal em anexo, a ser considerada parte integrante do presente.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3º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Serviços relativos à assessoria para emissão do passaporte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: tais serviços compreendem orientação dos contratantes, em canal de comunicação específico determinado pela CONTRATADA, quanto ao agendamento, envio de documentação e comparecimento na reunião para emissão de passaporte. A execução dessas atividades é responsabilidade dos contratantes, sendo a CONTRATADA somente responsável pela garantia do acesso à informação de como fazê-las.</w:t>
        <w:tab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18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4º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Serviços relativos à intermediação entre cartório, tradutora e os CONTRATANTES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: tais serviços compreendem (1) o recebimento em seu escritório pela CONTRATADA dos documentos e certidões originais em inteiro teor digitadas emitidas nos últimos 06 (seis) meses as quais serão integralmente fornecidos pelos CONTRATANTES; (2) o devido encaminhamento e pagamento de honorários ao tradutor e ao cartório de sua preferência para cumprir o fim de validação dos documentos e certidões em língua italiana para uso internacional via apostilamento de Haia e reconhecimento de firma.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18" w:right="118" w:firstLine="0"/>
        <w:jc w:val="both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5º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Serviços relativos à emissão de certidão italiana do antepassado Dante Causa: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os serviços em tela dizem respeito a CONTRATADA realizar pedido de emissão da 2ª via em inteiro teor da certidão italiana, mediante os CONTRATANTES fornecerem os dados de identificação e localização da certidão a ser emitida.</w:t>
        <w:tab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18" w:right="118" w:firstLine="0"/>
        <w:jc w:val="both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CLÁUSULA II – DAS OBRIGAÇÕES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1º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Fica estabelecido que será de competência da parte contratada a escolha, contratação e pagamento de honorários do procurador dos contratantes durante a tramitação do processo.</w:t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2º -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O objeto contratual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restringe-se expressamente às partes contratantes acima mencionadas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e ao seguinte menor de 16 anos:</w:t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Child_details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sz w:val="24"/>
          <w:szCs w:val="24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br w:type="textWrapping"/>
        <w:t xml:space="preserve">1. </w:t>
      </w:r>
      <w:r w:rsidDel="00000000" w:rsidR="00000000" w:rsidRPr="00000000">
        <w:rPr>
          <w:rFonts w:ascii="Bahnschrift" w:cs="Bahnschrift" w:eastAsia="Bahnschrift" w:hAnsi="Bahnschrift"/>
          <w:color w:val="ff0000"/>
          <w:sz w:val="24"/>
          <w:szCs w:val="24"/>
          <w:u w:val="single"/>
          <w:rtl w:val="0"/>
        </w:rPr>
        <w:t xml:space="preserve">Nome completo, CPF n. , data de nascimento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ff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color w:val="ff0000"/>
          <w:sz w:val="24"/>
          <w:szCs w:val="24"/>
          <w:u w:val="single"/>
          <w:rtl w:val="0"/>
        </w:rPr>
        <w:t xml:space="preserve">Nome completo, CPF n. , data de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ff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Bahnschrift" w:cs="Bahnschrift" w:eastAsia="Bahnschrift" w:hAnsi="Bahnschrift"/>
          <w:color w:val="ff0000"/>
          <w:sz w:val="24"/>
          <w:szCs w:val="24"/>
          <w:u w:val="single"/>
          <w:rtl w:val="0"/>
        </w:rPr>
        <w:t xml:space="preserve">Nome completo, CPF n. , data de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Bahnschrift" w:cs="Bahnschrift" w:eastAsia="Bahnschrift" w:hAnsi="Bahnschrift"/>
          <w:color w:val="ff0000"/>
          <w:sz w:val="24"/>
          <w:szCs w:val="24"/>
          <w:u w:val="single"/>
          <w:rtl w:val="0"/>
        </w:rPr>
        <w:t xml:space="preserve">Nome completo, CPF n. , data de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3º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Fica estabelecido que o relacionamento entre as partes, visando a resguardar responsabilidades, será normalmente pela forma escrita (por meio dos canais de comunicação designados pela CONTRATADA), cabendo à contratada prestar, previamente à assinatura do presente, todas as informações necessárias à realização do serviço, especificando os detalhes necessários à sua consecução, servindo a assinatura deste à comprovação do ora estabelecido. </w:t>
      </w:r>
    </w:p>
    <w:p w:rsidR="00000000" w:rsidDel="00000000" w:rsidP="00000000" w:rsidRDefault="00000000" w:rsidRPr="00000000" w14:paraId="0000001B">
      <w:pP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4º -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Fica consignado que, em se tratando de reconhecimento via judicial, cuja competência para processamento da ação a ser movida contra o </w:t>
      </w:r>
      <w:r w:rsidDel="00000000" w:rsidR="00000000" w:rsidRPr="00000000">
        <w:rPr>
          <w:rFonts w:ascii="Bahnschrift" w:cs="Bahnschrift" w:eastAsia="Bahnschrift" w:hAnsi="Bahnschrift"/>
          <w:i w:val="1"/>
          <w:color w:val="000000"/>
          <w:sz w:val="24"/>
          <w:szCs w:val="24"/>
          <w:rtl w:val="0"/>
        </w:rPr>
        <w:t xml:space="preserve">Ministero dell’Interno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é do </w:t>
      </w:r>
      <w:r w:rsidDel="00000000" w:rsidR="00000000" w:rsidRPr="00000000">
        <w:rPr>
          <w:rFonts w:ascii="Bahnschrift" w:cs="Bahnschrift" w:eastAsia="Bahnschrift" w:hAnsi="Bahnschrift"/>
          <w:i w:val="1"/>
          <w:color w:val="000000"/>
          <w:sz w:val="24"/>
          <w:szCs w:val="24"/>
          <w:rtl w:val="0"/>
        </w:rPr>
        <w:t xml:space="preserve">Tribunale Civile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da respectiva região de nascimento do italiano, as partes contratantes foram devidamente informadas do atual entendimento dos juízes que compõem a seção competente e dos riscos inerentes ao processo judicial, bem como das consequências relativas à documentação, às declarações e às informações fornecidas a título probatório.</w:t>
        <w:tab/>
        <w:br w:type="textWrapping"/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5º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São obrigações exclusivas da contratada: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7"/>
          <w:tab w:val="left" w:leader="none" w:pos="1152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prestar os serviços contratados na forma e modo ajustados, dentro das normas e especificações aplicáveis à espécie;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3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executar os serviços contratados utilizando a melhor técnica e visando sempre atingir o melhor resultado, ainda que na forma de substabelecimento;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iniciar os procedimentos tão logo receba a via assinada do presente contrato, por seu preposto se for o caso, comprometendo-se a prestar o serviço da forma mais ágil possível, não respondendo, contudo, pelos prazos estabelecidos pelos órgãos públicos e privados envolvidos, não sendo consideradas descumprimento contratual eventuais decisões ou extensão de prazos pelos órgãos públicos e privados italianos e brasileiros;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8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utilizar as informações/dados pessoais das partes contratantes para a finalidade única de levantamento de certidões, adequação da cadeia registral e requerimento de reconhecimento da cidadania italiana, comprometendo-se a não tratá-los para finalidades estranhas, garantindo-se pleno acesso dos contratantes sobre a forma e duração do tratamento, bem como sobre a integralidade dos seus dados pessoais; 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0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empregar meios de proteção do banco de dados, em suporte eletrônico ou físico, de modo a evitar, tanto quanto possível, acessos não autorizados e situações de destruição/alteração/comunicação ou difusão das informações.</w:t>
        <w:tab/>
        <w:br w:type="textWrapping"/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6º -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u w:val="single"/>
          <w:rtl w:val="0"/>
        </w:rPr>
        <w:t xml:space="preserve">Não são responsabilidades da contratada: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7"/>
        </w:tabs>
        <w:spacing w:before="2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 garantia de decisões, prazos e serviços que competem exclusivamente às autoridades judiciárias e aos órgãos públicos, sejam italianos ou brasileiros;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7"/>
        </w:tabs>
        <w:spacing w:before="2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os imprevistos técnicos diversos alheios ao controle de ambas as partes;</w:t>
        <w:tab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7"/>
        </w:tabs>
        <w:spacing w:before="2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7º -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u w:val="single"/>
          <w:rtl w:val="0"/>
        </w:rPr>
        <w:t xml:space="preserve">São obrigações exclusivas das partes contratantes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1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efetuar o pagamento na forma e modo aprazados conforme dispostos na cláusula III e Anexo I;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1"/>
        </w:tabs>
        <w:spacing w:before="3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firmar todas as autorizações e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mandatos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necessários, ainda que em favor de terceiros indicados pela contratada para fins exclusivos do objeto desse contrato;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1"/>
        </w:tabs>
        <w:spacing w:before="33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fornecer à contratada toda documentação solicitada, executar de maneira criteriosa as solicitações e orientações enviadas por esta, prestando todas as informações necessárias à realização do serviço, atentando aos prazos e formatos exigidos.</w:t>
      </w:r>
    </w:p>
    <w:p w:rsidR="00000000" w:rsidDel="00000000" w:rsidP="00000000" w:rsidRDefault="00000000" w:rsidRPr="00000000" w14:paraId="00000027">
      <w:pPr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8º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- Ambas as partes se comprometem a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manter sigilo sobre as informações recebidas reciprocamente durante a execução do presente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, não as revelando direta ou indiretamente a terceiros, salvo se para a consecução do objeto contratual, observando-se as penas decorrentes da quebra da confidencialidade.</w:t>
      </w:r>
    </w:p>
    <w:p w:rsidR="00000000" w:rsidDel="00000000" w:rsidP="00000000" w:rsidRDefault="00000000" w:rsidRPr="00000000" w14:paraId="00000028">
      <w:pPr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CLÁUSULA III – DOS VALORES E PAGAMENTOS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1º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O preço total relativo aos serviços descritos na Cláusula I será pago conforme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u w:val="single"/>
          <w:rtl w:val="0"/>
        </w:rPr>
        <w:t xml:space="preserve">orçamento disposto no Anexo I do presente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9">
      <w:pPr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2º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Os valores deverão ser pagos por meio dos correspondentes boletos emitidos pela CONTRATADA, datados para todo vigésimo dia de cada mês, consecutivamente.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0"/>
        </w:tabs>
        <w:spacing w:line="360" w:lineRule="auto"/>
        <w:ind w:left="118" w:right="111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3º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A contratada, para conversão do valor de euros em reais no orçamento, utiliza a cotação de agência de câmbio  (observada a funcionalidade “compra” e o valor do IOF incidente), conforme Anexo I.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5"/>
        </w:tabs>
        <w:spacing w:line="360" w:lineRule="auto"/>
        <w:ind w:left="118" w:right="122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4º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Os serviços ora contratados serão pagos conforme mencionado nesta cláusula e Anexo I, nada mais sendo devido pelas partes contratantes à contratada em relação ao objeto contratual;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1"/>
        </w:tabs>
        <w:spacing w:line="360" w:lineRule="auto"/>
        <w:ind w:left="118" w:right="119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5º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No caso de inadimplemento de um ou mais CONTRATANTES, além da incidência da multa de 10% sobre o valor da parcela e da devida correção e juros de mora de 1% a.m., a contratada suspenderá imediatamente a prestação dos serviços em relação ao(s) inadimplente(s), reservando-se, ainda, ao direito de dissolver o vínculo contratual com este(s), eximindo-se, assim, de quaisquer responsabilidades ou obrigações, nada sendo reembolsado;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1"/>
        </w:tabs>
        <w:spacing w:line="360" w:lineRule="auto"/>
        <w:ind w:left="118" w:right="110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6º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No caso de rescisão ou desistência antecipada pelas partes contratantes, nada será reembolsado. Ocorrendo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u w:val="single"/>
          <w:rtl w:val="0"/>
        </w:rPr>
        <w:t xml:space="preserve">antes do protocolo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do processo as parcelas vincendas não serão devidas. Ocorrendo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u w:val="single"/>
          <w:rtl w:val="0"/>
        </w:rPr>
        <w:t xml:space="preserve">após protocolo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do processo a CONTRATADA poderá protestar os valores vincendos do CONTRATANTE que rescindiu ou desistiu do contrato em tela.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5"/>
        </w:tabs>
        <w:spacing w:before="28" w:line="360" w:lineRule="auto"/>
        <w:ind w:left="118" w:right="112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7º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As partes contratantes reconhecem a integralidade do preço relativo à prestação dos serviços, podendo ser solidariamente demandadas, em caso de não pagamento.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5"/>
        </w:tabs>
        <w:spacing w:before="28" w:line="360" w:lineRule="auto"/>
        <w:ind w:left="118" w:right="112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8º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As partes contratantes reconhecem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u w:val="single"/>
          <w:rtl w:val="0"/>
        </w:rPr>
        <w:t xml:space="preserve">não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fazer parte do orçamento presente no objeto desse contrato eventuais despesas com retificações, suprimentos ou restaurações documentais que vierem a ser necessários diante análise de todas as certidões em inteiro teor.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9º -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O presente contrato configura título executivo extrajudicial, na forma do artigo 784, inciso III, do Código de Processo Civil, podendo ser, na hipótese de inadimplemento, objeto de protesto extrajudicial. </w:t>
        <w:tab/>
        <w:br w:type="textWrapping"/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10º -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No caso de impossibilidade de realização dos serviços contratados, a contratada reembolsará às partes contratantes os valores relativos aos serviços não prestados.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118"/>
        <w:jc w:val="both"/>
        <w:rPr>
          <w:rFonts w:ascii="Bahnschrift" w:cs="Bahnschrift" w:eastAsia="Bahnschrift" w:hAnsi="Bahnschrift"/>
          <w:b w:val="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CLÁUSULA IV – DAS DISPOSIÇÕES FINAIS, DA PRAÇA DE PAGAMENTO E DO FORO</w:t>
        <w:tab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1º -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 apresentação de documentos falsos, inclusive para o reconhecimento da cidadania italiana, é considerada um ato penal punível de acordo com o artigo 482 do Código Penal Italiano. Assim sendo, é de total responsabilidade das partes contratantes a veracidade da própria documentação, não podendo a contratada, em qualquer modo, ser responsabilizada.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 parte contratada não se responsabiliza por eventuais alterações legislativas ou consulares contrárias, posteriores à presente data.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2º -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Partes reconhecem a veracidade, autenticidade, integridade, validade e eficácia deste Contrato e seus termos, conforme o disposto no art. 219 do Código Civil, em formato eletrônico e/ou assinado pelas Partes por meio de certificados eletrônicos, ainda que sejam certificados eletrônicos não emitidos pela ICP-Brasil, conforme o disposto no art. 10, § 2º, da Medida Provisória nº 2.220-2, de 24 de agosto de 2001 (“MP nº 2.220-2”), como, por exemplo, por meio do upload em plataformas como a D4sign (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  <w:rtl w:val="0"/>
        </w:rPr>
        <w:t xml:space="preserve">www.d4sign.com.br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ClickSign (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  <w:rtl w:val="0"/>
        </w:rPr>
        <w:t xml:space="preserve">www.clicksign.com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ou similar. Nesse sentido, a aposição das assinaturas eletrônicas de quaisquer das Partes neste contrato, independentemente do certificado eletrônico utilizado, isto é, se emitidos pela ICP-Brasil ou por outra empresa idônea do ramo, será suficiente para a veracidade, autenticidade, integridade, validade e eficácia deste e seus termos, bem como a respectiva vinculação das Partes aos seus termos. Por fim, conforme o disposto no art. 220 do Código Civil, as Partes expressamente anuem e autorizam que, eventualmente, as assinaturas das Partes não precisem necessariamente ser apostas na mesma página de assinaturas deste e que a troca de páginas de assinaturas, assinadas e escaneadas em formato eletrônico, como, por exemplo, "pdf", é tão válida e produz os mesmos efeitos que a assinatura original de cada Parte aposta.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3º -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As partes elegem, como praça de pagamento, o município de local onde residem os contratantes.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4º -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Para dirimir quaisquer controvérsias oriundas deste contrato, as partes elegem o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foro da comarca de Taubaté, São Paulo.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360" w:lineRule="auto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8" w:right="120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Por estarem assim justos e contratados, firmam o presente instrumento, juntamente com 02 (duas) testemunhas.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8" w:right="120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2669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                                    </w:t>
        <w:tab/>
        <w:tab/>
        <w:t xml:space="preserve">Taubaté – São Paulo,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today_date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="360" w:lineRule="auto"/>
        <w:jc w:val="center"/>
        <w:rPr>
          <w:rFonts w:ascii="Bahnschrift" w:cs="Bahnschrift" w:eastAsia="Bahnschrift" w:hAnsi="Bahnschrift"/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Persons_signs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Bahnschrift" w:cs="Bahnschrift" w:eastAsia="Bahnschrift" w:hAnsi="Bahnschrift"/>
          <w:b w:val="1"/>
          <w:color w:val="ff0000"/>
          <w:sz w:val="24"/>
          <w:szCs w:val="24"/>
          <w:rtl w:val="0"/>
        </w:rPr>
        <w:t xml:space="preserve">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16817265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11865" y="3779365"/>
                          <a:ext cx="2668270" cy="1270"/>
                        </a:xfrm>
                        <a:custGeom>
                          <a:rect b="b" l="l" r="r" t="t"/>
                          <a:pathLst>
                            <a:path extrusionOk="0" h="1270" w="2668270">
                              <a:moveTo>
                                <a:pt x="0" y="0"/>
                              </a:moveTo>
                              <a:lnTo>
                                <a:pt x="266827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16817265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Parte contratada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jc w:val="center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IO.GRINGO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</w:t>
        <w:br w:type="textWrapping"/>
        <w:t xml:space="preserve">(sócio gerente - Matheus Reis da Silva)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68172654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11865" y="3779365"/>
                          <a:ext cx="2668270" cy="1270"/>
                        </a:xfrm>
                        <a:custGeom>
                          <a:rect b="b" l="l" r="r" t="t"/>
                          <a:pathLst>
                            <a:path extrusionOk="0" h="1270" w="2668270">
                              <a:moveTo>
                                <a:pt x="0" y="0"/>
                              </a:moveTo>
                              <a:lnTo>
                                <a:pt x="266827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6817265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6817265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2040" y="3780000"/>
                          <a:ext cx="24079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6817265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Testemunha 01  </w:t>
        <w:tab/>
        <w:t xml:space="preserve">                                                                                Testemunha 02  </w:t>
      </w:r>
    </w:p>
    <w:p w:rsidR="00000000" w:rsidDel="00000000" w:rsidP="00000000" w:rsidRDefault="00000000" w:rsidRPr="00000000" w14:paraId="0000004B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ANEXO I</w:t>
      </w:r>
    </w:p>
    <w:p w:rsidR="00000000" w:rsidDel="00000000" w:rsidP="00000000" w:rsidRDefault="00000000" w:rsidRPr="00000000" w14:paraId="0000005C">
      <w:pPr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Bahnschrift" w:cs="Bahnschrift" w:eastAsia="Bahnschrift" w:hAnsi="Bahnschrift"/>
          <w:color w:val="ff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ff0000"/>
          <w:sz w:val="24"/>
          <w:szCs w:val="24"/>
          <w:rtl w:val="0"/>
        </w:rPr>
        <w:t xml:space="preserve">ORÇAMENTO APROVADO </w:t>
      </w:r>
    </w:p>
    <w:sectPr>
      <w:headerReference r:id="rId10" w:type="default"/>
      <w:footerReference r:id="rId11" w:type="default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Bahnschrif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-238124</wp:posOffset>
          </wp:positionH>
          <wp:positionV relativeFrom="paragraph">
            <wp:posOffset>47625</wp:posOffset>
          </wp:positionV>
          <wp:extent cx="706755" cy="441960"/>
          <wp:effectExtent b="0" l="0" r="0" t="0"/>
          <wp:wrapSquare wrapText="bothSides" distB="0" distT="0" distL="114300" distR="114300"/>
          <wp:docPr descr="Logotipo, Ícone&#10;&#10;Descrição gerada automaticamente" id="1681726546" name="image1.png"/>
          <a:graphic>
            <a:graphicData uri="http://schemas.openxmlformats.org/drawingml/2006/picture">
              <pic:pic>
                <pic:nvPicPr>
                  <pic:cNvPr descr="Logotipo, Ícone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6755" cy="44196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4526280</wp:posOffset>
          </wp:positionH>
          <wp:positionV relativeFrom="paragraph">
            <wp:posOffset>-313054</wp:posOffset>
          </wp:positionV>
          <wp:extent cx="2441575" cy="366395"/>
          <wp:effectExtent b="0" l="0" r="0" t="0"/>
          <wp:wrapSquare wrapText="bothSides" distB="0" distT="0" distL="114300" distR="114300"/>
          <wp:docPr descr="Logotipo&#10;&#10;Descrição gerada automaticamente" id="1681726547" name="image2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1575" cy="3663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39638" y="3657445"/>
                        <a:ext cx="212725" cy="245110"/>
                      </a:xfrm>
                      <a:custGeom>
                        <a:rect b="b" l="l" r="r" t="t"/>
                        <a:pathLst>
                          <a:path extrusionOk="0" h="245109" w="212725">
                            <a:moveTo>
                              <a:pt x="0" y="244966"/>
                            </a:moveTo>
                            <a:lnTo>
                              <a:pt x="0" y="0"/>
                            </a:lnTo>
                            <a:lnTo>
                              <a:pt x="212202" y="122540"/>
                            </a:lnTo>
                            <a:lnTo>
                              <a:pt x="0" y="244966"/>
                            </a:lnTo>
                            <a:close/>
                          </a:path>
                        </a:pathLst>
                      </a:custGeom>
                      <a:solidFill>
                        <a:srgbClr val="18413F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0" cy="254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39638" y="3657445"/>
                        <a:ext cx="212725" cy="245110"/>
                      </a:xfrm>
                      <a:custGeom>
                        <a:rect b="b" l="l" r="r" t="t"/>
                        <a:pathLst>
                          <a:path extrusionOk="0" h="245109" w="212725">
                            <a:moveTo>
                              <a:pt x="0" y="244966"/>
                            </a:moveTo>
                            <a:lnTo>
                              <a:pt x="0" y="0"/>
                            </a:lnTo>
                            <a:lnTo>
                              <a:pt x="212202" y="122540"/>
                            </a:lnTo>
                            <a:lnTo>
                              <a:pt x="0" y="244966"/>
                            </a:lnTo>
                            <a:close/>
                          </a:path>
                        </a:pathLst>
                      </a:custGeom>
                      <a:solidFill>
                        <a:srgbClr val="18413F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0" cy="254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39638" y="3657445"/>
                        <a:ext cx="212725" cy="245110"/>
                      </a:xfrm>
                      <a:custGeom>
                        <a:rect b="b" l="l" r="r" t="t"/>
                        <a:pathLst>
                          <a:path extrusionOk="0" h="245109" w="212725">
                            <a:moveTo>
                              <a:pt x="0" y="244966"/>
                            </a:moveTo>
                            <a:lnTo>
                              <a:pt x="0" y="0"/>
                            </a:lnTo>
                            <a:lnTo>
                              <a:pt x="212192" y="122540"/>
                            </a:lnTo>
                            <a:lnTo>
                              <a:pt x="0" y="244966"/>
                            </a:lnTo>
                            <a:close/>
                          </a:path>
                        </a:pathLst>
                      </a:custGeom>
                      <a:solidFill>
                        <a:srgbClr val="18413F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0" cy="254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39638" y="3657445"/>
                        <a:ext cx="212725" cy="245110"/>
                      </a:xfrm>
                      <a:custGeom>
                        <a:rect b="b" l="l" r="r" t="t"/>
                        <a:pathLst>
                          <a:path extrusionOk="0" h="245109" w="212725">
                            <a:moveTo>
                              <a:pt x="0" y="244966"/>
                            </a:moveTo>
                            <a:lnTo>
                              <a:pt x="0" y="0"/>
                            </a:lnTo>
                            <a:lnTo>
                              <a:pt x="212202" y="122540"/>
                            </a:lnTo>
                            <a:lnTo>
                              <a:pt x="0" y="244966"/>
                            </a:lnTo>
                            <a:close/>
                          </a:path>
                        </a:pathLst>
                      </a:custGeom>
                      <a:solidFill>
                        <a:srgbClr val="18413F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0" cy="254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18" w:hanging="238"/>
      </w:pPr>
      <w:rPr>
        <w:rFonts w:ascii="Bahnschrift" w:cs="Bahnschrift" w:eastAsia="Bahnschrift" w:hAnsi="Bahnschrift"/>
        <w:b w:val="1"/>
        <w:sz w:val="20"/>
        <w:szCs w:val="20"/>
      </w:rPr>
    </w:lvl>
    <w:lvl w:ilvl="1">
      <w:start w:val="0"/>
      <w:numFmt w:val="bullet"/>
      <w:lvlText w:val="•"/>
      <w:lvlJc w:val="left"/>
      <w:pPr>
        <w:ind w:left="1066" w:hanging="238"/>
      </w:pPr>
      <w:rPr/>
    </w:lvl>
    <w:lvl w:ilvl="2">
      <w:start w:val="0"/>
      <w:numFmt w:val="bullet"/>
      <w:lvlText w:val="•"/>
      <w:lvlJc w:val="left"/>
      <w:pPr>
        <w:ind w:left="2013" w:hanging="238"/>
      </w:pPr>
      <w:rPr/>
    </w:lvl>
    <w:lvl w:ilvl="3">
      <w:start w:val="0"/>
      <w:numFmt w:val="bullet"/>
      <w:lvlText w:val="•"/>
      <w:lvlJc w:val="left"/>
      <w:pPr>
        <w:ind w:left="2959" w:hanging="238.00000000000045"/>
      </w:pPr>
      <w:rPr/>
    </w:lvl>
    <w:lvl w:ilvl="4">
      <w:start w:val="0"/>
      <w:numFmt w:val="bullet"/>
      <w:lvlText w:val="•"/>
      <w:lvlJc w:val="left"/>
      <w:pPr>
        <w:ind w:left="3906" w:hanging="238"/>
      </w:pPr>
      <w:rPr/>
    </w:lvl>
    <w:lvl w:ilvl="5">
      <w:start w:val="0"/>
      <w:numFmt w:val="bullet"/>
      <w:lvlText w:val="•"/>
      <w:lvlJc w:val="left"/>
      <w:pPr>
        <w:ind w:left="4853" w:hanging="238"/>
      </w:pPr>
      <w:rPr/>
    </w:lvl>
    <w:lvl w:ilvl="6">
      <w:start w:val="0"/>
      <w:numFmt w:val="bullet"/>
      <w:lvlText w:val="•"/>
      <w:lvlJc w:val="left"/>
      <w:pPr>
        <w:ind w:left="5799" w:hanging="238"/>
      </w:pPr>
      <w:rPr/>
    </w:lvl>
    <w:lvl w:ilvl="7">
      <w:start w:val="0"/>
      <w:numFmt w:val="bullet"/>
      <w:lvlText w:val="•"/>
      <w:lvlJc w:val="left"/>
      <w:pPr>
        <w:ind w:left="6746" w:hanging="237"/>
      </w:pPr>
      <w:rPr/>
    </w:lvl>
    <w:lvl w:ilvl="8">
      <w:start w:val="0"/>
      <w:numFmt w:val="bullet"/>
      <w:lvlText w:val="•"/>
      <w:lvlJc w:val="left"/>
      <w:pPr>
        <w:ind w:left="7693" w:hanging="238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30" w:hanging="212"/>
      </w:pPr>
      <w:rPr>
        <w:rFonts w:ascii="Bahnschrift" w:cs="Bahnschrift" w:eastAsia="Bahnschrift" w:hAnsi="Bahnschrift"/>
        <w:b w:val="1"/>
        <w:sz w:val="20"/>
        <w:szCs w:val="20"/>
      </w:rPr>
    </w:lvl>
    <w:lvl w:ilvl="1">
      <w:start w:val="0"/>
      <w:numFmt w:val="bullet"/>
      <w:lvlText w:val="•"/>
      <w:lvlJc w:val="left"/>
      <w:pPr>
        <w:ind w:left="1264" w:hanging="212"/>
      </w:pPr>
      <w:rPr/>
    </w:lvl>
    <w:lvl w:ilvl="2">
      <w:start w:val="0"/>
      <w:numFmt w:val="bullet"/>
      <w:lvlText w:val="•"/>
      <w:lvlJc w:val="left"/>
      <w:pPr>
        <w:ind w:left="2189" w:hanging="211"/>
      </w:pPr>
      <w:rPr/>
    </w:lvl>
    <w:lvl w:ilvl="3">
      <w:start w:val="0"/>
      <w:numFmt w:val="bullet"/>
      <w:lvlText w:val="•"/>
      <w:lvlJc w:val="left"/>
      <w:pPr>
        <w:ind w:left="3113" w:hanging="212"/>
      </w:pPr>
      <w:rPr/>
    </w:lvl>
    <w:lvl w:ilvl="4">
      <w:start w:val="0"/>
      <w:numFmt w:val="bullet"/>
      <w:lvlText w:val="•"/>
      <w:lvlJc w:val="left"/>
      <w:pPr>
        <w:ind w:left="4038" w:hanging="212"/>
      </w:pPr>
      <w:rPr/>
    </w:lvl>
    <w:lvl w:ilvl="5">
      <w:start w:val="0"/>
      <w:numFmt w:val="bullet"/>
      <w:lvlText w:val="•"/>
      <w:lvlJc w:val="left"/>
      <w:pPr>
        <w:ind w:left="4963" w:hanging="212"/>
      </w:pPr>
      <w:rPr/>
    </w:lvl>
    <w:lvl w:ilvl="6">
      <w:start w:val="0"/>
      <w:numFmt w:val="bullet"/>
      <w:lvlText w:val="•"/>
      <w:lvlJc w:val="left"/>
      <w:pPr>
        <w:ind w:left="5887" w:hanging="212"/>
      </w:pPr>
      <w:rPr/>
    </w:lvl>
    <w:lvl w:ilvl="7">
      <w:start w:val="0"/>
      <w:numFmt w:val="bullet"/>
      <w:lvlText w:val="•"/>
      <w:lvlJc w:val="left"/>
      <w:pPr>
        <w:ind w:left="6812" w:hanging="212"/>
      </w:pPr>
      <w:rPr/>
    </w:lvl>
    <w:lvl w:ilvl="8">
      <w:start w:val="0"/>
      <w:numFmt w:val="bullet"/>
      <w:lvlText w:val="•"/>
      <w:lvlJc w:val="left"/>
      <w:pPr>
        <w:ind w:left="7737" w:hanging="212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18" w:hanging="218"/>
      </w:pPr>
      <w:rPr>
        <w:rFonts w:ascii="Bahnschrift" w:cs="Bahnschrift" w:eastAsia="Bahnschrift" w:hAnsi="Bahnschrift"/>
        <w:sz w:val="20"/>
        <w:szCs w:val="20"/>
      </w:rPr>
    </w:lvl>
    <w:lvl w:ilvl="1">
      <w:start w:val="0"/>
      <w:numFmt w:val="bullet"/>
      <w:lvlText w:val="•"/>
      <w:lvlJc w:val="left"/>
      <w:pPr>
        <w:ind w:left="1066" w:hanging="218"/>
      </w:pPr>
      <w:rPr/>
    </w:lvl>
    <w:lvl w:ilvl="2">
      <w:start w:val="0"/>
      <w:numFmt w:val="bullet"/>
      <w:lvlText w:val="•"/>
      <w:lvlJc w:val="left"/>
      <w:pPr>
        <w:ind w:left="2013" w:hanging="218"/>
      </w:pPr>
      <w:rPr/>
    </w:lvl>
    <w:lvl w:ilvl="3">
      <w:start w:val="0"/>
      <w:numFmt w:val="bullet"/>
      <w:lvlText w:val="•"/>
      <w:lvlJc w:val="left"/>
      <w:pPr>
        <w:ind w:left="2959" w:hanging="218.00000000000045"/>
      </w:pPr>
      <w:rPr/>
    </w:lvl>
    <w:lvl w:ilvl="4">
      <w:start w:val="0"/>
      <w:numFmt w:val="bullet"/>
      <w:lvlText w:val="•"/>
      <w:lvlJc w:val="left"/>
      <w:pPr>
        <w:ind w:left="3906" w:hanging="218"/>
      </w:pPr>
      <w:rPr/>
    </w:lvl>
    <w:lvl w:ilvl="5">
      <w:start w:val="0"/>
      <w:numFmt w:val="bullet"/>
      <w:lvlText w:val="•"/>
      <w:lvlJc w:val="left"/>
      <w:pPr>
        <w:ind w:left="4853" w:hanging="218"/>
      </w:pPr>
      <w:rPr/>
    </w:lvl>
    <w:lvl w:ilvl="6">
      <w:start w:val="0"/>
      <w:numFmt w:val="bullet"/>
      <w:lvlText w:val="•"/>
      <w:lvlJc w:val="left"/>
      <w:pPr>
        <w:ind w:left="5799" w:hanging="218"/>
      </w:pPr>
      <w:rPr/>
    </w:lvl>
    <w:lvl w:ilvl="7">
      <w:start w:val="0"/>
      <w:numFmt w:val="bullet"/>
      <w:lvlText w:val="•"/>
      <w:lvlJc w:val="left"/>
      <w:pPr>
        <w:ind w:left="6746" w:hanging="217"/>
      </w:pPr>
      <w:rPr/>
    </w:lvl>
    <w:lvl w:ilvl="8">
      <w:start w:val="0"/>
      <w:numFmt w:val="bullet"/>
      <w:lvlText w:val="•"/>
      <w:lvlJc w:val="left"/>
      <w:pPr>
        <w:ind w:left="7693" w:hanging="218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18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03A5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val="pt-PT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E103A5"/>
    <w:pPr>
      <w:ind w:left="118"/>
      <w:outlineLvl w:val="1"/>
    </w:pPr>
    <w:rPr>
      <w:b w:val="1"/>
      <w:b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4D5CA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4D5CA8"/>
  </w:style>
  <w:style w:type="paragraph" w:styleId="Rodap">
    <w:name w:val="footer"/>
    <w:basedOn w:val="Normal"/>
    <w:link w:val="RodapChar"/>
    <w:uiPriority w:val="99"/>
    <w:unhideWhenUsed w:val="1"/>
    <w:rsid w:val="004D5CA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4D5CA8"/>
  </w:style>
  <w:style w:type="character" w:styleId="Ttulo2Char" w:customStyle="1">
    <w:name w:val="Título 2 Char"/>
    <w:basedOn w:val="Fontepargpadro"/>
    <w:link w:val="Ttulo2"/>
    <w:uiPriority w:val="9"/>
    <w:rsid w:val="00E103A5"/>
    <w:rPr>
      <w:rFonts w:ascii="Arial" w:cs="Arial" w:eastAsia="Arial" w:hAnsi="Arial"/>
      <w:b w:val="1"/>
      <w:bCs w:val="1"/>
      <w:sz w:val="18"/>
      <w:szCs w:val="18"/>
      <w:lang w:val="pt-PT"/>
    </w:rPr>
  </w:style>
  <w:style w:type="paragraph" w:styleId="Corpodetexto">
    <w:name w:val="Body Text"/>
    <w:basedOn w:val="Normal"/>
    <w:link w:val="CorpodetextoChar"/>
    <w:uiPriority w:val="1"/>
    <w:qFormat w:val="1"/>
    <w:rsid w:val="00E103A5"/>
    <w:rPr>
      <w:sz w:val="18"/>
      <w:szCs w:val="18"/>
    </w:rPr>
  </w:style>
  <w:style w:type="character" w:styleId="CorpodetextoChar" w:customStyle="1">
    <w:name w:val="Corpo de texto Char"/>
    <w:basedOn w:val="Fontepargpadro"/>
    <w:link w:val="Corpodetexto"/>
    <w:uiPriority w:val="1"/>
    <w:rsid w:val="00E103A5"/>
    <w:rPr>
      <w:rFonts w:ascii="Arial" w:cs="Arial" w:eastAsia="Arial" w:hAnsi="Arial"/>
      <w:sz w:val="18"/>
      <w:szCs w:val="18"/>
      <w:lang w:val="pt-PT"/>
    </w:rPr>
  </w:style>
  <w:style w:type="paragraph" w:styleId="PargrafodaLista">
    <w:name w:val="List Paragraph"/>
    <w:basedOn w:val="Normal"/>
    <w:uiPriority w:val="1"/>
    <w:qFormat w:val="1"/>
    <w:rsid w:val="00E103A5"/>
    <w:pPr>
      <w:ind w:left="118"/>
      <w:jc w:val="both"/>
    </w:pPr>
  </w:style>
  <w:style w:type="paragraph" w:styleId="Default" w:customStyle="1">
    <w:name w:val="Default"/>
    <w:rsid w:val="00BF7AA8"/>
    <w:pPr>
      <w:autoSpaceDE w:val="0"/>
      <w:autoSpaceDN w:val="0"/>
      <w:adjustRightInd w:val="0"/>
      <w:spacing w:after="0" w:line="240" w:lineRule="auto"/>
    </w:pPr>
    <w:rPr>
      <w:rFonts w:ascii="Bahnschrift" w:cs="Bahnschrift" w:hAnsi="Bahnschrift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503B8B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3KBd/7EqK8PelhkvNalqXJoqFg==">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2024-01-23T16:48:00Z</dcterms:created>
  <dc:creator>Natalia Gonçalves</dc:creator>
</cp:coreProperties>
</file>