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NO.2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</w:rPr>
        <w:t>DDL Commands with Constraints – PRIMARY, FOREIGN KEY, UNIQUE, CHECK</w:t>
      </w:r>
    </w:p>
    <w:p>
      <w:pPr>
        <w:spacing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4314825" cy="1914525"/>
            <wp:effectExtent l="0" t="0" r="3175" b="3175"/>
            <wp:docPr id="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4314825" cy="3143250"/>
            <wp:effectExtent l="0" t="0" r="3175" b="6350"/>
            <wp:docPr id="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4314825" cy="1447800"/>
            <wp:effectExtent l="0" t="0" r="3175" b="0"/>
            <wp:docPr id="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>
      <w:r>
        <w:drawing>
          <wp:inline distT="0" distB="0" distL="0" distR="0">
            <wp:extent cx="4438650" cy="3152775"/>
            <wp:effectExtent l="0" t="0" r="6350" b="9525"/>
            <wp:docPr id="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40283"/>
    <w:rsid w:val="10B4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2024-02-26T05:12:00Z</dcterms:created>
  <dc:creator>Nagurvali Shaik</dc:creator>
  <cp:lastModifiedBy>Nagurvali Shaik</cp:lastModifiedBy>
  <dcterms:modified xsi:type="dcterms:W3CDTF">2024-02-26T05:13:48Z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2876E9D76F8A458495B4AD013632B168</vt:lpwstr>
  </property>
</Properties>
</file>