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D2849" w14:textId="341A5284" w:rsidR="0074601E" w:rsidRPr="00D53DEE" w:rsidRDefault="0074601E" w:rsidP="0074601E">
      <w:pPr>
        <w:spacing w:after="0"/>
        <w:jc w:val="both"/>
        <w:rPr>
          <w:rFonts w:cs="Times New Roman"/>
          <w:b/>
          <w:bCs/>
          <w:sz w:val="24"/>
          <w:szCs w:val="24"/>
          <w:lang w:val="en-US"/>
        </w:rPr>
      </w:pPr>
      <w:r w:rsidRPr="00D53DEE">
        <w:rPr>
          <w:rFonts w:cs="Times New Roman"/>
          <w:b/>
          <w:bCs/>
          <w:sz w:val="24"/>
          <w:szCs w:val="24"/>
          <w:lang w:val="en-US"/>
        </w:rPr>
        <w:t>Examination Of Toronto Childcare Centers</w:t>
      </w:r>
    </w:p>
    <w:p w14:paraId="2BE1EBD2" w14:textId="77777777" w:rsidR="0074601E" w:rsidRPr="00046D62" w:rsidRDefault="0074601E" w:rsidP="006C0B77">
      <w:pPr>
        <w:spacing w:after="0"/>
        <w:ind w:firstLine="709"/>
        <w:jc w:val="both"/>
        <w:rPr>
          <w:rFonts w:cs="Times New Roman"/>
          <w:sz w:val="24"/>
          <w:szCs w:val="24"/>
          <w:lang w:val="en-US"/>
        </w:rPr>
      </w:pPr>
    </w:p>
    <w:p w14:paraId="04354C7F" w14:textId="11BC595F" w:rsidR="0074601E" w:rsidRPr="001F5E7D" w:rsidRDefault="0074601E" w:rsidP="0074601E">
      <w:pPr>
        <w:pStyle w:val="ListParagraph"/>
        <w:numPr>
          <w:ilvl w:val="0"/>
          <w:numId w:val="2"/>
        </w:numPr>
        <w:spacing w:after="0"/>
        <w:jc w:val="both"/>
        <w:rPr>
          <w:rFonts w:cs="Times New Roman"/>
          <w:b/>
          <w:bCs/>
          <w:sz w:val="24"/>
          <w:szCs w:val="24"/>
          <w:lang w:val="en-US"/>
        </w:rPr>
      </w:pPr>
      <w:r w:rsidRPr="00046D62">
        <w:rPr>
          <w:rFonts w:cs="Times New Roman"/>
          <w:b/>
          <w:bCs/>
          <w:sz w:val="24"/>
          <w:szCs w:val="24"/>
          <w:lang w:val="en-US"/>
        </w:rPr>
        <w:t xml:space="preserve">Introduction </w:t>
      </w:r>
    </w:p>
    <w:p w14:paraId="2F52C270" w14:textId="14E8E73F" w:rsidR="001363D8" w:rsidRPr="00046D62" w:rsidRDefault="001E08EF" w:rsidP="009C732B">
      <w:pPr>
        <w:spacing w:after="0"/>
        <w:ind w:firstLine="720"/>
        <w:jc w:val="both"/>
        <w:rPr>
          <w:rFonts w:cs="Times New Roman"/>
          <w:sz w:val="24"/>
          <w:szCs w:val="24"/>
          <w:lang w:val="en-US"/>
        </w:rPr>
      </w:pPr>
      <w:r w:rsidRPr="00046D62">
        <w:rPr>
          <w:rFonts w:cs="Times New Roman"/>
          <w:sz w:val="24"/>
          <w:szCs w:val="24"/>
          <w:lang w:val="en-US"/>
        </w:rPr>
        <w:t xml:space="preserve">Childcare is delivered by a mixture of non-profit, for-profit and </w:t>
      </w:r>
      <w:r w:rsidR="00D6461C" w:rsidRPr="00046D62">
        <w:rPr>
          <w:rFonts w:cs="Times New Roman"/>
          <w:sz w:val="24"/>
          <w:szCs w:val="24"/>
          <w:lang w:val="en-US"/>
        </w:rPr>
        <w:t>publicly operated</w:t>
      </w:r>
      <w:r w:rsidRPr="00046D62">
        <w:rPr>
          <w:rFonts w:cs="Times New Roman"/>
          <w:sz w:val="24"/>
          <w:szCs w:val="24"/>
          <w:lang w:val="en-US"/>
        </w:rPr>
        <w:t xml:space="preserve"> programs with non-profit services predominating</w:t>
      </w:r>
      <w:r w:rsidR="009C732B">
        <w:rPr>
          <w:rFonts w:cs="Times New Roman"/>
          <w:sz w:val="24"/>
          <w:szCs w:val="24"/>
          <w:lang w:val="en-US"/>
        </w:rPr>
        <w:t xml:space="preserve"> </w:t>
      </w:r>
      <w:r w:rsidR="00485F8C" w:rsidRPr="00046D62">
        <w:rPr>
          <w:rFonts w:cs="Times New Roman"/>
          <w:sz w:val="24"/>
          <w:szCs w:val="24"/>
          <w:lang w:val="en-US"/>
        </w:rPr>
        <w:t xml:space="preserve">(Friendly </w:t>
      </w:r>
      <w:r w:rsidR="00FD4D19" w:rsidRPr="00046D62">
        <w:rPr>
          <w:rFonts w:cs="Times New Roman"/>
          <w:sz w:val="24"/>
          <w:szCs w:val="24"/>
          <w:lang w:val="en-US"/>
        </w:rPr>
        <w:t>et al. (</w:t>
      </w:r>
      <w:r w:rsidR="00485F8C" w:rsidRPr="00046D62">
        <w:rPr>
          <w:rFonts w:cs="Times New Roman"/>
          <w:sz w:val="24"/>
          <w:szCs w:val="24"/>
          <w:lang w:val="en-US"/>
        </w:rPr>
        <w:t>2013))</w:t>
      </w:r>
      <w:r w:rsidRPr="00046D62">
        <w:rPr>
          <w:rFonts w:cs="Times New Roman"/>
          <w:sz w:val="24"/>
          <w:szCs w:val="24"/>
          <w:lang w:val="en-US"/>
        </w:rPr>
        <w:t>.</w:t>
      </w:r>
      <w:r w:rsidR="009C732B">
        <w:rPr>
          <w:rFonts w:cs="Times New Roman"/>
          <w:sz w:val="24"/>
          <w:szCs w:val="24"/>
          <w:lang w:val="en-US"/>
        </w:rPr>
        <w:t xml:space="preserve"> </w:t>
      </w:r>
      <w:r w:rsidR="001363D8" w:rsidRPr="00046D62">
        <w:rPr>
          <w:rFonts w:cs="Times New Roman"/>
          <w:sz w:val="24"/>
          <w:szCs w:val="24"/>
          <w:lang w:val="en-US"/>
        </w:rPr>
        <w:t xml:space="preserve">Three-quarters of families in Toronto can’t afford the cost of licensed childcare. The issue of </w:t>
      </w:r>
      <w:r w:rsidR="00F72630" w:rsidRPr="00046D62">
        <w:rPr>
          <w:rFonts w:cs="Times New Roman"/>
          <w:sz w:val="24"/>
          <w:szCs w:val="24"/>
          <w:lang w:val="en-US"/>
        </w:rPr>
        <w:t>childcare</w:t>
      </w:r>
      <w:r w:rsidR="001363D8" w:rsidRPr="00046D62">
        <w:rPr>
          <w:rFonts w:cs="Times New Roman"/>
          <w:sz w:val="24"/>
          <w:szCs w:val="24"/>
          <w:lang w:val="en-US"/>
        </w:rPr>
        <w:t xml:space="preserve"> has been on the agenda for both the federal and provincial governments lately, but rather than simply adding more childcare spaces governments need to also take a hard look at the affordability issue (Campbell, 2016).</w:t>
      </w:r>
    </w:p>
    <w:p w14:paraId="5E3E34AF" w14:textId="61BB220D" w:rsidR="00301F5F" w:rsidRPr="00046D62" w:rsidRDefault="00F72630" w:rsidP="005754FD">
      <w:pPr>
        <w:spacing w:after="0"/>
        <w:ind w:firstLine="720"/>
        <w:jc w:val="both"/>
        <w:rPr>
          <w:rFonts w:cs="Times New Roman"/>
          <w:sz w:val="24"/>
          <w:szCs w:val="24"/>
          <w:lang w:val="en-US"/>
        </w:rPr>
      </w:pPr>
      <w:r w:rsidRPr="00046D62">
        <w:rPr>
          <w:rFonts w:cs="Times New Roman"/>
          <w:sz w:val="24"/>
          <w:szCs w:val="24"/>
          <w:lang w:val="en-US"/>
        </w:rPr>
        <w:t xml:space="preserve">This report </w:t>
      </w:r>
      <w:r w:rsidR="0053787E" w:rsidRPr="00046D62">
        <w:rPr>
          <w:rFonts w:cs="Times New Roman"/>
          <w:sz w:val="24"/>
          <w:szCs w:val="24"/>
          <w:lang w:val="en-US"/>
        </w:rPr>
        <w:t xml:space="preserve">explores Toronto licensed childcare centers </w:t>
      </w:r>
      <w:r w:rsidR="009C732B">
        <w:rPr>
          <w:rFonts w:cs="Times New Roman"/>
          <w:sz w:val="24"/>
          <w:szCs w:val="24"/>
          <w:lang w:val="en-US"/>
        </w:rPr>
        <w:t>through the</w:t>
      </w:r>
      <w:r w:rsidR="0053787E" w:rsidRPr="00046D62">
        <w:rPr>
          <w:rFonts w:cs="Times New Roman"/>
          <w:sz w:val="24"/>
          <w:szCs w:val="24"/>
          <w:lang w:val="en-US"/>
        </w:rPr>
        <w:t xml:space="preserve"> dataset INF2178_A2_data.xlsx that </w:t>
      </w:r>
      <w:r w:rsidR="00301F5F" w:rsidRPr="00046D62">
        <w:rPr>
          <w:rFonts w:cs="Times New Roman"/>
          <w:sz w:val="24"/>
          <w:szCs w:val="24"/>
          <w:lang w:val="en-US"/>
        </w:rPr>
        <w:t>outlines</w:t>
      </w:r>
      <w:r w:rsidR="0053787E" w:rsidRPr="00046D62">
        <w:rPr>
          <w:rFonts w:cs="Times New Roman"/>
          <w:sz w:val="24"/>
          <w:szCs w:val="24"/>
          <w:lang w:val="en-US"/>
        </w:rPr>
        <w:t xml:space="preserve"> data points updated in February 2024 on the operation and the capacity of these centers for various age groups.</w:t>
      </w:r>
      <w:r w:rsidR="005754FD">
        <w:rPr>
          <w:rFonts w:cs="Times New Roman"/>
          <w:sz w:val="24"/>
          <w:szCs w:val="24"/>
          <w:lang w:val="en-US"/>
        </w:rPr>
        <w:t xml:space="preserve"> </w:t>
      </w:r>
      <w:r w:rsidR="00301F5F" w:rsidRPr="00046D62">
        <w:rPr>
          <w:rFonts w:cs="Times New Roman"/>
          <w:sz w:val="24"/>
          <w:szCs w:val="24"/>
          <w:lang w:val="en-US"/>
        </w:rPr>
        <w:t>The analysis is guided by the following questions:</w:t>
      </w:r>
    </w:p>
    <w:p w14:paraId="3894FFBF" w14:textId="074FC5FA" w:rsidR="00301F5F" w:rsidRPr="00046D62" w:rsidRDefault="00301F5F" w:rsidP="005529A6">
      <w:pPr>
        <w:pStyle w:val="ListParagraph"/>
        <w:numPr>
          <w:ilvl w:val="0"/>
          <w:numId w:val="5"/>
        </w:numPr>
        <w:spacing w:after="0"/>
        <w:jc w:val="both"/>
        <w:rPr>
          <w:rFonts w:cs="Times New Roman"/>
          <w:sz w:val="24"/>
          <w:szCs w:val="24"/>
          <w:lang w:val="en-US"/>
        </w:rPr>
      </w:pPr>
      <w:r w:rsidRPr="00046D62">
        <w:rPr>
          <w:rFonts w:cs="Times New Roman"/>
          <w:b/>
          <w:bCs/>
          <w:sz w:val="24"/>
          <w:szCs w:val="24"/>
          <w:lang w:val="en-US"/>
        </w:rPr>
        <w:t>Research question 1:</w:t>
      </w:r>
      <w:r w:rsidRPr="00046D62">
        <w:rPr>
          <w:rFonts w:cs="Times New Roman"/>
          <w:sz w:val="24"/>
          <w:szCs w:val="24"/>
          <w:lang w:val="en-US"/>
        </w:rPr>
        <w:t xml:space="preserve"> Is there a statistically significant difference in the total childcare spaces among different operating agencies in Toronto, considering the challenges associated with high fees and low availability of childcare spaces?</w:t>
      </w:r>
    </w:p>
    <w:p w14:paraId="04E6E1FF" w14:textId="77777777" w:rsidR="00301F5F" w:rsidRPr="00046D62" w:rsidRDefault="00301F5F" w:rsidP="0074601E">
      <w:pPr>
        <w:spacing w:after="0"/>
        <w:jc w:val="both"/>
        <w:rPr>
          <w:rFonts w:cs="Times New Roman"/>
          <w:sz w:val="24"/>
          <w:szCs w:val="24"/>
          <w:lang w:val="en-US"/>
        </w:rPr>
      </w:pPr>
    </w:p>
    <w:p w14:paraId="404A9BF9" w14:textId="4F606BB9" w:rsidR="00301F5F" w:rsidRPr="00046D62" w:rsidRDefault="00301F5F" w:rsidP="005529A6">
      <w:pPr>
        <w:pStyle w:val="ListParagraph"/>
        <w:numPr>
          <w:ilvl w:val="0"/>
          <w:numId w:val="5"/>
        </w:numPr>
        <w:spacing w:after="0"/>
        <w:jc w:val="both"/>
        <w:rPr>
          <w:rFonts w:cs="Times New Roman"/>
          <w:sz w:val="24"/>
          <w:szCs w:val="24"/>
          <w:lang w:val="en-US"/>
        </w:rPr>
      </w:pPr>
      <w:bookmarkStart w:id="0" w:name="_Hlk160894598"/>
      <w:r w:rsidRPr="00046D62">
        <w:rPr>
          <w:rFonts w:cs="Times New Roman"/>
          <w:b/>
          <w:bCs/>
          <w:sz w:val="24"/>
          <w:szCs w:val="24"/>
          <w:lang w:val="en-US"/>
        </w:rPr>
        <w:t>Research question 2.1.:</w:t>
      </w:r>
      <w:r w:rsidRPr="00046D62">
        <w:rPr>
          <w:rFonts w:cs="Times New Roman"/>
          <w:sz w:val="24"/>
          <w:szCs w:val="24"/>
          <w:lang w:val="en-US"/>
        </w:rPr>
        <w:t xml:space="preserve"> Is there a statistically significant joint effect of having a fee subsidy contract and being part of a CWELCC program on the total childcare spaces available for all age groups in childcare centers?</w:t>
      </w:r>
    </w:p>
    <w:p w14:paraId="631A1401" w14:textId="77777777" w:rsidR="00301F5F" w:rsidRPr="00046D62" w:rsidRDefault="00301F5F" w:rsidP="00301F5F">
      <w:pPr>
        <w:spacing w:after="0"/>
        <w:jc w:val="both"/>
        <w:rPr>
          <w:rFonts w:cs="Times New Roman"/>
          <w:sz w:val="24"/>
          <w:szCs w:val="24"/>
          <w:lang w:val="en-US"/>
        </w:rPr>
      </w:pPr>
    </w:p>
    <w:p w14:paraId="35CCEAEF" w14:textId="08D81CD9" w:rsidR="00301F5F" w:rsidRPr="00046D62" w:rsidRDefault="00301F5F" w:rsidP="005529A6">
      <w:pPr>
        <w:pStyle w:val="ListParagraph"/>
        <w:numPr>
          <w:ilvl w:val="0"/>
          <w:numId w:val="5"/>
        </w:numPr>
        <w:spacing w:after="0"/>
        <w:jc w:val="both"/>
        <w:rPr>
          <w:rFonts w:cs="Times New Roman"/>
          <w:sz w:val="24"/>
          <w:szCs w:val="24"/>
          <w:lang w:val="en-US"/>
        </w:rPr>
      </w:pPr>
      <w:r w:rsidRPr="00046D62">
        <w:rPr>
          <w:rFonts w:cs="Times New Roman"/>
          <w:b/>
          <w:bCs/>
          <w:sz w:val="24"/>
          <w:szCs w:val="24"/>
          <w:lang w:val="en-US"/>
        </w:rPr>
        <w:t>Research question 2.2:</w:t>
      </w:r>
      <w:r w:rsidRPr="00046D62">
        <w:rPr>
          <w:rFonts w:cs="Times New Roman"/>
          <w:sz w:val="24"/>
          <w:szCs w:val="24"/>
          <w:lang w:val="en-US"/>
        </w:rPr>
        <w:t xml:space="preserve"> Do fee subsidy contracts and CWELCC program interact in a way that significantly influences the variation in childcare spaces?</w:t>
      </w:r>
    </w:p>
    <w:bookmarkEnd w:id="0"/>
    <w:p w14:paraId="16C0E13E" w14:textId="77777777" w:rsidR="00301F5F" w:rsidRPr="00046D62" w:rsidRDefault="00301F5F" w:rsidP="0074601E">
      <w:pPr>
        <w:spacing w:after="0"/>
        <w:jc w:val="both"/>
        <w:rPr>
          <w:rFonts w:cs="Times New Roman"/>
          <w:sz w:val="24"/>
          <w:szCs w:val="24"/>
          <w:lang w:val="en-US"/>
        </w:rPr>
      </w:pPr>
    </w:p>
    <w:p w14:paraId="6F8DFFA6" w14:textId="42588159" w:rsidR="00A963AC" w:rsidRPr="001F5E7D" w:rsidRDefault="00A963AC" w:rsidP="0074601E">
      <w:pPr>
        <w:pStyle w:val="ListParagraph"/>
        <w:numPr>
          <w:ilvl w:val="0"/>
          <w:numId w:val="2"/>
        </w:numPr>
        <w:spacing w:after="0"/>
        <w:jc w:val="both"/>
        <w:rPr>
          <w:rFonts w:cs="Times New Roman"/>
          <w:b/>
          <w:bCs/>
          <w:sz w:val="24"/>
          <w:szCs w:val="24"/>
          <w:lang w:val="en-US"/>
        </w:rPr>
      </w:pPr>
      <w:r w:rsidRPr="00046D62">
        <w:rPr>
          <w:rFonts w:cs="Times New Roman"/>
          <w:b/>
          <w:bCs/>
          <w:sz w:val="24"/>
          <w:szCs w:val="24"/>
          <w:lang w:val="en-US"/>
        </w:rPr>
        <w:t xml:space="preserve">Data Cleaning and Wrangling </w:t>
      </w:r>
    </w:p>
    <w:p w14:paraId="66B808AA" w14:textId="6F145737" w:rsidR="00A963AC" w:rsidRPr="00046D62" w:rsidRDefault="00123998" w:rsidP="001302AE">
      <w:pPr>
        <w:spacing w:after="0"/>
        <w:ind w:firstLine="720"/>
        <w:jc w:val="both"/>
        <w:rPr>
          <w:rFonts w:cs="Times New Roman"/>
          <w:sz w:val="24"/>
          <w:szCs w:val="24"/>
          <w:lang w:val="en-US"/>
        </w:rPr>
      </w:pPr>
      <w:r w:rsidRPr="00046D62">
        <w:rPr>
          <w:rFonts w:cs="Times New Roman"/>
          <w:sz w:val="24"/>
          <w:szCs w:val="24"/>
          <w:lang w:val="en-US"/>
        </w:rPr>
        <w:t xml:space="preserve">The </w:t>
      </w:r>
      <w:proofErr w:type="spellStart"/>
      <w:r w:rsidRPr="00046D62">
        <w:rPr>
          <w:rFonts w:cs="Times New Roman"/>
          <w:sz w:val="24"/>
          <w:szCs w:val="24"/>
          <w:lang w:val="en-US"/>
        </w:rPr>
        <w:t>data</w:t>
      </w:r>
      <w:r w:rsidR="009C732B">
        <w:rPr>
          <w:rFonts w:cs="Times New Roman"/>
          <w:sz w:val="24"/>
          <w:szCs w:val="24"/>
          <w:lang w:val="en-US"/>
        </w:rPr>
        <w:t>frame</w:t>
      </w:r>
      <w:proofErr w:type="spellEnd"/>
      <w:r w:rsidRPr="00046D62">
        <w:rPr>
          <w:rFonts w:cs="Times New Roman"/>
          <w:sz w:val="24"/>
          <w:szCs w:val="24"/>
          <w:lang w:val="en-US"/>
        </w:rPr>
        <w:t xml:space="preserve"> INF2178_A2_data.xlsx </w:t>
      </w:r>
      <w:r w:rsidR="00F330EC" w:rsidRPr="00046D62">
        <w:rPr>
          <w:rFonts w:cs="Times New Roman"/>
          <w:sz w:val="24"/>
          <w:szCs w:val="24"/>
          <w:lang w:val="en-US"/>
        </w:rPr>
        <w:t xml:space="preserve">has a total of </w:t>
      </w:r>
      <w:r w:rsidR="009C732B" w:rsidRPr="00046D62">
        <w:rPr>
          <w:rFonts w:cs="Times New Roman"/>
          <w:sz w:val="24"/>
          <w:szCs w:val="24"/>
          <w:lang w:val="en-US"/>
        </w:rPr>
        <w:t xml:space="preserve">1053 rows </w:t>
      </w:r>
      <w:r w:rsidR="009C732B">
        <w:rPr>
          <w:rFonts w:cs="Times New Roman"/>
          <w:sz w:val="24"/>
          <w:szCs w:val="24"/>
          <w:lang w:val="en-US"/>
        </w:rPr>
        <w:t xml:space="preserve">and </w:t>
      </w:r>
      <w:r w:rsidR="00F330EC" w:rsidRPr="00046D62">
        <w:rPr>
          <w:rFonts w:cs="Times New Roman"/>
          <w:sz w:val="24"/>
          <w:szCs w:val="24"/>
          <w:lang w:val="en-US"/>
        </w:rPr>
        <w:t>16 columns</w:t>
      </w:r>
      <w:r w:rsidR="009C732B">
        <w:rPr>
          <w:rFonts w:cs="Times New Roman"/>
          <w:sz w:val="24"/>
          <w:szCs w:val="24"/>
          <w:lang w:val="en-US"/>
        </w:rPr>
        <w:t>: 8</w:t>
      </w:r>
      <w:r w:rsidR="00F330EC" w:rsidRPr="00046D62">
        <w:rPr>
          <w:rFonts w:cs="Times New Roman"/>
          <w:sz w:val="24"/>
          <w:szCs w:val="24"/>
          <w:lang w:val="en-US"/>
        </w:rPr>
        <w:t>integer columns and 8 object column</w:t>
      </w:r>
      <w:r w:rsidR="005529A6" w:rsidRPr="00046D62">
        <w:rPr>
          <w:rFonts w:cs="Times New Roman"/>
          <w:sz w:val="24"/>
          <w:szCs w:val="24"/>
          <w:lang w:val="en-US"/>
        </w:rPr>
        <w:t>s</w:t>
      </w:r>
      <w:r w:rsidR="00F330EC" w:rsidRPr="00046D62">
        <w:rPr>
          <w:rFonts w:cs="Times New Roman"/>
          <w:sz w:val="24"/>
          <w:szCs w:val="24"/>
          <w:lang w:val="en-US"/>
        </w:rPr>
        <w:t>, with ‘_id’ as an index column</w:t>
      </w:r>
      <w:r w:rsidR="00CC53BE" w:rsidRPr="00046D62">
        <w:rPr>
          <w:rFonts w:cs="Times New Roman"/>
          <w:sz w:val="24"/>
          <w:szCs w:val="24"/>
          <w:lang w:val="en-US"/>
        </w:rPr>
        <w:t xml:space="preserve">. The </w:t>
      </w:r>
      <w:proofErr w:type="spellStart"/>
      <w:r w:rsidR="00CC53BE" w:rsidRPr="00046D62">
        <w:rPr>
          <w:rFonts w:cs="Times New Roman"/>
          <w:sz w:val="24"/>
          <w:szCs w:val="24"/>
          <w:lang w:val="en-US"/>
        </w:rPr>
        <w:t>dataframe</w:t>
      </w:r>
      <w:proofErr w:type="spellEnd"/>
      <w:r w:rsidR="00CC53BE" w:rsidRPr="00046D62">
        <w:rPr>
          <w:rFonts w:cs="Times New Roman"/>
          <w:sz w:val="24"/>
          <w:szCs w:val="24"/>
          <w:lang w:val="en-US"/>
        </w:rPr>
        <w:t xml:space="preserve"> requires some cleaning and treatment of the missing variables. </w:t>
      </w:r>
    </w:p>
    <w:p w14:paraId="3042BCD1" w14:textId="0F388508" w:rsidR="00CC53BE" w:rsidRPr="00046D62" w:rsidRDefault="009C732B" w:rsidP="001302AE">
      <w:pPr>
        <w:spacing w:after="0"/>
        <w:ind w:firstLine="720"/>
        <w:jc w:val="both"/>
        <w:rPr>
          <w:rFonts w:cs="Times New Roman"/>
          <w:sz w:val="24"/>
          <w:szCs w:val="24"/>
          <w:lang w:val="en-US"/>
        </w:rPr>
      </w:pPr>
      <w:r>
        <w:rPr>
          <w:rFonts w:cs="Times New Roman"/>
          <w:sz w:val="24"/>
          <w:szCs w:val="24"/>
          <w:lang w:val="en-US"/>
        </w:rPr>
        <w:t xml:space="preserve">The following </w:t>
      </w:r>
      <w:r w:rsidR="00BC247F" w:rsidRPr="00046D62">
        <w:rPr>
          <w:rFonts w:cs="Times New Roman"/>
          <w:sz w:val="24"/>
          <w:szCs w:val="24"/>
          <w:lang w:val="en-US"/>
        </w:rPr>
        <w:t>c</w:t>
      </w:r>
      <w:r w:rsidR="003D72DF" w:rsidRPr="00046D62">
        <w:rPr>
          <w:rFonts w:cs="Times New Roman"/>
          <w:sz w:val="24"/>
          <w:szCs w:val="24"/>
          <w:lang w:val="en-US"/>
        </w:rPr>
        <w:t>olumns</w:t>
      </w:r>
      <w:r w:rsidR="00BC247F" w:rsidRPr="00046D62">
        <w:rPr>
          <w:rFonts w:cs="Times New Roman"/>
          <w:sz w:val="24"/>
          <w:szCs w:val="24"/>
          <w:lang w:val="en-US"/>
        </w:rPr>
        <w:t xml:space="preserve"> have been renamed respectively to make the dataset look consistent:</w:t>
      </w:r>
      <w:r w:rsidR="005529A6" w:rsidRPr="00046D62">
        <w:rPr>
          <w:rFonts w:cs="Times New Roman"/>
          <w:sz w:val="24"/>
          <w:szCs w:val="24"/>
          <w:lang w:val="en-US"/>
        </w:rPr>
        <w:t xml:space="preserve"> </w:t>
      </w:r>
      <w:r w:rsidR="00BC247F" w:rsidRPr="00046D62">
        <w:rPr>
          <w:rFonts w:cs="Times New Roman"/>
          <w:sz w:val="24"/>
          <w:szCs w:val="24"/>
          <w:lang w:val="en-US"/>
        </w:rPr>
        <w:t>‘_id' to 'ID'</w:t>
      </w:r>
      <w:r w:rsidR="005529A6" w:rsidRPr="00046D62">
        <w:rPr>
          <w:rFonts w:cs="Times New Roman"/>
          <w:sz w:val="24"/>
          <w:szCs w:val="24"/>
          <w:lang w:val="en-US"/>
        </w:rPr>
        <w:t xml:space="preserve">; </w:t>
      </w:r>
      <w:r w:rsidR="00BC247F" w:rsidRPr="00046D62">
        <w:rPr>
          <w:rFonts w:cs="Times New Roman"/>
          <w:sz w:val="24"/>
          <w:szCs w:val="24"/>
          <w:lang w:val="en-US"/>
        </w:rPr>
        <w:t>'ward' to 'WARD'</w:t>
      </w:r>
      <w:r w:rsidR="005529A6" w:rsidRPr="00046D62">
        <w:rPr>
          <w:rFonts w:cs="Times New Roman"/>
          <w:sz w:val="24"/>
          <w:szCs w:val="24"/>
          <w:lang w:val="en-US"/>
        </w:rPr>
        <w:t xml:space="preserve">; </w:t>
      </w:r>
      <w:r w:rsidR="00BC247F" w:rsidRPr="00046D62">
        <w:rPr>
          <w:rFonts w:cs="Times New Roman"/>
          <w:sz w:val="24"/>
          <w:szCs w:val="24"/>
          <w:lang w:val="en-US"/>
        </w:rPr>
        <w:t>'</w:t>
      </w:r>
      <w:proofErr w:type="spellStart"/>
      <w:r w:rsidR="00BC247F" w:rsidRPr="00046D62">
        <w:rPr>
          <w:rFonts w:cs="Times New Roman"/>
          <w:sz w:val="24"/>
          <w:szCs w:val="24"/>
          <w:lang w:val="en-US"/>
        </w:rPr>
        <w:t>bldg_type</w:t>
      </w:r>
      <w:proofErr w:type="spellEnd"/>
      <w:r w:rsidR="00BC247F" w:rsidRPr="00046D62">
        <w:rPr>
          <w:rFonts w:cs="Times New Roman"/>
          <w:sz w:val="24"/>
          <w:szCs w:val="24"/>
          <w:lang w:val="en-US"/>
        </w:rPr>
        <w:t>' to 'BLDGTYPE'</w:t>
      </w:r>
      <w:r w:rsidR="005529A6" w:rsidRPr="00046D62">
        <w:rPr>
          <w:rFonts w:cs="Times New Roman"/>
          <w:sz w:val="24"/>
          <w:szCs w:val="24"/>
          <w:lang w:val="en-US"/>
        </w:rPr>
        <w:t xml:space="preserve">; </w:t>
      </w:r>
      <w:r w:rsidR="00BC247F" w:rsidRPr="00046D62">
        <w:rPr>
          <w:rFonts w:cs="Times New Roman"/>
          <w:sz w:val="24"/>
          <w:szCs w:val="24"/>
          <w:lang w:val="en-US"/>
        </w:rPr>
        <w:t>'subsidy' to 'SUBCONTR'</w:t>
      </w:r>
      <w:r w:rsidR="005529A6" w:rsidRPr="00046D62">
        <w:rPr>
          <w:rFonts w:cs="Times New Roman"/>
          <w:sz w:val="24"/>
          <w:szCs w:val="24"/>
          <w:lang w:val="en-US"/>
        </w:rPr>
        <w:t xml:space="preserve">; </w:t>
      </w:r>
      <w:r w:rsidR="00BC247F" w:rsidRPr="00046D62">
        <w:rPr>
          <w:rFonts w:cs="Times New Roman"/>
          <w:sz w:val="24"/>
          <w:szCs w:val="24"/>
          <w:lang w:val="en-US"/>
        </w:rPr>
        <w:t>'</w:t>
      </w:r>
      <w:proofErr w:type="spellStart"/>
      <w:r w:rsidR="00BC247F" w:rsidRPr="00046D62">
        <w:rPr>
          <w:rFonts w:cs="Times New Roman"/>
          <w:sz w:val="24"/>
          <w:szCs w:val="24"/>
          <w:lang w:val="en-US"/>
        </w:rPr>
        <w:t>cwelcc_flag</w:t>
      </w:r>
      <w:proofErr w:type="spellEnd"/>
      <w:r w:rsidR="00BC247F" w:rsidRPr="00046D62">
        <w:rPr>
          <w:rFonts w:cs="Times New Roman"/>
          <w:sz w:val="24"/>
          <w:szCs w:val="24"/>
          <w:lang w:val="en-US"/>
        </w:rPr>
        <w:t>' to 'CWELCCFL’</w:t>
      </w:r>
      <w:r w:rsidR="005529A6" w:rsidRPr="00046D62">
        <w:rPr>
          <w:rFonts w:cs="Times New Roman"/>
          <w:sz w:val="24"/>
          <w:szCs w:val="24"/>
          <w:lang w:val="en-US"/>
        </w:rPr>
        <w:t>.</w:t>
      </w:r>
    </w:p>
    <w:p w14:paraId="18361A3E" w14:textId="66F7000C" w:rsidR="00BC247F" w:rsidRPr="00046D62" w:rsidRDefault="00BC247F" w:rsidP="001302AE">
      <w:pPr>
        <w:spacing w:after="0"/>
        <w:ind w:firstLine="720"/>
        <w:jc w:val="both"/>
        <w:rPr>
          <w:rFonts w:cs="Times New Roman"/>
          <w:sz w:val="24"/>
          <w:szCs w:val="24"/>
          <w:lang w:val="en-US"/>
        </w:rPr>
      </w:pPr>
      <w:r w:rsidRPr="00046D62">
        <w:rPr>
          <w:rFonts w:cs="Times New Roman"/>
          <w:sz w:val="24"/>
          <w:szCs w:val="24"/>
          <w:lang w:val="en-US"/>
        </w:rPr>
        <w:t xml:space="preserve">The values ‘Y’ and ‘N’ </w:t>
      </w:r>
      <w:r w:rsidR="005529A6" w:rsidRPr="00046D62">
        <w:rPr>
          <w:rFonts w:cs="Times New Roman"/>
          <w:sz w:val="24"/>
          <w:szCs w:val="24"/>
          <w:lang w:val="en-US"/>
        </w:rPr>
        <w:t>for ‘</w:t>
      </w:r>
      <w:r w:rsidRPr="00046D62">
        <w:rPr>
          <w:rFonts w:cs="Times New Roman"/>
          <w:sz w:val="24"/>
          <w:szCs w:val="24"/>
          <w:lang w:val="en-US"/>
        </w:rPr>
        <w:t xml:space="preserve">CWELCCFL’ variable has been renamed to “Part” for participation in the </w:t>
      </w:r>
      <w:r w:rsidR="005529A6" w:rsidRPr="00046D62">
        <w:rPr>
          <w:rFonts w:cs="Times New Roman"/>
          <w:sz w:val="24"/>
          <w:szCs w:val="24"/>
          <w:lang w:val="en-US"/>
        </w:rPr>
        <w:t>CWELCC program</w:t>
      </w:r>
      <w:r w:rsidR="009C732B">
        <w:rPr>
          <w:rFonts w:cs="Times New Roman"/>
          <w:sz w:val="24"/>
          <w:szCs w:val="24"/>
          <w:lang w:val="en-US"/>
        </w:rPr>
        <w:t xml:space="preserve"> and</w:t>
      </w:r>
      <w:r w:rsidR="005529A6" w:rsidRPr="00046D62">
        <w:rPr>
          <w:rFonts w:cs="Times New Roman"/>
          <w:sz w:val="24"/>
          <w:szCs w:val="24"/>
          <w:lang w:val="en-US"/>
        </w:rPr>
        <w:t xml:space="preserve"> “</w:t>
      </w:r>
      <w:proofErr w:type="spellStart"/>
      <w:r w:rsidR="005529A6" w:rsidRPr="00046D62">
        <w:rPr>
          <w:rFonts w:cs="Times New Roman"/>
          <w:sz w:val="24"/>
          <w:szCs w:val="24"/>
          <w:lang w:val="en-US"/>
        </w:rPr>
        <w:t>NOP</w:t>
      </w:r>
      <w:r w:rsidR="00D919B0">
        <w:rPr>
          <w:rFonts w:cs="Times New Roman"/>
          <w:sz w:val="24"/>
          <w:szCs w:val="24"/>
          <w:lang w:val="en-US"/>
        </w:rPr>
        <w:t>art</w:t>
      </w:r>
      <w:proofErr w:type="spellEnd"/>
      <w:r w:rsidR="005529A6" w:rsidRPr="00046D62">
        <w:rPr>
          <w:rFonts w:cs="Times New Roman"/>
          <w:sz w:val="24"/>
          <w:szCs w:val="24"/>
          <w:lang w:val="en-US"/>
        </w:rPr>
        <w:t xml:space="preserve">” to indicate that the center </w:t>
      </w:r>
      <w:proofErr w:type="gramStart"/>
      <w:r w:rsidR="009C732B">
        <w:rPr>
          <w:rFonts w:cs="Times New Roman"/>
          <w:sz w:val="24"/>
          <w:szCs w:val="24"/>
          <w:lang w:val="en-US"/>
        </w:rPr>
        <w:t>d</w:t>
      </w:r>
      <w:r w:rsidR="005529A6" w:rsidRPr="00046D62">
        <w:rPr>
          <w:rFonts w:cs="Times New Roman"/>
          <w:sz w:val="24"/>
          <w:szCs w:val="24"/>
          <w:lang w:val="en-US"/>
        </w:rPr>
        <w:t>o</w:t>
      </w:r>
      <w:proofErr w:type="gramEnd"/>
      <w:r w:rsidR="005529A6" w:rsidRPr="00046D62">
        <w:rPr>
          <w:rFonts w:cs="Times New Roman"/>
          <w:sz w:val="24"/>
          <w:szCs w:val="24"/>
          <w:lang w:val="en-US"/>
        </w:rPr>
        <w:t xml:space="preserve"> not participate in the CWELCC program.</w:t>
      </w:r>
    </w:p>
    <w:p w14:paraId="1C345DE0" w14:textId="7E1F861E" w:rsidR="005529A6" w:rsidRPr="00046D62" w:rsidRDefault="005529A6" w:rsidP="001302AE">
      <w:pPr>
        <w:spacing w:after="0"/>
        <w:ind w:firstLine="720"/>
        <w:jc w:val="both"/>
        <w:rPr>
          <w:rFonts w:cs="Times New Roman"/>
          <w:sz w:val="24"/>
          <w:szCs w:val="24"/>
          <w:lang w:val="en-US"/>
        </w:rPr>
      </w:pPr>
      <w:r w:rsidRPr="00046D62">
        <w:rPr>
          <w:rFonts w:cs="Times New Roman"/>
          <w:sz w:val="24"/>
          <w:szCs w:val="24"/>
          <w:lang w:val="en-US"/>
        </w:rPr>
        <w:t xml:space="preserve">The missing variable under “BLDGTYPE” variable, i.e. building </w:t>
      </w:r>
      <w:r w:rsidR="009C732B">
        <w:rPr>
          <w:rFonts w:cs="Times New Roman"/>
          <w:sz w:val="24"/>
          <w:szCs w:val="24"/>
          <w:lang w:val="en-US"/>
        </w:rPr>
        <w:t>type</w:t>
      </w:r>
      <w:r w:rsidRPr="00046D62">
        <w:rPr>
          <w:rFonts w:cs="Times New Roman"/>
          <w:sz w:val="24"/>
          <w:szCs w:val="24"/>
          <w:lang w:val="en-US"/>
        </w:rPr>
        <w:t>, has 348 missing values that has been filled in with ‘Undefined’ value.</w:t>
      </w:r>
    </w:p>
    <w:p w14:paraId="291DBC56" w14:textId="77777777" w:rsidR="00A963AC" w:rsidRPr="00046D62" w:rsidRDefault="00A963AC" w:rsidP="0074601E">
      <w:pPr>
        <w:spacing w:after="0"/>
        <w:jc w:val="both"/>
        <w:rPr>
          <w:rFonts w:cs="Times New Roman"/>
          <w:sz w:val="24"/>
          <w:szCs w:val="24"/>
          <w:lang w:val="en-US"/>
        </w:rPr>
      </w:pPr>
    </w:p>
    <w:p w14:paraId="3FB873E1" w14:textId="183B2060" w:rsidR="00A963AC" w:rsidRPr="001F5E7D" w:rsidRDefault="00A963AC" w:rsidP="0074601E">
      <w:pPr>
        <w:pStyle w:val="ListParagraph"/>
        <w:numPr>
          <w:ilvl w:val="0"/>
          <w:numId w:val="2"/>
        </w:numPr>
        <w:spacing w:after="0"/>
        <w:jc w:val="both"/>
        <w:rPr>
          <w:rFonts w:cs="Times New Roman"/>
          <w:b/>
          <w:bCs/>
          <w:sz w:val="24"/>
          <w:szCs w:val="24"/>
          <w:lang w:val="en-US"/>
        </w:rPr>
      </w:pPr>
      <w:r w:rsidRPr="00046D62">
        <w:rPr>
          <w:rFonts w:cs="Times New Roman"/>
          <w:b/>
          <w:bCs/>
          <w:sz w:val="24"/>
          <w:szCs w:val="24"/>
          <w:lang w:val="en-US"/>
        </w:rPr>
        <w:t>Exploratory Data Analysis</w:t>
      </w:r>
    </w:p>
    <w:p w14:paraId="6D943569" w14:textId="2EED03B6" w:rsidR="00A963AC" w:rsidRPr="00046D62" w:rsidRDefault="005529A6" w:rsidP="001302AE">
      <w:pPr>
        <w:spacing w:after="0"/>
        <w:ind w:firstLine="720"/>
        <w:jc w:val="both"/>
        <w:rPr>
          <w:rFonts w:cs="Times New Roman"/>
          <w:sz w:val="24"/>
          <w:szCs w:val="24"/>
          <w:lang w:val="en-US"/>
        </w:rPr>
      </w:pPr>
      <w:r w:rsidRPr="00046D62">
        <w:rPr>
          <w:rFonts w:cs="Times New Roman"/>
          <w:sz w:val="24"/>
          <w:szCs w:val="24"/>
          <w:lang w:val="en-US"/>
        </w:rPr>
        <w:t>The analysis extensively explored the dataset, and it has been reflected in the Python notebook. Only key results have been included in this paper.</w:t>
      </w:r>
    </w:p>
    <w:p w14:paraId="04161015" w14:textId="51803202" w:rsidR="001302AE" w:rsidRDefault="001302AE" w:rsidP="001302AE">
      <w:pPr>
        <w:spacing w:after="0"/>
        <w:ind w:firstLine="720"/>
        <w:jc w:val="both"/>
        <w:rPr>
          <w:rFonts w:cs="Times New Roman"/>
          <w:sz w:val="24"/>
          <w:szCs w:val="24"/>
          <w:lang w:val="en-US"/>
        </w:rPr>
      </w:pPr>
      <w:proofErr w:type="gramStart"/>
      <w:r w:rsidRPr="00046D62">
        <w:rPr>
          <w:rFonts w:cs="Times New Roman"/>
          <w:sz w:val="24"/>
          <w:szCs w:val="24"/>
          <w:lang w:val="en-US"/>
        </w:rPr>
        <w:t>The majority of</w:t>
      </w:r>
      <w:proofErr w:type="gramEnd"/>
      <w:r w:rsidRPr="00046D62">
        <w:rPr>
          <w:rFonts w:cs="Times New Roman"/>
          <w:sz w:val="24"/>
          <w:szCs w:val="24"/>
          <w:lang w:val="en-US"/>
        </w:rPr>
        <w:t xml:space="preserve"> the childcare centers are operating as non-profits</w:t>
      </w:r>
      <w:r w:rsidR="00372010" w:rsidRPr="00046D62">
        <w:rPr>
          <w:rFonts w:cs="Times New Roman"/>
          <w:sz w:val="24"/>
          <w:szCs w:val="24"/>
          <w:lang w:val="en-US"/>
        </w:rPr>
        <w:t xml:space="preserve"> has greater number of centers </w:t>
      </w:r>
      <w:r w:rsidRPr="00046D62">
        <w:rPr>
          <w:rFonts w:cs="Times New Roman"/>
          <w:sz w:val="24"/>
          <w:szCs w:val="24"/>
          <w:lang w:val="en-US"/>
        </w:rPr>
        <w:t xml:space="preserve">(M=66, </w:t>
      </w:r>
      <w:proofErr w:type="spellStart"/>
      <w:r w:rsidRPr="00046D62">
        <w:rPr>
          <w:rFonts w:cs="Times New Roman"/>
          <w:sz w:val="24"/>
          <w:szCs w:val="24"/>
          <w:lang w:val="en-US"/>
        </w:rPr>
        <w:t>iqr</w:t>
      </w:r>
      <w:proofErr w:type="spellEnd"/>
      <w:r w:rsidRPr="00046D62">
        <w:rPr>
          <w:rFonts w:cs="Times New Roman"/>
          <w:sz w:val="24"/>
          <w:szCs w:val="24"/>
          <w:lang w:val="en-US"/>
        </w:rPr>
        <w:t>=62) followed by commercial</w:t>
      </w:r>
      <w:r w:rsidR="00372010" w:rsidRPr="00046D62">
        <w:rPr>
          <w:rFonts w:cs="Times New Roman"/>
          <w:sz w:val="24"/>
          <w:szCs w:val="24"/>
          <w:lang w:val="en-US"/>
        </w:rPr>
        <w:t xml:space="preserve"> operating </w:t>
      </w:r>
      <w:proofErr w:type="gramStart"/>
      <w:r w:rsidR="00E81BDA">
        <w:rPr>
          <w:rFonts w:cs="Times New Roman"/>
          <w:sz w:val="24"/>
          <w:szCs w:val="24"/>
          <w:lang w:val="en-US"/>
        </w:rPr>
        <w:t>center</w:t>
      </w:r>
      <w:proofErr w:type="gramEnd"/>
      <w:r w:rsidR="00372010" w:rsidRPr="00046D62">
        <w:rPr>
          <w:rFonts w:cs="Times New Roman"/>
          <w:sz w:val="24"/>
          <w:szCs w:val="24"/>
          <w:lang w:val="en-US"/>
        </w:rPr>
        <w:t xml:space="preserve"> that are moderate in number </w:t>
      </w:r>
      <w:r w:rsidRPr="00046D62">
        <w:rPr>
          <w:rFonts w:cs="Times New Roman"/>
          <w:sz w:val="24"/>
          <w:szCs w:val="24"/>
          <w:lang w:val="en-US"/>
        </w:rPr>
        <w:t xml:space="preserve">(M=58, </w:t>
      </w:r>
      <w:proofErr w:type="spellStart"/>
      <w:r w:rsidRPr="00046D62">
        <w:rPr>
          <w:rFonts w:cs="Times New Roman"/>
          <w:sz w:val="24"/>
          <w:szCs w:val="24"/>
          <w:lang w:val="en-US"/>
        </w:rPr>
        <w:t>iqr</w:t>
      </w:r>
      <w:proofErr w:type="spellEnd"/>
      <w:r w:rsidRPr="00046D62">
        <w:rPr>
          <w:rFonts w:cs="Times New Roman"/>
          <w:sz w:val="24"/>
          <w:szCs w:val="24"/>
          <w:lang w:val="en-US"/>
        </w:rPr>
        <w:t>=48</w:t>
      </w:r>
      <w:r w:rsidR="00D6461C" w:rsidRPr="00046D62">
        <w:rPr>
          <w:rFonts w:cs="Times New Roman"/>
          <w:sz w:val="24"/>
          <w:szCs w:val="24"/>
          <w:lang w:val="en-US"/>
        </w:rPr>
        <w:t>) and</w:t>
      </w:r>
      <w:r w:rsidRPr="00046D62">
        <w:rPr>
          <w:rFonts w:cs="Times New Roman"/>
          <w:sz w:val="24"/>
          <w:szCs w:val="24"/>
          <w:lang w:val="en-US"/>
        </w:rPr>
        <w:t xml:space="preserve"> public ones </w:t>
      </w:r>
      <w:r w:rsidR="00372010" w:rsidRPr="00046D62">
        <w:rPr>
          <w:rFonts w:cs="Times New Roman"/>
          <w:sz w:val="24"/>
          <w:szCs w:val="24"/>
          <w:lang w:val="en-US"/>
        </w:rPr>
        <w:t xml:space="preserve">are fewer and less dispersed </w:t>
      </w:r>
      <w:r w:rsidRPr="00046D62">
        <w:rPr>
          <w:rFonts w:cs="Times New Roman"/>
          <w:sz w:val="24"/>
          <w:szCs w:val="24"/>
          <w:lang w:val="en-US"/>
        </w:rPr>
        <w:t xml:space="preserve">(M=49, </w:t>
      </w:r>
      <w:proofErr w:type="spellStart"/>
      <w:r w:rsidRPr="00046D62">
        <w:rPr>
          <w:rFonts w:cs="Times New Roman"/>
          <w:sz w:val="24"/>
          <w:szCs w:val="24"/>
          <w:lang w:val="en-US"/>
        </w:rPr>
        <w:t>iqr</w:t>
      </w:r>
      <w:proofErr w:type="spellEnd"/>
      <w:r w:rsidRPr="00046D62">
        <w:rPr>
          <w:rFonts w:cs="Times New Roman"/>
          <w:sz w:val="24"/>
          <w:szCs w:val="24"/>
          <w:lang w:val="en-US"/>
        </w:rPr>
        <w:t>=26)</w:t>
      </w:r>
      <w:r w:rsidR="00372010" w:rsidRPr="00046D62">
        <w:rPr>
          <w:rFonts w:cs="Times New Roman"/>
          <w:sz w:val="24"/>
          <w:szCs w:val="24"/>
          <w:lang w:val="en-US"/>
        </w:rPr>
        <w:t>.</w:t>
      </w:r>
      <w:r w:rsidR="004566DC">
        <w:rPr>
          <w:rFonts w:cs="Times New Roman"/>
          <w:sz w:val="24"/>
          <w:szCs w:val="24"/>
          <w:lang w:val="en-US"/>
        </w:rPr>
        <w:t xml:space="preserve"> </w:t>
      </w:r>
      <w:r w:rsidR="00E81BDA">
        <w:rPr>
          <w:rFonts w:cs="Times New Roman"/>
          <w:sz w:val="24"/>
          <w:szCs w:val="24"/>
          <w:lang w:val="en-US"/>
        </w:rPr>
        <w:t>Thus, n</w:t>
      </w:r>
      <w:r w:rsidR="00372010" w:rsidRPr="00046D62">
        <w:rPr>
          <w:rFonts w:cs="Times New Roman"/>
          <w:sz w:val="24"/>
          <w:szCs w:val="24"/>
          <w:lang w:val="en-US"/>
        </w:rPr>
        <w:t xml:space="preserve">onprofit </w:t>
      </w:r>
      <w:r w:rsidR="000E51F1" w:rsidRPr="00046D62">
        <w:rPr>
          <w:rFonts w:cs="Times New Roman"/>
          <w:sz w:val="24"/>
          <w:szCs w:val="24"/>
          <w:lang w:val="en-US"/>
        </w:rPr>
        <w:t>childcare</w:t>
      </w:r>
      <w:r w:rsidR="00372010" w:rsidRPr="00046D62">
        <w:rPr>
          <w:rFonts w:cs="Times New Roman"/>
          <w:sz w:val="24"/>
          <w:szCs w:val="24"/>
          <w:lang w:val="en-US"/>
        </w:rPr>
        <w:t xml:space="preserve"> centers emerge as a prominent category, featuring a higher median, larger IQR, and substantial contribution to the total childcare spaces</w:t>
      </w:r>
      <w:r w:rsidR="004566DC">
        <w:rPr>
          <w:rFonts w:cs="Times New Roman"/>
          <w:sz w:val="24"/>
          <w:szCs w:val="24"/>
          <w:lang w:val="en-US"/>
        </w:rPr>
        <w:t xml:space="preserve"> (Figure 1</w:t>
      </w:r>
      <w:r w:rsidR="00E81BDA">
        <w:rPr>
          <w:rFonts w:cs="Times New Roman"/>
          <w:sz w:val="24"/>
          <w:szCs w:val="24"/>
          <w:lang w:val="en-US"/>
        </w:rPr>
        <w:t>)</w:t>
      </w:r>
      <w:r w:rsidR="00372010" w:rsidRPr="00046D62">
        <w:rPr>
          <w:rFonts w:cs="Times New Roman"/>
          <w:sz w:val="24"/>
          <w:szCs w:val="24"/>
          <w:lang w:val="en-US"/>
        </w:rPr>
        <w:t>.</w:t>
      </w:r>
      <w:r w:rsidR="00046D62" w:rsidRPr="00046D62">
        <w:rPr>
          <w:rFonts w:cs="Times New Roman"/>
          <w:sz w:val="24"/>
          <w:szCs w:val="24"/>
          <w:lang w:val="en-US"/>
        </w:rPr>
        <w:t xml:space="preserve"> Additionally, </w:t>
      </w:r>
      <w:r w:rsidR="00D6461C" w:rsidRPr="00046D62">
        <w:rPr>
          <w:rFonts w:cs="Times New Roman"/>
          <w:sz w:val="24"/>
          <w:szCs w:val="24"/>
          <w:lang w:val="en-US"/>
        </w:rPr>
        <w:t>nonprofit</w:t>
      </w:r>
      <w:r w:rsidR="00046D62" w:rsidRPr="00046D62">
        <w:rPr>
          <w:rFonts w:cs="Times New Roman"/>
          <w:sz w:val="24"/>
          <w:szCs w:val="24"/>
          <w:lang w:val="en-US"/>
        </w:rPr>
        <w:t xml:space="preserve"> childcare centers </w:t>
      </w:r>
      <w:r w:rsidR="00D6461C" w:rsidRPr="00046D62">
        <w:rPr>
          <w:rFonts w:cs="Times New Roman"/>
          <w:sz w:val="24"/>
          <w:szCs w:val="24"/>
          <w:lang w:val="en-US"/>
        </w:rPr>
        <w:t>have</w:t>
      </w:r>
      <w:r w:rsidR="00046D62" w:rsidRPr="00046D62">
        <w:rPr>
          <w:rFonts w:cs="Times New Roman"/>
          <w:sz w:val="24"/>
          <w:szCs w:val="24"/>
          <w:lang w:val="en-US"/>
        </w:rPr>
        <w:t xml:space="preserve"> considerably large number of </w:t>
      </w:r>
      <w:r w:rsidR="00D6461C" w:rsidRPr="00046D62">
        <w:rPr>
          <w:rFonts w:cs="Times New Roman"/>
          <w:sz w:val="24"/>
          <w:szCs w:val="24"/>
          <w:lang w:val="en-US"/>
        </w:rPr>
        <w:t>outliers</w:t>
      </w:r>
      <w:r w:rsidR="00046D62" w:rsidRPr="00046D62">
        <w:rPr>
          <w:rFonts w:cs="Times New Roman"/>
          <w:sz w:val="24"/>
          <w:szCs w:val="24"/>
          <w:lang w:val="en-US"/>
        </w:rPr>
        <w:t xml:space="preserve">. In contrast, </w:t>
      </w:r>
      <w:r w:rsidR="004566DC">
        <w:rPr>
          <w:rFonts w:cs="Times New Roman"/>
          <w:sz w:val="24"/>
          <w:szCs w:val="24"/>
          <w:lang w:val="en-US"/>
        </w:rPr>
        <w:t>c</w:t>
      </w:r>
      <w:r w:rsidR="00046D62" w:rsidRPr="00046D62">
        <w:rPr>
          <w:rFonts w:cs="Times New Roman"/>
          <w:sz w:val="24"/>
          <w:szCs w:val="24"/>
          <w:lang w:val="en-US"/>
        </w:rPr>
        <w:t xml:space="preserve">ommercial centers, although demonstrating a moderate capacity and spread, fall behind </w:t>
      </w:r>
      <w:r w:rsidR="004566DC">
        <w:rPr>
          <w:rFonts w:cs="Times New Roman"/>
          <w:sz w:val="24"/>
          <w:szCs w:val="24"/>
          <w:lang w:val="en-US"/>
        </w:rPr>
        <w:t>n</w:t>
      </w:r>
      <w:r w:rsidR="00046D62" w:rsidRPr="00046D62">
        <w:rPr>
          <w:rFonts w:cs="Times New Roman"/>
          <w:sz w:val="24"/>
          <w:szCs w:val="24"/>
          <w:lang w:val="en-US"/>
        </w:rPr>
        <w:t>onprofit centers in terms of overall representation</w:t>
      </w:r>
      <w:r w:rsidR="004566DC">
        <w:rPr>
          <w:rFonts w:cs="Times New Roman"/>
          <w:sz w:val="24"/>
          <w:szCs w:val="24"/>
          <w:lang w:val="en-US"/>
        </w:rPr>
        <w:t xml:space="preserve"> (Figure 2)</w:t>
      </w:r>
      <w:r w:rsidR="00046D62" w:rsidRPr="00046D62">
        <w:rPr>
          <w:rFonts w:cs="Times New Roman"/>
          <w:sz w:val="24"/>
          <w:szCs w:val="24"/>
          <w:lang w:val="en-US"/>
        </w:rPr>
        <w:t>. Th</w:t>
      </w:r>
      <w:r w:rsidR="00D6461C">
        <w:rPr>
          <w:rFonts w:cs="Times New Roman"/>
          <w:sz w:val="24"/>
          <w:szCs w:val="24"/>
          <w:lang w:val="en-US"/>
        </w:rPr>
        <w:t xml:space="preserve">e difference between operating agencies in </w:t>
      </w:r>
      <w:r w:rsidR="00D6461C">
        <w:rPr>
          <w:rFonts w:cs="Times New Roman"/>
          <w:sz w:val="24"/>
          <w:szCs w:val="24"/>
          <w:lang w:val="en-US"/>
        </w:rPr>
        <w:lastRenderedPageBreak/>
        <w:t xml:space="preserve">terms of the total space available for childcare has driven the first research question to identify whether that </w:t>
      </w:r>
      <w:r w:rsidR="009C732B">
        <w:rPr>
          <w:noProof/>
        </w:rPr>
        <w:drawing>
          <wp:anchor distT="0" distB="0" distL="114300" distR="114300" simplePos="0" relativeHeight="251667456" behindDoc="1" locked="0" layoutInCell="1" allowOverlap="1" wp14:anchorId="35412582" wp14:editId="1DEED3C6">
            <wp:simplePos x="0" y="0"/>
            <wp:positionH relativeFrom="column">
              <wp:posOffset>-103505</wp:posOffset>
            </wp:positionH>
            <wp:positionV relativeFrom="paragraph">
              <wp:posOffset>675640</wp:posOffset>
            </wp:positionV>
            <wp:extent cx="2971165" cy="2258060"/>
            <wp:effectExtent l="0" t="0" r="635" b="8890"/>
            <wp:wrapTight wrapText="bothSides">
              <wp:wrapPolygon edited="0">
                <wp:start x="0" y="0"/>
                <wp:lineTo x="0" y="21503"/>
                <wp:lineTo x="21466" y="21503"/>
                <wp:lineTo x="21466" y="0"/>
                <wp:lineTo x="0" y="0"/>
              </wp:wrapPolygon>
            </wp:wrapTight>
            <wp:docPr id="96717950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79501" name="Picture 1" descr="A graph of different colored square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22" r="6006"/>
                    <a:stretch/>
                  </pic:blipFill>
                  <pic:spPr bwMode="auto">
                    <a:xfrm>
                      <a:off x="0" y="0"/>
                      <a:ext cx="2971165" cy="2258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732B">
        <w:rPr>
          <w:noProof/>
        </w:rPr>
        <w:drawing>
          <wp:anchor distT="0" distB="0" distL="114300" distR="114300" simplePos="0" relativeHeight="251668480" behindDoc="1" locked="0" layoutInCell="1" allowOverlap="1" wp14:anchorId="7CA263C2" wp14:editId="06524A08">
            <wp:simplePos x="0" y="0"/>
            <wp:positionH relativeFrom="margin">
              <wp:posOffset>3021330</wp:posOffset>
            </wp:positionH>
            <wp:positionV relativeFrom="paragraph">
              <wp:posOffset>651510</wp:posOffset>
            </wp:positionV>
            <wp:extent cx="2976245" cy="2229485"/>
            <wp:effectExtent l="0" t="0" r="0" b="0"/>
            <wp:wrapTight wrapText="bothSides">
              <wp:wrapPolygon edited="0">
                <wp:start x="0" y="0"/>
                <wp:lineTo x="0" y="21409"/>
                <wp:lineTo x="21429" y="21409"/>
                <wp:lineTo x="21429" y="0"/>
                <wp:lineTo x="0" y="0"/>
              </wp:wrapPolygon>
            </wp:wrapTight>
            <wp:docPr id="1575917684" name="Picture 2" descr="A graph of a child care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17684" name="Picture 2" descr="A graph of a child care area&#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852" r="5524" b="1758"/>
                    <a:stretch/>
                  </pic:blipFill>
                  <pic:spPr bwMode="auto">
                    <a:xfrm>
                      <a:off x="0" y="0"/>
                      <a:ext cx="2976245" cy="222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61C">
        <w:rPr>
          <w:rFonts w:cs="Times New Roman"/>
          <w:sz w:val="24"/>
          <w:szCs w:val="24"/>
          <w:lang w:val="en-US"/>
        </w:rPr>
        <w:t>difference is statistically significant.</w:t>
      </w:r>
    </w:p>
    <w:p w14:paraId="186FFAA4" w14:textId="0C263222" w:rsidR="00173B0D" w:rsidRPr="001F5E7D" w:rsidRDefault="001F5E7D" w:rsidP="00D919B0">
      <w:pPr>
        <w:spacing w:after="0"/>
        <w:ind w:firstLine="708"/>
        <w:jc w:val="both"/>
        <w:rPr>
          <w:rFonts w:cs="Times New Roman"/>
          <w:b/>
          <w:bCs/>
          <w:sz w:val="24"/>
          <w:szCs w:val="24"/>
          <w:lang w:val="en-US"/>
        </w:rPr>
      </w:pPr>
      <w:r w:rsidRPr="001F5E7D">
        <w:rPr>
          <w:rFonts w:cs="Times New Roman"/>
          <w:b/>
          <w:bCs/>
          <w:sz w:val="24"/>
          <w:szCs w:val="24"/>
          <w:lang w:val="en-US"/>
        </w:rPr>
        <w:t>Figure 1</w:t>
      </w:r>
      <w:r>
        <w:rPr>
          <w:rFonts w:cs="Times New Roman"/>
          <w:b/>
          <w:bCs/>
          <w:sz w:val="24"/>
          <w:szCs w:val="24"/>
          <w:lang w:val="en-US"/>
        </w:rPr>
        <w:t xml:space="preserve">                                                               Figure 2</w:t>
      </w:r>
    </w:p>
    <w:p w14:paraId="381E0C21" w14:textId="32F86A43" w:rsidR="00D6461C" w:rsidRDefault="00D6461C" w:rsidP="00D919B0">
      <w:pPr>
        <w:spacing w:after="0"/>
        <w:ind w:firstLine="708"/>
        <w:jc w:val="both"/>
        <w:rPr>
          <w:rFonts w:cs="Times New Roman"/>
          <w:sz w:val="24"/>
          <w:szCs w:val="24"/>
          <w:lang w:val="en-US"/>
        </w:rPr>
      </w:pPr>
      <w:r>
        <w:rPr>
          <w:rFonts w:cs="Times New Roman"/>
          <w:sz w:val="24"/>
          <w:szCs w:val="24"/>
          <w:lang w:val="en-US"/>
        </w:rPr>
        <w:t xml:space="preserve">Childcare spaces by the age groups have </w:t>
      </w:r>
      <w:r w:rsidR="00D919B0">
        <w:rPr>
          <w:rFonts w:cs="Times New Roman"/>
          <w:sz w:val="24"/>
          <w:szCs w:val="24"/>
          <w:lang w:val="en-US"/>
        </w:rPr>
        <w:t>also been</w:t>
      </w:r>
      <w:r>
        <w:rPr>
          <w:rFonts w:cs="Times New Roman"/>
          <w:sz w:val="24"/>
          <w:szCs w:val="24"/>
          <w:lang w:val="en-US"/>
        </w:rPr>
        <w:t xml:space="preserve"> examined </w:t>
      </w:r>
      <w:r w:rsidR="004566DC">
        <w:rPr>
          <w:rFonts w:cs="Times New Roman"/>
          <w:sz w:val="24"/>
          <w:szCs w:val="24"/>
          <w:lang w:val="en-US"/>
        </w:rPr>
        <w:t>(Figure 3)</w:t>
      </w:r>
      <w:r w:rsidR="00AE0543">
        <w:rPr>
          <w:rFonts w:cs="Times New Roman"/>
          <w:sz w:val="24"/>
          <w:szCs w:val="24"/>
          <w:lang w:val="en-US"/>
        </w:rPr>
        <w:t>. Based on the summary statistics</w:t>
      </w:r>
      <w:r w:rsidR="0016075C">
        <w:rPr>
          <w:rFonts w:cs="Times New Roman"/>
          <w:sz w:val="24"/>
          <w:szCs w:val="24"/>
          <w:lang w:val="en-US"/>
        </w:rPr>
        <w:t xml:space="preserve">, </w:t>
      </w:r>
      <w:r w:rsidR="00D919B0">
        <w:rPr>
          <w:rFonts w:cs="Times New Roman"/>
          <w:sz w:val="24"/>
          <w:szCs w:val="24"/>
          <w:lang w:val="en-US"/>
        </w:rPr>
        <w:t>c</w:t>
      </w:r>
      <w:r w:rsidR="00D919B0" w:rsidRPr="0016075C">
        <w:rPr>
          <w:rFonts w:cs="Times New Roman"/>
          <w:sz w:val="24"/>
          <w:szCs w:val="24"/>
          <w:lang w:val="en-US"/>
        </w:rPr>
        <w:t>hildcare</w:t>
      </w:r>
      <w:r w:rsidR="0016075C" w:rsidRPr="0016075C">
        <w:rPr>
          <w:rFonts w:cs="Times New Roman"/>
          <w:sz w:val="24"/>
          <w:szCs w:val="24"/>
          <w:lang w:val="en-US"/>
        </w:rPr>
        <w:t xml:space="preserve"> spaces for preschoolers 30 months up until they enter grade one</w:t>
      </w:r>
      <w:r w:rsidR="0016075C">
        <w:rPr>
          <w:rFonts w:cs="Times New Roman"/>
          <w:sz w:val="24"/>
          <w:szCs w:val="24"/>
          <w:lang w:val="en-US"/>
        </w:rPr>
        <w:t xml:space="preserve"> has the highest median (M=24, IQR=16) and the highest spread </w:t>
      </w:r>
      <w:r w:rsidR="00E81BDA">
        <w:rPr>
          <w:rFonts w:cs="Times New Roman"/>
          <w:sz w:val="24"/>
          <w:szCs w:val="24"/>
          <w:lang w:val="en-US"/>
        </w:rPr>
        <w:t>has been observed for</w:t>
      </w:r>
      <w:r w:rsidR="0016075C">
        <w:rPr>
          <w:rFonts w:cs="Times New Roman"/>
          <w:sz w:val="24"/>
          <w:szCs w:val="24"/>
          <w:lang w:val="en-US"/>
        </w:rPr>
        <w:t xml:space="preserve"> c</w:t>
      </w:r>
      <w:r w:rsidR="0016075C" w:rsidRPr="0016075C">
        <w:rPr>
          <w:rFonts w:cs="Times New Roman"/>
          <w:sz w:val="24"/>
          <w:szCs w:val="24"/>
          <w:lang w:val="en-US"/>
        </w:rPr>
        <w:t>hildcare spaces for grade one and up</w:t>
      </w:r>
      <w:r w:rsidR="0016075C">
        <w:rPr>
          <w:rFonts w:cs="Times New Roman"/>
          <w:sz w:val="24"/>
          <w:szCs w:val="24"/>
          <w:lang w:val="en-US"/>
        </w:rPr>
        <w:t xml:space="preserve"> (M=0, IQR=30)</w:t>
      </w:r>
      <w:r w:rsidR="00D919B0">
        <w:rPr>
          <w:rFonts w:cs="Times New Roman"/>
          <w:sz w:val="24"/>
          <w:szCs w:val="24"/>
          <w:lang w:val="en-US"/>
        </w:rPr>
        <w:t>. The data for all types of childcare centers has been skewed.</w:t>
      </w:r>
    </w:p>
    <w:p w14:paraId="5A0E522D" w14:textId="7ADF6506" w:rsidR="002F463D" w:rsidRPr="00046D62" w:rsidRDefault="00D919B0" w:rsidP="002F463D">
      <w:pPr>
        <w:spacing w:after="0"/>
        <w:jc w:val="both"/>
        <w:rPr>
          <w:rFonts w:cs="Times New Roman"/>
          <w:sz w:val="24"/>
          <w:szCs w:val="24"/>
          <w:lang w:val="en-US"/>
        </w:rPr>
      </w:pPr>
      <w:r>
        <w:rPr>
          <w:noProof/>
        </w:rPr>
        <w:drawing>
          <wp:anchor distT="0" distB="0" distL="114300" distR="114300" simplePos="0" relativeHeight="251666432" behindDoc="1" locked="0" layoutInCell="1" allowOverlap="1" wp14:anchorId="6A541CD0" wp14:editId="2563BF6A">
            <wp:simplePos x="0" y="0"/>
            <wp:positionH relativeFrom="margin">
              <wp:posOffset>660400</wp:posOffset>
            </wp:positionH>
            <wp:positionV relativeFrom="paragraph">
              <wp:posOffset>11016</wp:posOffset>
            </wp:positionV>
            <wp:extent cx="4634865" cy="2559050"/>
            <wp:effectExtent l="0" t="0" r="0" b="0"/>
            <wp:wrapTight wrapText="bothSides">
              <wp:wrapPolygon edited="0">
                <wp:start x="0" y="0"/>
                <wp:lineTo x="0" y="21386"/>
                <wp:lineTo x="21485" y="21386"/>
                <wp:lineTo x="21485" y="0"/>
                <wp:lineTo x="0" y="0"/>
              </wp:wrapPolygon>
            </wp:wrapTight>
            <wp:docPr id="76088359" name="Picture 6" descr="A diagram of a child care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8359" name="Picture 6" descr="A diagram of a child care spac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898" t="6499" r="4386" b="3040"/>
                    <a:stretch/>
                  </pic:blipFill>
                  <pic:spPr bwMode="auto">
                    <a:xfrm>
                      <a:off x="0" y="0"/>
                      <a:ext cx="4634865" cy="255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4E6FF9" w14:textId="24A259FA" w:rsidR="001302AE" w:rsidRDefault="001302AE" w:rsidP="001302AE">
      <w:pPr>
        <w:spacing w:after="0"/>
        <w:ind w:firstLine="720"/>
        <w:jc w:val="both"/>
        <w:rPr>
          <w:rFonts w:cs="Times New Roman"/>
          <w:b/>
          <w:bCs/>
          <w:sz w:val="24"/>
          <w:szCs w:val="24"/>
          <w:lang w:val="en-US"/>
        </w:rPr>
      </w:pPr>
    </w:p>
    <w:p w14:paraId="71B9DC6F" w14:textId="47DA249E" w:rsidR="00D919B0" w:rsidRDefault="00D919B0" w:rsidP="001302AE">
      <w:pPr>
        <w:spacing w:after="0"/>
        <w:ind w:firstLine="720"/>
        <w:jc w:val="both"/>
        <w:rPr>
          <w:rFonts w:cs="Times New Roman"/>
          <w:b/>
          <w:bCs/>
          <w:sz w:val="24"/>
          <w:szCs w:val="24"/>
          <w:lang w:val="en-US"/>
        </w:rPr>
      </w:pPr>
    </w:p>
    <w:p w14:paraId="0005D17C" w14:textId="77777777" w:rsidR="00D919B0" w:rsidRDefault="00D919B0" w:rsidP="001302AE">
      <w:pPr>
        <w:spacing w:after="0"/>
        <w:ind w:firstLine="720"/>
        <w:jc w:val="both"/>
        <w:rPr>
          <w:rFonts w:cs="Times New Roman"/>
          <w:b/>
          <w:bCs/>
          <w:sz w:val="24"/>
          <w:szCs w:val="24"/>
          <w:lang w:val="en-US"/>
        </w:rPr>
      </w:pPr>
    </w:p>
    <w:p w14:paraId="561E001A" w14:textId="77777777" w:rsidR="00D919B0" w:rsidRPr="00046D62" w:rsidRDefault="00D919B0" w:rsidP="001302AE">
      <w:pPr>
        <w:spacing w:after="0"/>
        <w:ind w:firstLine="720"/>
        <w:jc w:val="both"/>
        <w:rPr>
          <w:rFonts w:cs="Times New Roman"/>
          <w:b/>
          <w:bCs/>
          <w:sz w:val="24"/>
          <w:szCs w:val="24"/>
          <w:lang w:val="en-US"/>
        </w:rPr>
      </w:pPr>
    </w:p>
    <w:p w14:paraId="5C52A7B1" w14:textId="57F6CCC5" w:rsidR="00046D62" w:rsidRDefault="00046D62" w:rsidP="001302AE">
      <w:pPr>
        <w:spacing w:after="0"/>
        <w:ind w:firstLine="720"/>
        <w:jc w:val="both"/>
        <w:rPr>
          <w:rFonts w:cs="Times New Roman"/>
          <w:b/>
          <w:bCs/>
          <w:sz w:val="24"/>
          <w:szCs w:val="24"/>
          <w:lang w:val="en-US"/>
        </w:rPr>
      </w:pPr>
    </w:p>
    <w:p w14:paraId="1D881E2C" w14:textId="77777777" w:rsidR="00D919B0" w:rsidRDefault="00D919B0" w:rsidP="001302AE">
      <w:pPr>
        <w:spacing w:after="0"/>
        <w:ind w:firstLine="720"/>
        <w:jc w:val="both"/>
        <w:rPr>
          <w:rFonts w:cs="Times New Roman"/>
          <w:b/>
          <w:bCs/>
          <w:sz w:val="24"/>
          <w:szCs w:val="24"/>
          <w:lang w:val="en-US"/>
        </w:rPr>
      </w:pPr>
    </w:p>
    <w:p w14:paraId="61D1C4CD" w14:textId="77777777" w:rsidR="00D919B0" w:rsidRDefault="00D919B0" w:rsidP="001302AE">
      <w:pPr>
        <w:spacing w:after="0"/>
        <w:ind w:firstLine="720"/>
        <w:jc w:val="both"/>
        <w:rPr>
          <w:rFonts w:cs="Times New Roman"/>
          <w:b/>
          <w:bCs/>
          <w:sz w:val="24"/>
          <w:szCs w:val="24"/>
          <w:lang w:val="en-US"/>
        </w:rPr>
      </w:pPr>
    </w:p>
    <w:p w14:paraId="59DD12C6" w14:textId="77777777" w:rsidR="00D919B0" w:rsidRDefault="00D919B0" w:rsidP="001302AE">
      <w:pPr>
        <w:spacing w:after="0"/>
        <w:ind w:firstLine="720"/>
        <w:jc w:val="both"/>
        <w:rPr>
          <w:rFonts w:cs="Times New Roman"/>
          <w:b/>
          <w:bCs/>
          <w:sz w:val="24"/>
          <w:szCs w:val="24"/>
          <w:lang w:val="en-US"/>
        </w:rPr>
      </w:pPr>
    </w:p>
    <w:p w14:paraId="0056BAC8" w14:textId="77777777" w:rsidR="00D919B0" w:rsidRDefault="00D919B0" w:rsidP="001302AE">
      <w:pPr>
        <w:spacing w:after="0"/>
        <w:ind w:firstLine="720"/>
        <w:jc w:val="both"/>
        <w:rPr>
          <w:rFonts w:cs="Times New Roman"/>
          <w:b/>
          <w:bCs/>
          <w:sz w:val="24"/>
          <w:szCs w:val="24"/>
          <w:lang w:val="en-US"/>
        </w:rPr>
      </w:pPr>
    </w:p>
    <w:p w14:paraId="5E036CDD" w14:textId="77777777" w:rsidR="00D919B0" w:rsidRDefault="00D919B0" w:rsidP="001302AE">
      <w:pPr>
        <w:spacing w:after="0"/>
        <w:ind w:firstLine="720"/>
        <w:jc w:val="both"/>
        <w:rPr>
          <w:rFonts w:cs="Times New Roman"/>
          <w:b/>
          <w:bCs/>
          <w:sz w:val="24"/>
          <w:szCs w:val="24"/>
          <w:lang w:val="en-US"/>
        </w:rPr>
      </w:pPr>
    </w:p>
    <w:p w14:paraId="3AD45445" w14:textId="77777777" w:rsidR="00D919B0" w:rsidRDefault="00D919B0" w:rsidP="001302AE">
      <w:pPr>
        <w:spacing w:after="0"/>
        <w:ind w:firstLine="720"/>
        <w:jc w:val="both"/>
        <w:rPr>
          <w:rFonts w:cs="Times New Roman"/>
          <w:b/>
          <w:bCs/>
          <w:sz w:val="24"/>
          <w:szCs w:val="24"/>
          <w:lang w:val="en-US"/>
        </w:rPr>
      </w:pPr>
    </w:p>
    <w:p w14:paraId="7FE0D7B2" w14:textId="77777777" w:rsidR="00D919B0" w:rsidRDefault="00D919B0" w:rsidP="001302AE">
      <w:pPr>
        <w:spacing w:after="0"/>
        <w:ind w:firstLine="720"/>
        <w:jc w:val="both"/>
        <w:rPr>
          <w:rFonts w:cs="Times New Roman"/>
          <w:b/>
          <w:bCs/>
          <w:sz w:val="24"/>
          <w:szCs w:val="24"/>
          <w:lang w:val="en-US"/>
        </w:rPr>
      </w:pPr>
    </w:p>
    <w:p w14:paraId="29A2F592" w14:textId="77777777" w:rsidR="00D919B0" w:rsidRDefault="00D919B0" w:rsidP="001302AE">
      <w:pPr>
        <w:spacing w:after="0"/>
        <w:ind w:firstLine="720"/>
        <w:jc w:val="both"/>
        <w:rPr>
          <w:rFonts w:cs="Times New Roman"/>
          <w:b/>
          <w:bCs/>
          <w:sz w:val="24"/>
          <w:szCs w:val="24"/>
          <w:lang w:val="en-US"/>
        </w:rPr>
      </w:pPr>
    </w:p>
    <w:p w14:paraId="68D3FD10" w14:textId="77777777" w:rsidR="00D919B0" w:rsidRPr="00046D62" w:rsidRDefault="00D919B0" w:rsidP="001302AE">
      <w:pPr>
        <w:spacing w:after="0"/>
        <w:ind w:firstLine="720"/>
        <w:jc w:val="both"/>
        <w:rPr>
          <w:rFonts w:cs="Times New Roman"/>
          <w:b/>
          <w:bCs/>
          <w:sz w:val="24"/>
          <w:szCs w:val="24"/>
          <w:lang w:val="en-US"/>
        </w:rPr>
      </w:pPr>
    </w:p>
    <w:p w14:paraId="402104BC" w14:textId="067797F5" w:rsidR="00C909E5" w:rsidRDefault="001F5E7D" w:rsidP="002F463D">
      <w:pPr>
        <w:spacing w:after="0"/>
        <w:jc w:val="both"/>
        <w:rPr>
          <w:rFonts w:cs="Times New Roman"/>
          <w:b/>
          <w:bCs/>
          <w:sz w:val="24"/>
          <w:szCs w:val="24"/>
          <w:lang w:val="en-US"/>
        </w:rPr>
      </w:pPr>
      <w:r>
        <w:rPr>
          <w:rFonts w:cs="Times New Roman"/>
          <w:b/>
          <w:bCs/>
          <w:sz w:val="24"/>
          <w:szCs w:val="24"/>
          <w:lang w:val="en-US"/>
        </w:rPr>
        <w:t xml:space="preserve">                     Figure 3</w:t>
      </w:r>
    </w:p>
    <w:p w14:paraId="4107E8AA" w14:textId="11FBEDA2" w:rsidR="00B02B0C" w:rsidRPr="00173B0D" w:rsidRDefault="00E81BDA" w:rsidP="00BD329B">
      <w:pPr>
        <w:spacing w:after="0"/>
        <w:ind w:firstLine="270"/>
        <w:jc w:val="both"/>
        <w:rPr>
          <w:rFonts w:cs="Times New Roman"/>
          <w:sz w:val="24"/>
          <w:szCs w:val="24"/>
          <w:lang w:val="en-US"/>
        </w:rPr>
      </w:pPr>
      <w:r>
        <w:rPr>
          <w:rFonts w:cs="Times New Roman"/>
          <w:sz w:val="24"/>
          <w:szCs w:val="24"/>
          <w:lang w:val="en-US"/>
        </w:rPr>
        <w:t xml:space="preserve">The </w:t>
      </w:r>
      <w:r w:rsidR="00D919B0">
        <w:rPr>
          <w:rFonts w:cs="Times New Roman"/>
          <w:sz w:val="24"/>
          <w:szCs w:val="24"/>
          <w:lang w:val="en-US"/>
        </w:rPr>
        <w:t xml:space="preserve">total number of childcare spaces for all age groups have been examined from the position of participation in the fee subsidy program and </w:t>
      </w:r>
      <w:r w:rsidR="00D919B0" w:rsidRPr="00474E51">
        <w:rPr>
          <w:rFonts w:cs="Times New Roman"/>
          <w:sz w:val="24"/>
          <w:szCs w:val="24"/>
          <w:lang w:val="en-US"/>
        </w:rPr>
        <w:t>Canada-Wide Early Learning &amp; Childcare</w:t>
      </w:r>
      <w:r w:rsidR="00D919B0">
        <w:rPr>
          <w:rFonts w:cs="Times New Roman"/>
          <w:sz w:val="24"/>
          <w:szCs w:val="24"/>
          <w:lang w:val="en-US"/>
        </w:rPr>
        <w:t xml:space="preserve"> (CWEL</w:t>
      </w:r>
      <w:r w:rsidR="004566DC">
        <w:rPr>
          <w:rFonts w:cs="Times New Roman"/>
          <w:sz w:val="24"/>
          <w:szCs w:val="24"/>
          <w:lang w:val="en-US"/>
        </w:rPr>
        <w:t>CC</w:t>
      </w:r>
      <w:r w:rsidR="00D919B0">
        <w:rPr>
          <w:rFonts w:cs="Times New Roman"/>
          <w:sz w:val="24"/>
          <w:szCs w:val="24"/>
          <w:lang w:val="en-US"/>
        </w:rPr>
        <w:t xml:space="preserve">). Both programs help families with the cost of licensed </w:t>
      </w:r>
      <w:r w:rsidR="00173B0D">
        <w:rPr>
          <w:rFonts w:cs="Times New Roman"/>
          <w:sz w:val="24"/>
          <w:szCs w:val="24"/>
          <w:lang w:val="en-US"/>
        </w:rPr>
        <w:t>childcare</w:t>
      </w:r>
      <w:r w:rsidR="00D919B0">
        <w:rPr>
          <w:rFonts w:cs="Times New Roman"/>
          <w:sz w:val="24"/>
          <w:szCs w:val="24"/>
          <w:lang w:val="en-US"/>
        </w:rPr>
        <w:t xml:space="preserve"> programs. </w:t>
      </w:r>
      <w:proofErr w:type="gramStart"/>
      <w:r w:rsidR="00173B0D">
        <w:rPr>
          <w:rFonts w:cs="Times New Roman"/>
          <w:sz w:val="24"/>
          <w:szCs w:val="24"/>
          <w:lang w:val="en-US"/>
        </w:rPr>
        <w:t>The majority</w:t>
      </w:r>
      <w:r w:rsidR="00D919B0">
        <w:rPr>
          <w:rFonts w:cs="Times New Roman"/>
          <w:sz w:val="24"/>
          <w:szCs w:val="24"/>
          <w:lang w:val="en-US"/>
        </w:rPr>
        <w:t xml:space="preserve"> of</w:t>
      </w:r>
      <w:proofErr w:type="gramEnd"/>
      <w:r w:rsidR="00D919B0">
        <w:rPr>
          <w:rFonts w:cs="Times New Roman"/>
          <w:sz w:val="24"/>
          <w:szCs w:val="24"/>
          <w:lang w:val="en-US"/>
        </w:rPr>
        <w:t xml:space="preserve"> the </w:t>
      </w:r>
      <w:r w:rsidR="00173B0D">
        <w:rPr>
          <w:rFonts w:cs="Times New Roman"/>
          <w:sz w:val="24"/>
          <w:szCs w:val="24"/>
          <w:lang w:val="en-US"/>
        </w:rPr>
        <w:t xml:space="preserve">total spaces are </w:t>
      </w:r>
      <w:r w:rsidR="00E43082">
        <w:rPr>
          <w:rFonts w:cs="Times New Roman"/>
          <w:sz w:val="24"/>
          <w:szCs w:val="24"/>
          <w:lang w:val="en-US"/>
        </w:rPr>
        <w:t>available</w:t>
      </w:r>
      <w:r w:rsidR="00173B0D">
        <w:rPr>
          <w:rFonts w:cs="Times New Roman"/>
          <w:sz w:val="24"/>
          <w:szCs w:val="24"/>
          <w:lang w:val="en-US"/>
        </w:rPr>
        <w:t xml:space="preserve"> for both programs with only </w:t>
      </w:r>
      <w:r>
        <w:rPr>
          <w:rFonts w:cs="Times New Roman"/>
          <w:sz w:val="24"/>
          <w:szCs w:val="24"/>
          <w:lang w:val="en-US"/>
        </w:rPr>
        <w:t>a few</w:t>
      </w:r>
      <w:r w:rsidR="00173B0D">
        <w:rPr>
          <w:rFonts w:cs="Times New Roman"/>
          <w:sz w:val="24"/>
          <w:szCs w:val="24"/>
          <w:lang w:val="en-US"/>
        </w:rPr>
        <w:t xml:space="preserve"> not participating in the CWELCC</w:t>
      </w:r>
      <w:r w:rsidR="004566DC">
        <w:rPr>
          <w:rFonts w:cs="Times New Roman"/>
          <w:sz w:val="24"/>
          <w:szCs w:val="24"/>
          <w:lang w:val="en-US"/>
        </w:rPr>
        <w:t xml:space="preserve"> (Figure 4, 5)</w:t>
      </w:r>
      <w:r w:rsidR="00173B0D">
        <w:rPr>
          <w:rFonts w:cs="Times New Roman"/>
          <w:sz w:val="24"/>
          <w:szCs w:val="24"/>
          <w:lang w:val="en-US"/>
        </w:rPr>
        <w:t xml:space="preserve">. These variables have been selected to examine </w:t>
      </w:r>
      <w:proofErr w:type="gramStart"/>
      <w:r w:rsidR="00173B0D">
        <w:rPr>
          <w:rFonts w:cs="Times New Roman"/>
          <w:sz w:val="24"/>
          <w:szCs w:val="24"/>
          <w:lang w:val="en-US"/>
        </w:rPr>
        <w:t>joint</w:t>
      </w:r>
      <w:proofErr w:type="gramEnd"/>
      <w:r w:rsidR="00173B0D">
        <w:rPr>
          <w:rFonts w:cs="Times New Roman"/>
          <w:sz w:val="24"/>
          <w:szCs w:val="24"/>
          <w:lang w:val="en-US"/>
        </w:rPr>
        <w:t xml:space="preserve"> </w:t>
      </w:r>
      <w:r w:rsidR="00E43082">
        <w:rPr>
          <w:rFonts w:cs="Times New Roman"/>
          <w:sz w:val="24"/>
          <w:szCs w:val="24"/>
          <w:lang w:val="en-US"/>
        </w:rPr>
        <w:t>effect</w:t>
      </w:r>
      <w:r w:rsidR="00173B0D">
        <w:rPr>
          <w:rFonts w:cs="Times New Roman"/>
          <w:sz w:val="24"/>
          <w:szCs w:val="24"/>
          <w:lang w:val="en-US"/>
        </w:rPr>
        <w:t xml:space="preserve"> of the programs on the total childcare spaces.</w:t>
      </w:r>
    </w:p>
    <w:p w14:paraId="10398193" w14:textId="68D2150B" w:rsidR="00046D62" w:rsidRDefault="004727A7" w:rsidP="001302AE">
      <w:pPr>
        <w:spacing w:after="0"/>
        <w:ind w:firstLine="720"/>
        <w:jc w:val="both"/>
        <w:rPr>
          <w:rFonts w:cs="Times New Roman"/>
          <w:b/>
          <w:bCs/>
          <w:sz w:val="24"/>
          <w:szCs w:val="24"/>
          <w:lang w:val="en-US"/>
        </w:rPr>
      </w:pPr>
      <w:r>
        <w:rPr>
          <w:noProof/>
        </w:rPr>
        <w:lastRenderedPageBreak/>
        <w:drawing>
          <wp:anchor distT="0" distB="0" distL="114300" distR="114300" simplePos="0" relativeHeight="251665408" behindDoc="1" locked="0" layoutInCell="1" allowOverlap="1" wp14:anchorId="68139822" wp14:editId="0AB5CF4C">
            <wp:simplePos x="0" y="0"/>
            <wp:positionH relativeFrom="margin">
              <wp:posOffset>2846567</wp:posOffset>
            </wp:positionH>
            <wp:positionV relativeFrom="paragraph">
              <wp:posOffset>111</wp:posOffset>
            </wp:positionV>
            <wp:extent cx="3307743" cy="2480641"/>
            <wp:effectExtent l="0" t="0" r="6985" b="0"/>
            <wp:wrapTight wrapText="bothSides">
              <wp:wrapPolygon edited="0">
                <wp:start x="0" y="0"/>
                <wp:lineTo x="0" y="21401"/>
                <wp:lineTo x="21521" y="21401"/>
                <wp:lineTo x="21521" y="0"/>
                <wp:lineTo x="0" y="0"/>
              </wp:wrapPolygon>
            </wp:wrapTight>
            <wp:docPr id="1716584342" name="Picture 3" descr="A chart of a childcare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84342" name="Picture 3" descr="A chart of a childcare spac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0418" cy="24826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CE5B8DE" wp14:editId="395858E1">
            <wp:simplePos x="0" y="0"/>
            <wp:positionH relativeFrom="column">
              <wp:posOffset>-405544</wp:posOffset>
            </wp:positionH>
            <wp:positionV relativeFrom="paragraph">
              <wp:posOffset>0</wp:posOffset>
            </wp:positionV>
            <wp:extent cx="3356896" cy="2517858"/>
            <wp:effectExtent l="0" t="0" r="0" b="0"/>
            <wp:wrapTight wrapText="bothSides">
              <wp:wrapPolygon edited="0">
                <wp:start x="0" y="0"/>
                <wp:lineTo x="0" y="21409"/>
                <wp:lineTo x="21453" y="21409"/>
                <wp:lineTo x="21453" y="0"/>
                <wp:lineTo x="0" y="0"/>
              </wp:wrapPolygon>
            </wp:wrapTight>
            <wp:docPr id="1061381440" name="Picture 2" descr="A chart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81440" name="Picture 2" descr="A chart of blue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6896" cy="2517858"/>
                    </a:xfrm>
                    <a:prstGeom prst="rect">
                      <a:avLst/>
                    </a:prstGeom>
                    <a:noFill/>
                    <a:ln>
                      <a:noFill/>
                    </a:ln>
                  </pic:spPr>
                </pic:pic>
              </a:graphicData>
            </a:graphic>
          </wp:anchor>
        </w:drawing>
      </w:r>
      <w:r w:rsidR="001F5E7D">
        <w:rPr>
          <w:rFonts w:cs="Times New Roman"/>
          <w:b/>
          <w:bCs/>
          <w:sz w:val="24"/>
          <w:szCs w:val="24"/>
          <w:lang w:val="en-US"/>
        </w:rPr>
        <w:t>Figure 4                                                              Figure 5</w:t>
      </w:r>
    </w:p>
    <w:p w14:paraId="2CCF0018" w14:textId="77777777" w:rsidR="001F5E7D" w:rsidRPr="00046D62" w:rsidRDefault="001F5E7D" w:rsidP="001302AE">
      <w:pPr>
        <w:spacing w:after="0"/>
        <w:ind w:firstLine="720"/>
        <w:jc w:val="both"/>
        <w:rPr>
          <w:rFonts w:cs="Times New Roman"/>
          <w:b/>
          <w:bCs/>
          <w:sz w:val="24"/>
          <w:szCs w:val="24"/>
          <w:lang w:val="en-US"/>
        </w:rPr>
      </w:pPr>
    </w:p>
    <w:p w14:paraId="10137A4D" w14:textId="7196D1D5" w:rsidR="00046D62" w:rsidRDefault="00E43082" w:rsidP="00E43082">
      <w:pPr>
        <w:pStyle w:val="ListParagraph"/>
        <w:numPr>
          <w:ilvl w:val="0"/>
          <w:numId w:val="2"/>
        </w:numPr>
        <w:spacing w:after="0"/>
        <w:ind w:left="270"/>
        <w:jc w:val="both"/>
        <w:rPr>
          <w:b/>
          <w:bCs/>
          <w:lang w:val="en-US"/>
        </w:rPr>
      </w:pPr>
      <w:r w:rsidRPr="00E43082">
        <w:rPr>
          <w:b/>
          <w:bCs/>
          <w:lang w:val="en-US"/>
        </w:rPr>
        <w:t>Discussion</w:t>
      </w:r>
    </w:p>
    <w:p w14:paraId="71C28785" w14:textId="77777777" w:rsidR="00507299" w:rsidRPr="00E43082" w:rsidRDefault="00507299" w:rsidP="00507299">
      <w:pPr>
        <w:pStyle w:val="ListParagraph"/>
        <w:spacing w:after="0"/>
        <w:ind w:left="270"/>
        <w:jc w:val="both"/>
        <w:rPr>
          <w:b/>
          <w:bCs/>
          <w:lang w:val="en-US"/>
        </w:rPr>
      </w:pPr>
    </w:p>
    <w:p w14:paraId="43886EA2" w14:textId="575AB143" w:rsidR="001B64BF" w:rsidRDefault="001B64BF" w:rsidP="0074601E">
      <w:pPr>
        <w:pStyle w:val="ListParagraph"/>
        <w:numPr>
          <w:ilvl w:val="1"/>
          <w:numId w:val="2"/>
        </w:numPr>
        <w:spacing w:after="0"/>
        <w:jc w:val="both"/>
        <w:rPr>
          <w:rFonts w:cs="Times New Roman"/>
          <w:b/>
          <w:bCs/>
          <w:sz w:val="24"/>
          <w:szCs w:val="24"/>
          <w:lang w:val="en-US"/>
        </w:rPr>
      </w:pPr>
      <w:r w:rsidRPr="00046D62">
        <w:rPr>
          <w:rFonts w:cs="Times New Roman"/>
          <w:b/>
          <w:bCs/>
          <w:sz w:val="24"/>
          <w:szCs w:val="24"/>
          <w:lang w:val="en-US"/>
        </w:rPr>
        <w:t>Childcare spaces among operating agencies in Toronto</w:t>
      </w:r>
    </w:p>
    <w:p w14:paraId="536CEB51" w14:textId="77777777" w:rsidR="00507299" w:rsidRPr="00507299" w:rsidRDefault="00507299" w:rsidP="00507299">
      <w:pPr>
        <w:pStyle w:val="ListParagraph"/>
        <w:spacing w:after="0"/>
        <w:ind w:left="1080"/>
        <w:jc w:val="both"/>
        <w:rPr>
          <w:rFonts w:cs="Times New Roman"/>
          <w:b/>
          <w:bCs/>
          <w:sz w:val="24"/>
          <w:szCs w:val="24"/>
          <w:lang w:val="en-US"/>
        </w:rPr>
      </w:pPr>
    </w:p>
    <w:p w14:paraId="49B5CD1F" w14:textId="4ED5E37D" w:rsidR="001B64BF" w:rsidRPr="00046D62" w:rsidRDefault="001B64BF" w:rsidP="0074601E">
      <w:pPr>
        <w:spacing w:after="0"/>
        <w:jc w:val="both"/>
        <w:rPr>
          <w:rFonts w:cs="Times New Roman"/>
          <w:sz w:val="24"/>
          <w:szCs w:val="24"/>
          <w:lang w:val="en-US"/>
        </w:rPr>
      </w:pPr>
      <w:r w:rsidRPr="00046D62">
        <w:rPr>
          <w:rFonts w:cs="Times New Roman"/>
          <w:b/>
          <w:bCs/>
          <w:sz w:val="24"/>
          <w:szCs w:val="24"/>
          <w:lang w:val="en-US"/>
        </w:rPr>
        <w:t>Research question 1:</w:t>
      </w:r>
      <w:r w:rsidRPr="00046D62">
        <w:rPr>
          <w:rFonts w:cs="Times New Roman"/>
          <w:sz w:val="24"/>
          <w:szCs w:val="24"/>
          <w:lang w:val="en-US"/>
        </w:rPr>
        <w:t xml:space="preserve"> Is there a statistically significant difference in the total </w:t>
      </w:r>
      <w:r w:rsidR="00046D62" w:rsidRPr="00046D62">
        <w:rPr>
          <w:rFonts w:cs="Times New Roman"/>
          <w:sz w:val="24"/>
          <w:szCs w:val="24"/>
          <w:lang w:val="en-US"/>
        </w:rPr>
        <w:t>childcare</w:t>
      </w:r>
      <w:r w:rsidRPr="00046D62">
        <w:rPr>
          <w:rFonts w:cs="Times New Roman"/>
          <w:sz w:val="24"/>
          <w:szCs w:val="24"/>
          <w:lang w:val="en-US"/>
        </w:rPr>
        <w:t xml:space="preserve"> spaces among different operating agencies in Toronto, considering the challenges associated with high fees and low availability of </w:t>
      </w:r>
      <w:r w:rsidR="00D6461C" w:rsidRPr="00046D62">
        <w:rPr>
          <w:rFonts w:cs="Times New Roman"/>
          <w:sz w:val="24"/>
          <w:szCs w:val="24"/>
          <w:lang w:val="en-US"/>
        </w:rPr>
        <w:t>childcare</w:t>
      </w:r>
      <w:r w:rsidRPr="00046D62">
        <w:rPr>
          <w:rFonts w:cs="Times New Roman"/>
          <w:sz w:val="24"/>
          <w:szCs w:val="24"/>
          <w:lang w:val="en-US"/>
        </w:rPr>
        <w:t xml:space="preserve"> spaces?</w:t>
      </w:r>
    </w:p>
    <w:p w14:paraId="0ABD7390" w14:textId="125B45F2" w:rsidR="004208A5" w:rsidRDefault="00173B0D" w:rsidP="004208A5">
      <w:pPr>
        <w:spacing w:after="0"/>
        <w:ind w:firstLine="720"/>
        <w:jc w:val="both"/>
        <w:rPr>
          <w:rFonts w:cs="Times New Roman"/>
          <w:sz w:val="24"/>
          <w:szCs w:val="24"/>
          <w:lang w:val="en-US"/>
        </w:rPr>
      </w:pPr>
      <w:r>
        <w:rPr>
          <w:rFonts w:cs="Times New Roman"/>
          <w:sz w:val="24"/>
          <w:szCs w:val="24"/>
          <w:lang w:val="en-US"/>
        </w:rPr>
        <w:t xml:space="preserve">To respond to the </w:t>
      </w:r>
      <w:r w:rsidR="004208A5">
        <w:rPr>
          <w:rFonts w:cs="Times New Roman"/>
          <w:sz w:val="24"/>
          <w:szCs w:val="24"/>
          <w:lang w:val="en-US"/>
        </w:rPr>
        <w:t>research question</w:t>
      </w:r>
      <w:r>
        <w:rPr>
          <w:rFonts w:cs="Times New Roman"/>
          <w:sz w:val="24"/>
          <w:szCs w:val="24"/>
          <w:lang w:val="en-US"/>
        </w:rPr>
        <w:t xml:space="preserve">, </w:t>
      </w:r>
      <w:proofErr w:type="gramStart"/>
      <w:r>
        <w:rPr>
          <w:rFonts w:cs="Times New Roman"/>
          <w:sz w:val="24"/>
          <w:szCs w:val="24"/>
          <w:lang w:val="en-US"/>
        </w:rPr>
        <w:t>one</w:t>
      </w:r>
      <w:proofErr w:type="gramEnd"/>
      <w:r>
        <w:rPr>
          <w:rFonts w:cs="Times New Roman"/>
          <w:sz w:val="24"/>
          <w:szCs w:val="24"/>
          <w:lang w:val="en-US"/>
        </w:rPr>
        <w:t xml:space="preserve">-way ANOVA test has been employed </w:t>
      </w:r>
      <w:r w:rsidR="004208A5" w:rsidRPr="004208A5">
        <w:rPr>
          <w:rFonts w:cs="Times New Roman"/>
          <w:sz w:val="24"/>
          <w:szCs w:val="24"/>
          <w:lang w:val="en-US"/>
        </w:rPr>
        <w:t xml:space="preserve">as it allows for the examination of variations in means across different operating agencies. Additionally, log transformation was applied to the continuous variable </w:t>
      </w:r>
      <w:r w:rsidR="004208A5">
        <w:rPr>
          <w:rFonts w:cs="Times New Roman"/>
          <w:sz w:val="24"/>
          <w:szCs w:val="24"/>
          <w:lang w:val="en-US"/>
        </w:rPr>
        <w:t>`</w:t>
      </w:r>
      <w:r w:rsidR="004208A5" w:rsidRPr="004208A5">
        <w:rPr>
          <w:rFonts w:cs="Times New Roman"/>
          <w:sz w:val="24"/>
          <w:szCs w:val="24"/>
          <w:lang w:val="en-US"/>
        </w:rPr>
        <w:t>TOTSPACE</w:t>
      </w:r>
      <w:r w:rsidR="004208A5">
        <w:rPr>
          <w:rFonts w:cs="Times New Roman"/>
          <w:sz w:val="24"/>
          <w:szCs w:val="24"/>
          <w:lang w:val="en-US"/>
        </w:rPr>
        <w:t>`</w:t>
      </w:r>
      <w:r w:rsidR="004208A5" w:rsidRPr="004208A5">
        <w:rPr>
          <w:rFonts w:cs="Times New Roman"/>
          <w:sz w:val="24"/>
          <w:szCs w:val="24"/>
          <w:lang w:val="en-US"/>
        </w:rPr>
        <w:t xml:space="preserve"> to enhance the symmetry of the data distribution</w:t>
      </w:r>
      <w:r w:rsidR="004208A5">
        <w:rPr>
          <w:rFonts w:cs="Times New Roman"/>
          <w:sz w:val="24"/>
          <w:szCs w:val="24"/>
          <w:lang w:val="en-US"/>
        </w:rPr>
        <w:t xml:space="preserve"> and to ensure </w:t>
      </w:r>
      <w:r w:rsidR="004208A5" w:rsidRPr="004208A5">
        <w:rPr>
          <w:rFonts w:cs="Times New Roman"/>
          <w:sz w:val="24"/>
          <w:szCs w:val="24"/>
          <w:lang w:val="en-US"/>
        </w:rPr>
        <w:t>the robustness of the results.</w:t>
      </w:r>
    </w:p>
    <w:p w14:paraId="3A8C64D8" w14:textId="529705FE" w:rsidR="00173B0D" w:rsidRDefault="00A50E96" w:rsidP="009C732B">
      <w:pPr>
        <w:spacing w:after="0"/>
        <w:ind w:firstLine="720"/>
        <w:jc w:val="both"/>
        <w:rPr>
          <w:rFonts w:cs="Times New Roman"/>
          <w:sz w:val="24"/>
          <w:szCs w:val="24"/>
          <w:lang w:val="en-US"/>
        </w:rPr>
      </w:pPr>
      <w:r w:rsidRPr="00046D62">
        <w:rPr>
          <w:rFonts w:cs="Times New Roman"/>
          <w:sz w:val="24"/>
          <w:szCs w:val="24"/>
          <w:lang w:val="en-US"/>
        </w:rPr>
        <w:t xml:space="preserve">There is a statistically significant difference between in the total </w:t>
      </w:r>
      <w:r w:rsidR="00D6461C" w:rsidRPr="00046D62">
        <w:rPr>
          <w:rFonts w:cs="Times New Roman"/>
          <w:sz w:val="24"/>
          <w:szCs w:val="24"/>
          <w:lang w:val="en-US"/>
        </w:rPr>
        <w:t>childcare</w:t>
      </w:r>
      <w:r w:rsidRPr="00046D62">
        <w:rPr>
          <w:rFonts w:cs="Times New Roman"/>
          <w:sz w:val="24"/>
          <w:szCs w:val="24"/>
          <w:lang w:val="en-US"/>
        </w:rPr>
        <w:t xml:space="preserve"> spaces among commercial, non-</w:t>
      </w:r>
      <w:r w:rsidR="004208A5" w:rsidRPr="00046D62">
        <w:rPr>
          <w:rFonts w:cs="Times New Roman"/>
          <w:sz w:val="24"/>
          <w:szCs w:val="24"/>
          <w:lang w:val="en-US"/>
        </w:rPr>
        <w:t>profit</w:t>
      </w:r>
      <w:r w:rsidRPr="00046D62">
        <w:rPr>
          <w:rFonts w:cs="Times New Roman"/>
          <w:sz w:val="24"/>
          <w:szCs w:val="24"/>
          <w:lang w:val="en-US"/>
        </w:rPr>
        <w:t xml:space="preserve">, public agencies in </w:t>
      </w:r>
      <w:r w:rsidR="00046D62" w:rsidRPr="00046D62">
        <w:rPr>
          <w:rFonts w:cs="Times New Roman"/>
          <w:sz w:val="24"/>
          <w:szCs w:val="24"/>
          <w:lang w:val="en-US"/>
        </w:rPr>
        <w:t>Ontario, with</w:t>
      </w:r>
      <w:r w:rsidRPr="00046D62">
        <w:rPr>
          <w:rFonts w:cs="Times New Roman"/>
          <w:sz w:val="24"/>
          <w:szCs w:val="24"/>
          <w:lang w:val="en-US"/>
        </w:rPr>
        <w:t xml:space="preserve"> F=18.430433 and p=0.000000013</w:t>
      </w:r>
      <w:r w:rsidR="004566DC">
        <w:rPr>
          <w:rFonts w:cs="Times New Roman"/>
          <w:sz w:val="24"/>
          <w:szCs w:val="24"/>
          <w:lang w:val="en-US"/>
        </w:rPr>
        <w:t xml:space="preserve"> (Table 1).</w:t>
      </w:r>
    </w:p>
    <w:tbl>
      <w:tblPr>
        <w:tblStyle w:val="GridTable5Dark-Accent3"/>
        <w:tblW w:w="9175" w:type="dxa"/>
        <w:tblLook w:val="04A0" w:firstRow="1" w:lastRow="0" w:firstColumn="1" w:lastColumn="0" w:noHBand="0" w:noVBand="1"/>
      </w:tblPr>
      <w:tblGrid>
        <w:gridCol w:w="2017"/>
        <w:gridCol w:w="1113"/>
        <w:gridCol w:w="1709"/>
        <w:gridCol w:w="1421"/>
        <w:gridCol w:w="1225"/>
        <w:gridCol w:w="1690"/>
      </w:tblGrid>
      <w:tr w:rsidR="001638F7" w:rsidRPr="00474E51" w14:paraId="70A545A8" w14:textId="2CF4D462" w:rsidTr="001638F7">
        <w:trPr>
          <w:cnfStyle w:val="100000000000" w:firstRow="1" w:lastRow="0" w:firstColumn="0" w:lastColumn="0" w:oddVBand="0" w:evenVBand="0" w:oddHBand="0"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0" w:type="auto"/>
          </w:tcPr>
          <w:p w14:paraId="6C0C43E2" w14:textId="00DED9D6" w:rsidR="00474E51" w:rsidRPr="00E81BDA" w:rsidRDefault="00474E51" w:rsidP="00474E51">
            <w:pPr>
              <w:jc w:val="right"/>
              <w:rPr>
                <w:rFonts w:eastAsia="Times New Roman" w:cs="Times New Roman"/>
                <w:sz w:val="22"/>
                <w:lang w:val="en-US"/>
              </w:rPr>
            </w:pPr>
          </w:p>
        </w:tc>
        <w:tc>
          <w:tcPr>
            <w:tcW w:w="0" w:type="auto"/>
          </w:tcPr>
          <w:p w14:paraId="2D952C8B" w14:textId="5E453304" w:rsidR="00474E51" w:rsidRPr="00E81BDA" w:rsidRDefault="00474E51" w:rsidP="00474E51">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proofErr w:type="spellStart"/>
            <w:r w:rsidRPr="00E81BDA">
              <w:rPr>
                <w:rFonts w:eastAsia="Times New Roman" w:cs="Times New Roman"/>
                <w:sz w:val="22"/>
                <w:lang w:val="en-US"/>
              </w:rPr>
              <w:t>df</w:t>
            </w:r>
            <w:proofErr w:type="spellEnd"/>
          </w:p>
        </w:tc>
        <w:tc>
          <w:tcPr>
            <w:tcW w:w="0" w:type="auto"/>
          </w:tcPr>
          <w:p w14:paraId="4EDA8937" w14:textId="332A91E9" w:rsidR="00474E51" w:rsidRPr="00E81BDA" w:rsidRDefault="00474E51" w:rsidP="00474E51">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proofErr w:type="spellStart"/>
            <w:r w:rsidRPr="00E81BDA">
              <w:rPr>
                <w:rFonts w:eastAsia="Times New Roman" w:cs="Times New Roman"/>
                <w:sz w:val="22"/>
                <w:lang w:val="en-US"/>
              </w:rPr>
              <w:t>sum_sq</w:t>
            </w:r>
            <w:proofErr w:type="spellEnd"/>
          </w:p>
        </w:tc>
        <w:tc>
          <w:tcPr>
            <w:tcW w:w="0" w:type="auto"/>
          </w:tcPr>
          <w:p w14:paraId="30CEF014" w14:textId="032C68CC" w:rsidR="00474E51" w:rsidRPr="00E81BDA" w:rsidRDefault="00474E51" w:rsidP="00474E51">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proofErr w:type="spellStart"/>
            <w:r w:rsidRPr="00E81BDA">
              <w:rPr>
                <w:rFonts w:eastAsia="Times New Roman" w:cs="Times New Roman"/>
                <w:sz w:val="22"/>
                <w:lang w:val="en-US"/>
              </w:rPr>
              <w:t>mean_sq</w:t>
            </w:r>
            <w:proofErr w:type="spellEnd"/>
          </w:p>
        </w:tc>
        <w:tc>
          <w:tcPr>
            <w:tcW w:w="1225" w:type="dxa"/>
          </w:tcPr>
          <w:p w14:paraId="0DDCF4BA" w14:textId="59BD02B8" w:rsidR="00474E51" w:rsidRPr="00E81BDA" w:rsidRDefault="00474E51" w:rsidP="00474E51">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F</w:t>
            </w:r>
          </w:p>
        </w:tc>
        <w:tc>
          <w:tcPr>
            <w:tcW w:w="1690" w:type="dxa"/>
          </w:tcPr>
          <w:p w14:paraId="47848041" w14:textId="431E37EB" w:rsidR="00474E51" w:rsidRPr="00E81BDA" w:rsidRDefault="00474E51" w:rsidP="00474E51">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2"/>
                <w:lang w:val="en-US"/>
              </w:rPr>
            </w:pPr>
            <w:r w:rsidRPr="00E81BDA">
              <w:rPr>
                <w:rFonts w:eastAsia="Times New Roman" w:cs="Times New Roman"/>
                <w:sz w:val="22"/>
                <w:lang w:val="en-US"/>
              </w:rPr>
              <w:t>PR(&gt;F)</w:t>
            </w:r>
          </w:p>
        </w:tc>
      </w:tr>
      <w:tr w:rsidR="001638F7" w:rsidRPr="00474E51" w14:paraId="7AD1604C" w14:textId="77777777" w:rsidTr="001638F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0F6E1FD1" w14:textId="77777777" w:rsidR="00474E51" w:rsidRPr="00E81BDA" w:rsidRDefault="00474E51" w:rsidP="00474E51">
            <w:pPr>
              <w:jc w:val="center"/>
              <w:rPr>
                <w:rFonts w:eastAsia="Times New Roman" w:cs="Times New Roman"/>
                <w:sz w:val="22"/>
                <w:lang w:val="en-US"/>
              </w:rPr>
            </w:pPr>
            <w:r w:rsidRPr="00E81BDA">
              <w:rPr>
                <w:rFonts w:eastAsia="Times New Roman" w:cs="Times New Roman"/>
                <w:sz w:val="22"/>
                <w:lang w:val="en-US"/>
              </w:rPr>
              <w:t>C(AUSPICE)</w:t>
            </w:r>
          </w:p>
        </w:tc>
        <w:tc>
          <w:tcPr>
            <w:tcW w:w="0" w:type="auto"/>
            <w:hideMark/>
          </w:tcPr>
          <w:p w14:paraId="0EC74A0E" w14:textId="77777777" w:rsidR="00474E51" w:rsidRPr="00E81BDA" w:rsidRDefault="00474E51" w:rsidP="00474E5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2.0</w:t>
            </w:r>
          </w:p>
        </w:tc>
        <w:tc>
          <w:tcPr>
            <w:tcW w:w="0" w:type="auto"/>
            <w:hideMark/>
          </w:tcPr>
          <w:p w14:paraId="0E70A63F" w14:textId="77777777" w:rsidR="00474E51" w:rsidRPr="00E81BDA" w:rsidRDefault="00474E51" w:rsidP="00474E5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14.143756</w:t>
            </w:r>
          </w:p>
        </w:tc>
        <w:tc>
          <w:tcPr>
            <w:tcW w:w="0" w:type="auto"/>
            <w:hideMark/>
          </w:tcPr>
          <w:p w14:paraId="12A68A58" w14:textId="77777777" w:rsidR="00474E51" w:rsidRPr="00E81BDA" w:rsidRDefault="00474E51" w:rsidP="00474E5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7.071878</w:t>
            </w:r>
          </w:p>
        </w:tc>
        <w:tc>
          <w:tcPr>
            <w:tcW w:w="1225" w:type="dxa"/>
            <w:hideMark/>
          </w:tcPr>
          <w:p w14:paraId="1A160213" w14:textId="77777777" w:rsidR="00474E51" w:rsidRPr="00E81BDA" w:rsidRDefault="00474E51" w:rsidP="00474E51">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18.430433</w:t>
            </w:r>
          </w:p>
        </w:tc>
        <w:tc>
          <w:tcPr>
            <w:tcW w:w="1690" w:type="dxa"/>
          </w:tcPr>
          <w:p w14:paraId="453A3AD7" w14:textId="53DAFD88" w:rsidR="00474E51" w:rsidRPr="00E81BDA" w:rsidRDefault="00474E51" w:rsidP="00474E51">
            <w:pPr>
              <w:ind w:left="-268"/>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1.354538e-08</w:t>
            </w:r>
          </w:p>
        </w:tc>
      </w:tr>
      <w:tr w:rsidR="001638F7" w:rsidRPr="00474E51" w14:paraId="2C43FEDB" w14:textId="77777777" w:rsidTr="001638F7">
        <w:trPr>
          <w:trHeight w:val="221"/>
        </w:trPr>
        <w:tc>
          <w:tcPr>
            <w:cnfStyle w:val="001000000000" w:firstRow="0" w:lastRow="0" w:firstColumn="1" w:lastColumn="0" w:oddVBand="0" w:evenVBand="0" w:oddHBand="0" w:evenHBand="0" w:firstRowFirstColumn="0" w:firstRowLastColumn="0" w:lastRowFirstColumn="0" w:lastRowLastColumn="0"/>
            <w:tcW w:w="0" w:type="auto"/>
            <w:hideMark/>
          </w:tcPr>
          <w:p w14:paraId="4D684DB4" w14:textId="77777777" w:rsidR="00474E51" w:rsidRPr="00E81BDA" w:rsidRDefault="00474E51" w:rsidP="00474E51">
            <w:pPr>
              <w:jc w:val="center"/>
              <w:rPr>
                <w:rFonts w:eastAsia="Times New Roman" w:cs="Times New Roman"/>
                <w:sz w:val="22"/>
                <w:lang w:val="en-US"/>
              </w:rPr>
            </w:pPr>
            <w:r w:rsidRPr="00E81BDA">
              <w:rPr>
                <w:rFonts w:eastAsia="Times New Roman" w:cs="Times New Roman"/>
                <w:sz w:val="22"/>
                <w:lang w:val="en-US"/>
              </w:rPr>
              <w:t>Residual</w:t>
            </w:r>
          </w:p>
        </w:tc>
        <w:tc>
          <w:tcPr>
            <w:tcW w:w="0" w:type="auto"/>
            <w:hideMark/>
          </w:tcPr>
          <w:p w14:paraId="3579C33D" w14:textId="77777777" w:rsidR="00474E51" w:rsidRPr="00E81BDA" w:rsidRDefault="00474E51" w:rsidP="00474E5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1060.0</w:t>
            </w:r>
          </w:p>
        </w:tc>
        <w:tc>
          <w:tcPr>
            <w:tcW w:w="0" w:type="auto"/>
            <w:hideMark/>
          </w:tcPr>
          <w:p w14:paraId="1B43D4A1" w14:textId="77777777" w:rsidR="00474E51" w:rsidRPr="00E81BDA" w:rsidRDefault="00474E51" w:rsidP="00474E5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406.728946</w:t>
            </w:r>
          </w:p>
        </w:tc>
        <w:tc>
          <w:tcPr>
            <w:tcW w:w="0" w:type="auto"/>
            <w:hideMark/>
          </w:tcPr>
          <w:p w14:paraId="1440D352" w14:textId="77777777" w:rsidR="00474E51" w:rsidRPr="00E81BDA" w:rsidRDefault="00474E51" w:rsidP="00474E5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0.383707</w:t>
            </w:r>
          </w:p>
        </w:tc>
        <w:tc>
          <w:tcPr>
            <w:tcW w:w="1225" w:type="dxa"/>
            <w:hideMark/>
          </w:tcPr>
          <w:p w14:paraId="15F7B86C" w14:textId="77777777" w:rsidR="00474E51" w:rsidRPr="00E81BDA" w:rsidRDefault="00474E51" w:rsidP="00474E5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proofErr w:type="spellStart"/>
            <w:r w:rsidRPr="00E81BDA">
              <w:rPr>
                <w:rFonts w:eastAsia="Times New Roman" w:cs="Times New Roman"/>
                <w:sz w:val="22"/>
                <w:lang w:val="en-US"/>
              </w:rPr>
              <w:t>NaN</w:t>
            </w:r>
            <w:proofErr w:type="spellEnd"/>
          </w:p>
        </w:tc>
        <w:tc>
          <w:tcPr>
            <w:tcW w:w="1690" w:type="dxa"/>
          </w:tcPr>
          <w:p w14:paraId="48802E02" w14:textId="133D2958" w:rsidR="00474E51" w:rsidRPr="00E81BDA" w:rsidRDefault="00474E51" w:rsidP="00474E5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proofErr w:type="spellStart"/>
            <w:r w:rsidRPr="00E81BDA">
              <w:rPr>
                <w:rFonts w:eastAsia="Times New Roman" w:cs="Times New Roman"/>
                <w:sz w:val="22"/>
                <w:lang w:val="en-US"/>
              </w:rPr>
              <w:t>NaN</w:t>
            </w:r>
            <w:proofErr w:type="spellEnd"/>
          </w:p>
        </w:tc>
      </w:tr>
    </w:tbl>
    <w:p w14:paraId="6943B71F" w14:textId="45E33120" w:rsidR="00173B0D" w:rsidRPr="001F5E7D" w:rsidRDefault="001F5E7D" w:rsidP="001F5E7D">
      <w:pPr>
        <w:spacing w:after="0"/>
        <w:jc w:val="both"/>
        <w:rPr>
          <w:rFonts w:cs="Times New Roman"/>
          <w:b/>
          <w:bCs/>
          <w:sz w:val="24"/>
          <w:szCs w:val="24"/>
          <w:lang w:val="en-US"/>
        </w:rPr>
      </w:pPr>
      <w:r w:rsidRPr="001F5E7D">
        <w:rPr>
          <w:rFonts w:cs="Times New Roman"/>
          <w:b/>
          <w:bCs/>
          <w:sz w:val="24"/>
          <w:szCs w:val="24"/>
          <w:lang w:val="en-US"/>
        </w:rPr>
        <w:t>Table 1</w:t>
      </w:r>
    </w:p>
    <w:p w14:paraId="6C795BBC" w14:textId="66D170CA" w:rsidR="004208A5" w:rsidRPr="004208A5" w:rsidRDefault="00A50E96" w:rsidP="004208A5">
      <w:pPr>
        <w:spacing w:after="0"/>
        <w:ind w:firstLine="720"/>
        <w:jc w:val="both"/>
        <w:rPr>
          <w:rFonts w:cs="Times New Roman"/>
          <w:sz w:val="24"/>
          <w:szCs w:val="24"/>
          <w:lang w:val="en-US"/>
        </w:rPr>
      </w:pPr>
      <w:r w:rsidRPr="00046D62">
        <w:rPr>
          <w:rFonts w:cs="Times New Roman"/>
          <w:sz w:val="24"/>
          <w:szCs w:val="24"/>
          <w:lang w:val="en-US"/>
        </w:rPr>
        <w:t xml:space="preserve">We reject the null hypothesis and conclude </w:t>
      </w:r>
      <w:r w:rsidR="00E81BDA">
        <w:rPr>
          <w:rFonts w:cs="Times New Roman"/>
          <w:sz w:val="24"/>
          <w:szCs w:val="24"/>
          <w:lang w:val="en-US"/>
        </w:rPr>
        <w:t xml:space="preserve">that </w:t>
      </w:r>
      <w:r w:rsidRPr="00046D62">
        <w:rPr>
          <w:rFonts w:cs="Times New Roman"/>
          <w:sz w:val="24"/>
          <w:szCs w:val="24"/>
          <w:lang w:val="en-US"/>
        </w:rPr>
        <w:t xml:space="preserve">at least one operating </w:t>
      </w:r>
      <w:r w:rsidR="00E81BDA">
        <w:rPr>
          <w:rFonts w:cs="Times New Roman"/>
          <w:sz w:val="24"/>
          <w:szCs w:val="24"/>
          <w:lang w:val="en-US"/>
        </w:rPr>
        <w:t>auspice</w:t>
      </w:r>
      <w:r w:rsidRPr="00046D62">
        <w:rPr>
          <w:rFonts w:cs="Times New Roman"/>
          <w:sz w:val="24"/>
          <w:szCs w:val="24"/>
          <w:lang w:val="en-US"/>
        </w:rPr>
        <w:t xml:space="preserve"> has a </w:t>
      </w:r>
      <w:r w:rsidR="004208A5" w:rsidRPr="00046D62">
        <w:rPr>
          <w:rFonts w:cs="Times New Roman"/>
          <w:sz w:val="24"/>
          <w:szCs w:val="24"/>
          <w:lang w:val="en-US"/>
        </w:rPr>
        <w:t>different mean total childcare space</w:t>
      </w:r>
      <w:r w:rsidRPr="00046D62">
        <w:rPr>
          <w:rFonts w:cs="Times New Roman"/>
          <w:sz w:val="24"/>
          <w:szCs w:val="24"/>
          <w:lang w:val="en-US"/>
        </w:rPr>
        <w:t xml:space="preserve"> compared to the others.</w:t>
      </w:r>
    </w:p>
    <w:p w14:paraId="17863751" w14:textId="1F33DAEC" w:rsidR="001638F7" w:rsidRDefault="004208A5" w:rsidP="009C732B">
      <w:pPr>
        <w:spacing w:after="0"/>
        <w:ind w:firstLine="720"/>
        <w:jc w:val="both"/>
        <w:rPr>
          <w:rFonts w:cs="Times New Roman"/>
          <w:sz w:val="24"/>
          <w:szCs w:val="24"/>
          <w:lang w:val="en-US"/>
        </w:rPr>
      </w:pPr>
      <w:r w:rsidRPr="004208A5">
        <w:rPr>
          <w:rFonts w:cs="Times New Roman"/>
          <w:sz w:val="24"/>
          <w:szCs w:val="24"/>
          <w:lang w:val="en-US"/>
        </w:rPr>
        <w:t xml:space="preserve">The post-hoc test has been employed to conduct pairwise comparisons between different pairs of operating agencies and identify specific group differences in mean total childcare spaces. In the presented findings, </w:t>
      </w:r>
      <w:r w:rsidR="00E81BDA" w:rsidRPr="004208A5">
        <w:rPr>
          <w:rFonts w:cs="Times New Roman"/>
          <w:sz w:val="24"/>
          <w:szCs w:val="24"/>
          <w:lang w:val="en-US"/>
        </w:rPr>
        <w:t>the post-hoc analysis focused on comparing non-profit agencies with both commercial agencies and public agencies</w:t>
      </w:r>
      <w:r w:rsidR="00E81BDA">
        <w:rPr>
          <w:rFonts w:cs="Times New Roman"/>
          <w:sz w:val="24"/>
          <w:szCs w:val="24"/>
          <w:lang w:val="en-US"/>
        </w:rPr>
        <w:t xml:space="preserve">. </w:t>
      </w:r>
      <w:r w:rsidR="0023297F">
        <w:rPr>
          <w:rFonts w:cs="Times New Roman"/>
          <w:sz w:val="24"/>
          <w:szCs w:val="24"/>
          <w:lang w:val="en-US"/>
        </w:rPr>
        <w:t>First, t</w:t>
      </w:r>
      <w:r w:rsidR="00A50E96" w:rsidRPr="00046D62">
        <w:rPr>
          <w:rFonts w:cs="Times New Roman"/>
          <w:sz w:val="24"/>
          <w:szCs w:val="24"/>
          <w:lang w:val="en-US"/>
        </w:rPr>
        <w:t xml:space="preserve">he post-hoc test indicates statistically significant differences in mean total </w:t>
      </w:r>
      <w:r w:rsidR="00046D62" w:rsidRPr="00046D62">
        <w:rPr>
          <w:rFonts w:cs="Times New Roman"/>
          <w:sz w:val="24"/>
          <w:szCs w:val="24"/>
          <w:lang w:val="en-US"/>
        </w:rPr>
        <w:t>childcare</w:t>
      </w:r>
      <w:r w:rsidR="00A50E96" w:rsidRPr="00046D62">
        <w:rPr>
          <w:rFonts w:cs="Times New Roman"/>
          <w:sz w:val="24"/>
          <w:szCs w:val="24"/>
          <w:lang w:val="en-US"/>
        </w:rPr>
        <w:t xml:space="preserve"> spaces </w:t>
      </w:r>
      <w:r w:rsidR="00046D62" w:rsidRPr="00046D62">
        <w:rPr>
          <w:rFonts w:cs="Times New Roman"/>
          <w:sz w:val="24"/>
          <w:szCs w:val="24"/>
          <w:lang w:val="en-US"/>
        </w:rPr>
        <w:t>compared</w:t>
      </w:r>
      <w:r w:rsidR="00A50E96" w:rsidRPr="00046D62">
        <w:rPr>
          <w:rFonts w:cs="Times New Roman"/>
          <w:sz w:val="24"/>
          <w:szCs w:val="24"/>
          <w:lang w:val="en-US"/>
        </w:rPr>
        <w:t xml:space="preserve"> between </w:t>
      </w:r>
      <w:r w:rsidR="00E81BDA" w:rsidRPr="00046D62">
        <w:rPr>
          <w:rFonts w:cs="Times New Roman"/>
          <w:sz w:val="24"/>
          <w:szCs w:val="24"/>
          <w:lang w:val="en-US"/>
        </w:rPr>
        <w:t>non-profit agencies and commercial agencies, with p value = 0</w:t>
      </w:r>
      <w:r w:rsidR="00A50E96" w:rsidRPr="00046D62">
        <w:rPr>
          <w:rFonts w:cs="Times New Roman"/>
          <w:sz w:val="24"/>
          <w:szCs w:val="24"/>
          <w:lang w:val="en-US"/>
        </w:rPr>
        <w:t xml:space="preserve">.001. The result indicates a significant mean difference of 0.205 </w:t>
      </w:r>
      <w:r w:rsidR="00046D62" w:rsidRPr="00046D62">
        <w:rPr>
          <w:rFonts w:cs="Times New Roman"/>
          <w:sz w:val="24"/>
          <w:szCs w:val="24"/>
          <w:lang w:val="en-US"/>
        </w:rPr>
        <w:t>childcare</w:t>
      </w:r>
      <w:r w:rsidR="00A50E96" w:rsidRPr="00046D62">
        <w:rPr>
          <w:rFonts w:cs="Times New Roman"/>
          <w:sz w:val="24"/>
          <w:szCs w:val="24"/>
          <w:lang w:val="en-US"/>
        </w:rPr>
        <w:t xml:space="preserve"> spaces, with a 95% confidence interval ranging from 0.107 to 0.303.</w:t>
      </w:r>
      <w:r w:rsidR="0023297F">
        <w:rPr>
          <w:rFonts w:cs="Times New Roman"/>
          <w:sz w:val="24"/>
          <w:szCs w:val="24"/>
          <w:lang w:val="en-US"/>
        </w:rPr>
        <w:t xml:space="preserve"> Secon</w:t>
      </w:r>
      <w:r w:rsidR="00E81BDA">
        <w:rPr>
          <w:rFonts w:cs="Times New Roman"/>
          <w:sz w:val="24"/>
          <w:szCs w:val="24"/>
          <w:lang w:val="en-US"/>
        </w:rPr>
        <w:t>d, statistically</w:t>
      </w:r>
      <w:r w:rsidR="00E81BDA" w:rsidRPr="00046D62">
        <w:rPr>
          <w:rFonts w:cs="Times New Roman"/>
          <w:sz w:val="24"/>
          <w:szCs w:val="24"/>
          <w:lang w:val="en-US"/>
        </w:rPr>
        <w:t xml:space="preserve"> significant differences </w:t>
      </w:r>
      <w:r w:rsidR="00E81BDA">
        <w:rPr>
          <w:rFonts w:cs="Times New Roman"/>
          <w:sz w:val="24"/>
          <w:szCs w:val="24"/>
          <w:lang w:val="en-US"/>
        </w:rPr>
        <w:t xml:space="preserve">have been also identified </w:t>
      </w:r>
      <w:r w:rsidR="00E81BDA" w:rsidRPr="00046D62">
        <w:rPr>
          <w:rFonts w:cs="Times New Roman"/>
          <w:sz w:val="24"/>
          <w:szCs w:val="24"/>
          <w:lang w:val="en-US"/>
        </w:rPr>
        <w:t xml:space="preserve">in mean total childcare spaces compared between non-profit agencies and public agencies, with p value = 0.001. </w:t>
      </w:r>
      <w:r w:rsidR="00A50E96" w:rsidRPr="00046D62">
        <w:rPr>
          <w:rFonts w:cs="Times New Roman"/>
          <w:sz w:val="24"/>
          <w:szCs w:val="24"/>
          <w:lang w:val="en-US"/>
        </w:rPr>
        <w:t xml:space="preserve">The result indicates a significant mean difference of 0.424 </w:t>
      </w:r>
      <w:r w:rsidR="00046D62" w:rsidRPr="00046D62">
        <w:rPr>
          <w:rFonts w:cs="Times New Roman"/>
          <w:sz w:val="24"/>
          <w:szCs w:val="24"/>
          <w:lang w:val="en-US"/>
        </w:rPr>
        <w:t>childcare</w:t>
      </w:r>
      <w:r w:rsidR="00A50E96" w:rsidRPr="00046D62">
        <w:rPr>
          <w:rFonts w:cs="Times New Roman"/>
          <w:sz w:val="24"/>
          <w:szCs w:val="24"/>
          <w:lang w:val="en-US"/>
        </w:rPr>
        <w:t xml:space="preserve"> spaces, with a 95% confidence interval ranging from 0.185 to 0.663.</w:t>
      </w:r>
      <w:r w:rsidR="0023297F">
        <w:rPr>
          <w:rFonts w:cs="Times New Roman"/>
          <w:sz w:val="24"/>
          <w:szCs w:val="24"/>
          <w:lang w:val="en-US"/>
        </w:rPr>
        <w:t xml:space="preserve"> However, t</w:t>
      </w:r>
      <w:r w:rsidR="00A50E96" w:rsidRPr="00046D62">
        <w:rPr>
          <w:rFonts w:cs="Times New Roman"/>
          <w:sz w:val="24"/>
          <w:szCs w:val="24"/>
          <w:lang w:val="en-US"/>
        </w:rPr>
        <w:t xml:space="preserve">he post-hoc shows that </w:t>
      </w:r>
      <w:r w:rsidR="00A50E96" w:rsidRPr="00046D62">
        <w:rPr>
          <w:rFonts w:cs="Times New Roman"/>
          <w:sz w:val="24"/>
          <w:szCs w:val="24"/>
          <w:lang w:val="en-US"/>
        </w:rPr>
        <w:lastRenderedPageBreak/>
        <w:t xml:space="preserve">there </w:t>
      </w:r>
      <w:r w:rsidR="001638F7" w:rsidRPr="00046D62">
        <w:rPr>
          <w:rFonts w:cs="Times New Roman"/>
          <w:sz w:val="24"/>
          <w:szCs w:val="24"/>
          <w:lang w:val="en-US"/>
        </w:rPr>
        <w:t>are</w:t>
      </w:r>
      <w:r w:rsidR="00A50E96" w:rsidRPr="00046D62">
        <w:rPr>
          <w:rFonts w:cs="Times New Roman"/>
          <w:sz w:val="24"/>
          <w:szCs w:val="24"/>
          <w:lang w:val="en-US"/>
        </w:rPr>
        <w:t xml:space="preserve"> no statistically significant differences in mean total </w:t>
      </w:r>
      <w:r w:rsidR="001638F7" w:rsidRPr="00046D62">
        <w:rPr>
          <w:rFonts w:cs="Times New Roman"/>
          <w:sz w:val="24"/>
          <w:szCs w:val="24"/>
          <w:lang w:val="en-US"/>
        </w:rPr>
        <w:t>childcare</w:t>
      </w:r>
      <w:r w:rsidR="00A50E96" w:rsidRPr="00046D62">
        <w:rPr>
          <w:rFonts w:cs="Times New Roman"/>
          <w:sz w:val="24"/>
          <w:szCs w:val="24"/>
          <w:lang w:val="en-US"/>
        </w:rPr>
        <w:t xml:space="preserve"> spaces </w:t>
      </w:r>
      <w:r w:rsidR="00046D62" w:rsidRPr="00046D62">
        <w:rPr>
          <w:rFonts w:cs="Times New Roman"/>
          <w:sz w:val="24"/>
          <w:szCs w:val="24"/>
          <w:lang w:val="en-US"/>
        </w:rPr>
        <w:t>compared</w:t>
      </w:r>
      <w:r w:rsidR="00A50E96" w:rsidRPr="00046D62">
        <w:rPr>
          <w:rFonts w:cs="Times New Roman"/>
          <w:sz w:val="24"/>
          <w:szCs w:val="24"/>
          <w:lang w:val="en-US"/>
        </w:rPr>
        <w:t xml:space="preserve"> </w:t>
      </w:r>
      <w:r w:rsidR="00E81BDA" w:rsidRPr="00046D62">
        <w:rPr>
          <w:rFonts w:cs="Times New Roman"/>
          <w:sz w:val="24"/>
          <w:szCs w:val="24"/>
          <w:lang w:val="en-US"/>
        </w:rPr>
        <w:t xml:space="preserve">between commercial and public agencies, with p values </w:t>
      </w:r>
      <w:r w:rsidR="00A50E96" w:rsidRPr="00046D62">
        <w:rPr>
          <w:rFonts w:cs="Times New Roman"/>
          <w:sz w:val="24"/>
          <w:szCs w:val="24"/>
          <w:lang w:val="en-US"/>
        </w:rPr>
        <w:t>0.094383</w:t>
      </w:r>
      <w:r w:rsidR="004566DC">
        <w:rPr>
          <w:rFonts w:cs="Times New Roman"/>
          <w:sz w:val="24"/>
          <w:szCs w:val="24"/>
          <w:lang w:val="en-US"/>
        </w:rPr>
        <w:t xml:space="preserve"> (Table 2).</w:t>
      </w:r>
    </w:p>
    <w:tbl>
      <w:tblPr>
        <w:tblStyle w:val="GridTable4-Accent3"/>
        <w:tblW w:w="0" w:type="auto"/>
        <w:tblLook w:val="04A0" w:firstRow="1" w:lastRow="0" w:firstColumn="1" w:lastColumn="0" w:noHBand="0" w:noVBand="1"/>
      </w:tblPr>
      <w:tblGrid>
        <w:gridCol w:w="326"/>
        <w:gridCol w:w="1403"/>
        <w:gridCol w:w="1406"/>
        <w:gridCol w:w="1260"/>
        <w:gridCol w:w="1263"/>
        <w:gridCol w:w="1041"/>
        <w:gridCol w:w="1041"/>
        <w:gridCol w:w="1041"/>
      </w:tblGrid>
      <w:tr w:rsidR="001638F7" w:rsidRPr="001638F7" w14:paraId="4B73C601" w14:textId="77777777" w:rsidTr="00163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F0E3E" w14:textId="77777777" w:rsidR="001638F7" w:rsidRPr="00E81BDA" w:rsidRDefault="001638F7" w:rsidP="001638F7">
            <w:pPr>
              <w:rPr>
                <w:rFonts w:eastAsia="Times New Roman" w:cs="Times New Roman"/>
                <w:sz w:val="22"/>
                <w:lang w:val="en-US"/>
              </w:rPr>
            </w:pPr>
          </w:p>
        </w:tc>
        <w:tc>
          <w:tcPr>
            <w:tcW w:w="1403" w:type="dxa"/>
            <w:hideMark/>
          </w:tcPr>
          <w:p w14:paraId="7E0247D9" w14:textId="77777777"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group1</w:t>
            </w:r>
          </w:p>
        </w:tc>
        <w:tc>
          <w:tcPr>
            <w:tcW w:w="1406" w:type="dxa"/>
            <w:hideMark/>
          </w:tcPr>
          <w:p w14:paraId="388B3C2E" w14:textId="77777777"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group2</w:t>
            </w:r>
          </w:p>
        </w:tc>
        <w:tc>
          <w:tcPr>
            <w:tcW w:w="1260" w:type="dxa"/>
            <w:hideMark/>
          </w:tcPr>
          <w:p w14:paraId="50907D5D" w14:textId="77777777"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Diff</w:t>
            </w:r>
          </w:p>
        </w:tc>
        <w:tc>
          <w:tcPr>
            <w:tcW w:w="1263" w:type="dxa"/>
            <w:hideMark/>
          </w:tcPr>
          <w:p w14:paraId="52262BA8" w14:textId="77777777"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Lower</w:t>
            </w:r>
          </w:p>
        </w:tc>
        <w:tc>
          <w:tcPr>
            <w:tcW w:w="0" w:type="auto"/>
            <w:hideMark/>
          </w:tcPr>
          <w:p w14:paraId="1D65A1D4" w14:textId="77777777"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Upper</w:t>
            </w:r>
          </w:p>
        </w:tc>
        <w:tc>
          <w:tcPr>
            <w:tcW w:w="0" w:type="auto"/>
            <w:hideMark/>
          </w:tcPr>
          <w:p w14:paraId="5EFDF4AA" w14:textId="77777777"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q-value</w:t>
            </w:r>
          </w:p>
        </w:tc>
        <w:tc>
          <w:tcPr>
            <w:tcW w:w="0" w:type="auto"/>
            <w:hideMark/>
          </w:tcPr>
          <w:p w14:paraId="4FA015DE" w14:textId="77777777"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p-value</w:t>
            </w:r>
          </w:p>
        </w:tc>
      </w:tr>
      <w:tr w:rsidR="001638F7" w:rsidRPr="001638F7" w14:paraId="1F72F145" w14:textId="77777777" w:rsidTr="0016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8004D5" w14:textId="77777777" w:rsidR="001638F7" w:rsidRPr="00E81BDA" w:rsidRDefault="001638F7" w:rsidP="001638F7">
            <w:pPr>
              <w:jc w:val="center"/>
              <w:rPr>
                <w:rFonts w:eastAsia="Times New Roman" w:cs="Times New Roman"/>
                <w:sz w:val="22"/>
                <w:lang w:val="en-US"/>
              </w:rPr>
            </w:pPr>
            <w:r w:rsidRPr="00E81BDA">
              <w:rPr>
                <w:rFonts w:eastAsia="Times New Roman" w:cs="Times New Roman"/>
                <w:sz w:val="22"/>
                <w:lang w:val="en-US"/>
              </w:rPr>
              <w:t>0</w:t>
            </w:r>
          </w:p>
        </w:tc>
        <w:tc>
          <w:tcPr>
            <w:tcW w:w="1403" w:type="dxa"/>
            <w:hideMark/>
          </w:tcPr>
          <w:p w14:paraId="51462B81" w14:textId="08763F0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Non-Profit Agency</w:t>
            </w:r>
          </w:p>
        </w:tc>
        <w:tc>
          <w:tcPr>
            <w:tcW w:w="1406" w:type="dxa"/>
            <w:hideMark/>
          </w:tcPr>
          <w:p w14:paraId="0BFFE2B0"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Commercial Agency</w:t>
            </w:r>
          </w:p>
        </w:tc>
        <w:tc>
          <w:tcPr>
            <w:tcW w:w="1260" w:type="dxa"/>
            <w:hideMark/>
          </w:tcPr>
          <w:p w14:paraId="72A81FD9"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0.205307</w:t>
            </w:r>
          </w:p>
        </w:tc>
        <w:tc>
          <w:tcPr>
            <w:tcW w:w="1263" w:type="dxa"/>
            <w:hideMark/>
          </w:tcPr>
          <w:p w14:paraId="36DAC497"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0.107371</w:t>
            </w:r>
          </w:p>
        </w:tc>
        <w:tc>
          <w:tcPr>
            <w:tcW w:w="0" w:type="auto"/>
            <w:hideMark/>
          </w:tcPr>
          <w:p w14:paraId="01B498F8"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0.303243</w:t>
            </w:r>
          </w:p>
        </w:tc>
        <w:tc>
          <w:tcPr>
            <w:tcW w:w="0" w:type="auto"/>
            <w:hideMark/>
          </w:tcPr>
          <w:p w14:paraId="085D19D8"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6.958243</w:t>
            </w:r>
          </w:p>
        </w:tc>
        <w:tc>
          <w:tcPr>
            <w:tcW w:w="0" w:type="auto"/>
            <w:hideMark/>
          </w:tcPr>
          <w:p w14:paraId="76B52C57"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0.001000</w:t>
            </w:r>
          </w:p>
        </w:tc>
      </w:tr>
      <w:tr w:rsidR="001638F7" w:rsidRPr="001638F7" w14:paraId="6060AE6C" w14:textId="77777777" w:rsidTr="001638F7">
        <w:tc>
          <w:tcPr>
            <w:cnfStyle w:val="001000000000" w:firstRow="0" w:lastRow="0" w:firstColumn="1" w:lastColumn="0" w:oddVBand="0" w:evenVBand="0" w:oddHBand="0" w:evenHBand="0" w:firstRowFirstColumn="0" w:firstRowLastColumn="0" w:lastRowFirstColumn="0" w:lastRowLastColumn="0"/>
            <w:tcW w:w="0" w:type="auto"/>
            <w:hideMark/>
          </w:tcPr>
          <w:p w14:paraId="179EAF5F" w14:textId="77777777" w:rsidR="001638F7" w:rsidRPr="00E81BDA" w:rsidRDefault="001638F7" w:rsidP="001638F7">
            <w:pPr>
              <w:jc w:val="center"/>
              <w:rPr>
                <w:rFonts w:eastAsia="Times New Roman" w:cs="Times New Roman"/>
                <w:sz w:val="22"/>
                <w:lang w:val="en-US"/>
              </w:rPr>
            </w:pPr>
            <w:r w:rsidRPr="00E81BDA">
              <w:rPr>
                <w:rFonts w:eastAsia="Times New Roman" w:cs="Times New Roman"/>
                <w:sz w:val="22"/>
                <w:lang w:val="en-US"/>
              </w:rPr>
              <w:t>1</w:t>
            </w:r>
          </w:p>
        </w:tc>
        <w:tc>
          <w:tcPr>
            <w:tcW w:w="1403" w:type="dxa"/>
            <w:hideMark/>
          </w:tcPr>
          <w:p w14:paraId="3DBA980B" w14:textId="6CEF3C96"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Non-Profit Agency</w:t>
            </w:r>
          </w:p>
        </w:tc>
        <w:tc>
          <w:tcPr>
            <w:tcW w:w="1406" w:type="dxa"/>
            <w:hideMark/>
          </w:tcPr>
          <w:p w14:paraId="3A67B13E"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Public (City Operated) Agency</w:t>
            </w:r>
          </w:p>
        </w:tc>
        <w:tc>
          <w:tcPr>
            <w:tcW w:w="1260" w:type="dxa"/>
            <w:hideMark/>
          </w:tcPr>
          <w:p w14:paraId="370769CC"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0.423834</w:t>
            </w:r>
          </w:p>
        </w:tc>
        <w:tc>
          <w:tcPr>
            <w:tcW w:w="1263" w:type="dxa"/>
            <w:hideMark/>
          </w:tcPr>
          <w:p w14:paraId="32727B85"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0.184660</w:t>
            </w:r>
          </w:p>
        </w:tc>
        <w:tc>
          <w:tcPr>
            <w:tcW w:w="0" w:type="auto"/>
            <w:hideMark/>
          </w:tcPr>
          <w:p w14:paraId="6CF970EF"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0.663008</w:t>
            </w:r>
          </w:p>
        </w:tc>
        <w:tc>
          <w:tcPr>
            <w:tcW w:w="0" w:type="auto"/>
            <w:hideMark/>
          </w:tcPr>
          <w:p w14:paraId="386E75F0"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5.881919</w:t>
            </w:r>
          </w:p>
        </w:tc>
        <w:tc>
          <w:tcPr>
            <w:tcW w:w="0" w:type="auto"/>
            <w:hideMark/>
          </w:tcPr>
          <w:p w14:paraId="00AF4E6F"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0.001000</w:t>
            </w:r>
          </w:p>
        </w:tc>
      </w:tr>
      <w:tr w:rsidR="001638F7" w:rsidRPr="001638F7" w14:paraId="4262FDCD" w14:textId="77777777" w:rsidTr="00163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0449E" w14:textId="77777777" w:rsidR="001638F7" w:rsidRPr="00E81BDA" w:rsidRDefault="001638F7" w:rsidP="001638F7">
            <w:pPr>
              <w:jc w:val="center"/>
              <w:rPr>
                <w:rFonts w:eastAsia="Times New Roman" w:cs="Times New Roman"/>
                <w:sz w:val="22"/>
                <w:lang w:val="en-US"/>
              </w:rPr>
            </w:pPr>
            <w:r w:rsidRPr="00E81BDA">
              <w:rPr>
                <w:rFonts w:eastAsia="Times New Roman" w:cs="Times New Roman"/>
                <w:sz w:val="22"/>
                <w:lang w:val="en-US"/>
              </w:rPr>
              <w:t>2</w:t>
            </w:r>
          </w:p>
        </w:tc>
        <w:tc>
          <w:tcPr>
            <w:tcW w:w="1403" w:type="dxa"/>
            <w:hideMark/>
          </w:tcPr>
          <w:p w14:paraId="23254F78"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Commercial Agency</w:t>
            </w:r>
          </w:p>
        </w:tc>
        <w:tc>
          <w:tcPr>
            <w:tcW w:w="1406" w:type="dxa"/>
            <w:hideMark/>
          </w:tcPr>
          <w:p w14:paraId="696681FD"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Public (City Operated) Agency</w:t>
            </w:r>
          </w:p>
        </w:tc>
        <w:tc>
          <w:tcPr>
            <w:tcW w:w="1260" w:type="dxa"/>
            <w:hideMark/>
          </w:tcPr>
          <w:p w14:paraId="1C95A71F"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0.218527</w:t>
            </w:r>
          </w:p>
        </w:tc>
        <w:tc>
          <w:tcPr>
            <w:tcW w:w="1263" w:type="dxa"/>
            <w:hideMark/>
          </w:tcPr>
          <w:p w14:paraId="34390C6E"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-0.028014</w:t>
            </w:r>
          </w:p>
        </w:tc>
        <w:tc>
          <w:tcPr>
            <w:tcW w:w="0" w:type="auto"/>
            <w:hideMark/>
          </w:tcPr>
          <w:p w14:paraId="0B9EAC55"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0.465067</w:t>
            </w:r>
          </w:p>
        </w:tc>
        <w:tc>
          <w:tcPr>
            <w:tcW w:w="0" w:type="auto"/>
            <w:hideMark/>
          </w:tcPr>
          <w:p w14:paraId="61460095"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2.942074</w:t>
            </w:r>
          </w:p>
        </w:tc>
        <w:tc>
          <w:tcPr>
            <w:tcW w:w="0" w:type="auto"/>
            <w:hideMark/>
          </w:tcPr>
          <w:p w14:paraId="55914DD0"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lang w:val="en-US"/>
              </w:rPr>
            </w:pPr>
            <w:r w:rsidRPr="00E81BDA">
              <w:rPr>
                <w:rFonts w:eastAsia="Times New Roman" w:cs="Times New Roman"/>
                <w:sz w:val="22"/>
                <w:lang w:val="en-US"/>
              </w:rPr>
              <w:t>0.094383</w:t>
            </w:r>
          </w:p>
        </w:tc>
      </w:tr>
    </w:tbl>
    <w:p w14:paraId="40D004E8" w14:textId="315AF1DA" w:rsidR="00002769" w:rsidRPr="001F5E7D" w:rsidRDefault="001F5E7D" w:rsidP="00002769">
      <w:pPr>
        <w:spacing w:after="0"/>
        <w:jc w:val="both"/>
        <w:rPr>
          <w:rFonts w:cs="Times New Roman"/>
          <w:b/>
          <w:bCs/>
          <w:sz w:val="24"/>
          <w:szCs w:val="24"/>
          <w:lang w:val="en-US"/>
        </w:rPr>
      </w:pPr>
      <w:r w:rsidRPr="001F5E7D">
        <w:rPr>
          <w:rFonts w:cs="Times New Roman"/>
          <w:b/>
          <w:bCs/>
          <w:sz w:val="24"/>
          <w:szCs w:val="24"/>
          <w:lang w:val="en-US"/>
        </w:rPr>
        <w:t>Table 2</w:t>
      </w:r>
    </w:p>
    <w:p w14:paraId="66E26353" w14:textId="724C2602" w:rsidR="00A50E96" w:rsidRPr="00046D62" w:rsidRDefault="00002769" w:rsidP="001638F7">
      <w:pPr>
        <w:spacing w:after="0"/>
        <w:jc w:val="both"/>
        <w:rPr>
          <w:rFonts w:cs="Times New Roman"/>
          <w:sz w:val="24"/>
          <w:szCs w:val="24"/>
          <w:lang w:val="en-US"/>
        </w:rPr>
      </w:pPr>
      <w:r w:rsidRPr="00002769">
        <w:rPr>
          <w:rFonts w:cs="Times New Roman"/>
          <w:sz w:val="24"/>
          <w:szCs w:val="24"/>
          <w:lang w:val="en-US"/>
        </w:rPr>
        <w:t xml:space="preserve">The assumption tests have been utilized to evaluate two critical assumptions: normality and homogeneity of variances. </w:t>
      </w:r>
      <w:r w:rsidR="00A50E96" w:rsidRPr="00046D62">
        <w:rPr>
          <w:rFonts w:cs="Times New Roman"/>
          <w:sz w:val="24"/>
          <w:szCs w:val="24"/>
          <w:lang w:val="en-US"/>
        </w:rPr>
        <w:t>The assumption check suggests the following:</w:t>
      </w:r>
    </w:p>
    <w:p w14:paraId="11BC5A10" w14:textId="66FAF42A" w:rsidR="00A50E96" w:rsidRPr="00046D62" w:rsidRDefault="00E81BDA" w:rsidP="00A50E96">
      <w:pPr>
        <w:pStyle w:val="ListParagraph"/>
        <w:numPr>
          <w:ilvl w:val="0"/>
          <w:numId w:val="6"/>
        </w:numPr>
        <w:spacing w:after="0"/>
        <w:jc w:val="both"/>
        <w:rPr>
          <w:rFonts w:cs="Times New Roman"/>
          <w:sz w:val="24"/>
          <w:szCs w:val="24"/>
          <w:lang w:val="en-US"/>
        </w:rPr>
      </w:pPr>
      <w:bookmarkStart w:id="1" w:name="_Hlk160884374"/>
      <w:r w:rsidRPr="00046D62">
        <w:rPr>
          <w:rFonts w:cs="Times New Roman"/>
          <w:noProof/>
          <w:sz w:val="24"/>
          <w:szCs w:val="24"/>
        </w:rPr>
        <w:drawing>
          <wp:anchor distT="0" distB="0" distL="114300" distR="114300" simplePos="0" relativeHeight="251658240" behindDoc="1" locked="0" layoutInCell="1" allowOverlap="1" wp14:anchorId="65DEB3D8" wp14:editId="443A119C">
            <wp:simplePos x="0" y="0"/>
            <wp:positionH relativeFrom="margin">
              <wp:posOffset>2891790</wp:posOffset>
            </wp:positionH>
            <wp:positionV relativeFrom="paragraph">
              <wp:posOffset>690245</wp:posOffset>
            </wp:positionV>
            <wp:extent cx="3060065" cy="2137410"/>
            <wp:effectExtent l="0" t="0" r="6985" b="0"/>
            <wp:wrapTight wrapText="bothSides">
              <wp:wrapPolygon edited="0">
                <wp:start x="0" y="0"/>
                <wp:lineTo x="0" y="21369"/>
                <wp:lineTo x="21515" y="21369"/>
                <wp:lineTo x="21515" y="0"/>
                <wp:lineTo x="0" y="0"/>
              </wp:wrapPolygon>
            </wp:wrapTight>
            <wp:docPr id="152409235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2356" name="Picture 2" descr="A graph of a number of blue bars&#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942"/>
                    <a:stretch/>
                  </pic:blipFill>
                  <pic:spPr bwMode="auto">
                    <a:xfrm>
                      <a:off x="0" y="0"/>
                      <a:ext cx="3060065" cy="2137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2769" w:rsidRPr="00046D62">
        <w:rPr>
          <w:rFonts w:cs="Times New Roman"/>
          <w:sz w:val="24"/>
          <w:szCs w:val="24"/>
          <w:lang w:val="en-US"/>
        </w:rPr>
        <w:t>The skewness</w:t>
      </w:r>
      <w:r w:rsidR="00A50E96" w:rsidRPr="00046D62">
        <w:rPr>
          <w:rFonts w:cs="Times New Roman"/>
          <w:sz w:val="24"/>
          <w:szCs w:val="24"/>
          <w:lang w:val="en-US"/>
        </w:rPr>
        <w:t xml:space="preserve"> in the histogram and deviations from the diagonal line in the QQ plot indicate </w:t>
      </w:r>
      <w:bookmarkStart w:id="2" w:name="_Hlk160884412"/>
      <w:bookmarkEnd w:id="1"/>
      <w:r w:rsidR="00A50E96" w:rsidRPr="00046D62">
        <w:rPr>
          <w:rFonts w:cs="Times New Roman"/>
          <w:sz w:val="24"/>
          <w:szCs w:val="24"/>
          <w:lang w:val="en-US"/>
        </w:rPr>
        <w:t>that the standardized residuals are not normally distributed</w:t>
      </w:r>
      <w:r>
        <w:rPr>
          <w:rFonts w:cs="Times New Roman"/>
          <w:sz w:val="24"/>
          <w:szCs w:val="24"/>
          <w:lang w:val="en-US"/>
        </w:rPr>
        <w:t>, but close to be normally distributed</w:t>
      </w:r>
      <w:r w:rsidR="004566DC">
        <w:rPr>
          <w:rFonts w:cs="Times New Roman"/>
          <w:sz w:val="24"/>
          <w:szCs w:val="24"/>
          <w:lang w:val="en-US"/>
        </w:rPr>
        <w:t xml:space="preserve"> (Figure 6, 7)</w:t>
      </w:r>
      <w:r w:rsidR="00A50E96" w:rsidRPr="00046D62">
        <w:rPr>
          <w:rFonts w:cs="Times New Roman"/>
          <w:sz w:val="24"/>
          <w:szCs w:val="24"/>
          <w:lang w:val="en-US"/>
        </w:rPr>
        <w:t xml:space="preserve">. </w:t>
      </w:r>
    </w:p>
    <w:p w14:paraId="5E8F57A9" w14:textId="2F72671E" w:rsidR="001F5E7D" w:rsidRDefault="00BD329B" w:rsidP="001F5E7D">
      <w:pPr>
        <w:spacing w:after="0"/>
        <w:jc w:val="both"/>
        <w:rPr>
          <w:rFonts w:cs="Times New Roman"/>
          <w:sz w:val="24"/>
          <w:szCs w:val="24"/>
          <w:lang w:val="en-US"/>
        </w:rPr>
      </w:pPr>
      <w:r w:rsidRPr="00046D62">
        <w:rPr>
          <w:rFonts w:cs="Times New Roman"/>
          <w:noProof/>
          <w:sz w:val="24"/>
          <w:szCs w:val="24"/>
        </w:rPr>
        <w:drawing>
          <wp:anchor distT="0" distB="0" distL="114300" distR="114300" simplePos="0" relativeHeight="251659264" behindDoc="1" locked="0" layoutInCell="1" allowOverlap="1" wp14:anchorId="0EB77946" wp14:editId="5D881870">
            <wp:simplePos x="0" y="0"/>
            <wp:positionH relativeFrom="column">
              <wp:posOffset>-127635</wp:posOffset>
            </wp:positionH>
            <wp:positionV relativeFrom="paragraph">
              <wp:posOffset>121965</wp:posOffset>
            </wp:positionV>
            <wp:extent cx="3040380" cy="2217420"/>
            <wp:effectExtent l="0" t="0" r="7620" b="0"/>
            <wp:wrapTight wrapText="bothSides">
              <wp:wrapPolygon edited="0">
                <wp:start x="0" y="0"/>
                <wp:lineTo x="0" y="21340"/>
                <wp:lineTo x="21519" y="21340"/>
                <wp:lineTo x="21519" y="0"/>
                <wp:lineTo x="0" y="0"/>
              </wp:wrapPolygon>
            </wp:wrapTight>
            <wp:docPr id="93907211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2117" name="Picture 1" descr="A graph with a red line&#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41" r="2665"/>
                    <a:stretch/>
                  </pic:blipFill>
                  <pic:spPr bwMode="auto">
                    <a:xfrm>
                      <a:off x="0" y="0"/>
                      <a:ext cx="3040380" cy="2217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4840DB" w14:textId="77777777" w:rsidR="00E81BDA" w:rsidRDefault="001F5E7D" w:rsidP="001F5E7D">
      <w:pPr>
        <w:spacing w:after="0"/>
        <w:jc w:val="both"/>
        <w:rPr>
          <w:rFonts w:cs="Times New Roman"/>
          <w:b/>
          <w:bCs/>
          <w:sz w:val="24"/>
          <w:szCs w:val="24"/>
          <w:lang w:val="en-US"/>
        </w:rPr>
      </w:pPr>
      <w:r w:rsidRPr="001F5E7D">
        <w:rPr>
          <w:rFonts w:cs="Times New Roman"/>
          <w:b/>
          <w:bCs/>
          <w:sz w:val="24"/>
          <w:szCs w:val="24"/>
          <w:lang w:val="en-US"/>
        </w:rPr>
        <w:t xml:space="preserve">  Figure 6                                                                       Figure 7     </w:t>
      </w:r>
    </w:p>
    <w:p w14:paraId="54E91D80" w14:textId="4475E7BE" w:rsidR="001F5E7D" w:rsidRPr="001F5E7D" w:rsidRDefault="001F5E7D" w:rsidP="001F5E7D">
      <w:pPr>
        <w:spacing w:after="0"/>
        <w:jc w:val="both"/>
        <w:rPr>
          <w:rFonts w:cs="Times New Roman"/>
          <w:b/>
          <w:bCs/>
          <w:sz w:val="24"/>
          <w:szCs w:val="24"/>
          <w:lang w:val="en-US"/>
        </w:rPr>
      </w:pPr>
      <w:r w:rsidRPr="001F5E7D">
        <w:rPr>
          <w:rFonts w:cs="Times New Roman"/>
          <w:b/>
          <w:bCs/>
          <w:sz w:val="24"/>
          <w:szCs w:val="24"/>
          <w:lang w:val="en-US"/>
        </w:rPr>
        <w:t xml:space="preserve">                                        </w:t>
      </w:r>
    </w:p>
    <w:p w14:paraId="1A8C49D2" w14:textId="1C4357E3" w:rsidR="00A50E96" w:rsidRPr="004208A5" w:rsidRDefault="00A50E96" w:rsidP="00A50E96">
      <w:pPr>
        <w:pStyle w:val="ListParagraph"/>
        <w:numPr>
          <w:ilvl w:val="0"/>
          <w:numId w:val="6"/>
        </w:numPr>
        <w:spacing w:after="0"/>
        <w:jc w:val="both"/>
        <w:rPr>
          <w:rFonts w:cs="Times New Roman"/>
          <w:sz w:val="24"/>
          <w:szCs w:val="24"/>
          <w:lang w:val="en-US"/>
        </w:rPr>
      </w:pPr>
      <w:r w:rsidRPr="00046D62">
        <w:rPr>
          <w:rFonts w:cs="Times New Roman"/>
          <w:sz w:val="24"/>
          <w:szCs w:val="24"/>
          <w:lang w:val="en-US"/>
        </w:rPr>
        <w:t>The null hypothesis in Levene's test is that the variances across different groups are equal. The small p-value (0.0045) suggests that there is strong evidence to reject the null hypothesis. The low p-value indicates that variances are significantly different among the operating auspices. The variances are not homogeneous across the different operating auspices.</w:t>
      </w:r>
    </w:p>
    <w:p w14:paraId="6DF71259" w14:textId="1F749B45" w:rsidR="00A50E96" w:rsidRPr="00046D62" w:rsidRDefault="00A50E96" w:rsidP="004208A5">
      <w:pPr>
        <w:spacing w:after="0"/>
        <w:ind w:firstLine="360"/>
        <w:jc w:val="both"/>
        <w:rPr>
          <w:rFonts w:cs="Times New Roman"/>
          <w:sz w:val="24"/>
          <w:szCs w:val="24"/>
          <w:lang w:val="en-US"/>
        </w:rPr>
      </w:pPr>
      <w:r w:rsidRPr="00046D62">
        <w:rPr>
          <w:rFonts w:cs="Times New Roman"/>
          <w:sz w:val="24"/>
          <w:szCs w:val="24"/>
          <w:lang w:val="en-US"/>
        </w:rPr>
        <w:t xml:space="preserve">Based on the assumptions above, the robustness of the results </w:t>
      </w:r>
      <w:r w:rsidR="00D02422">
        <w:rPr>
          <w:rFonts w:cs="Times New Roman"/>
          <w:sz w:val="24"/>
          <w:szCs w:val="24"/>
          <w:lang w:val="en-US"/>
        </w:rPr>
        <w:t>should</w:t>
      </w:r>
      <w:r w:rsidRPr="00046D62">
        <w:rPr>
          <w:rFonts w:cs="Times New Roman"/>
          <w:sz w:val="24"/>
          <w:szCs w:val="24"/>
          <w:lang w:val="en-US"/>
        </w:rPr>
        <w:t xml:space="preserve"> be reconsidered. Specifically, the violation of normality assumption </w:t>
      </w:r>
      <w:r w:rsidR="00E81BDA" w:rsidRPr="00046D62">
        <w:rPr>
          <w:rFonts w:cs="Times New Roman"/>
          <w:sz w:val="24"/>
          <w:szCs w:val="24"/>
          <w:lang w:val="en-US"/>
        </w:rPr>
        <w:t>affects</w:t>
      </w:r>
      <w:r w:rsidRPr="00046D62">
        <w:rPr>
          <w:rFonts w:cs="Times New Roman"/>
          <w:sz w:val="24"/>
          <w:szCs w:val="24"/>
          <w:lang w:val="en-US"/>
        </w:rPr>
        <w:t xml:space="preserve"> the reliability of p-values and confidence intervals. The violation of the homogeneity of variances assumption impact</w:t>
      </w:r>
      <w:r w:rsidR="00002769">
        <w:rPr>
          <w:rFonts w:cs="Times New Roman"/>
          <w:sz w:val="24"/>
          <w:szCs w:val="24"/>
          <w:lang w:val="en-US"/>
        </w:rPr>
        <w:t>s</w:t>
      </w:r>
      <w:r w:rsidRPr="00046D62">
        <w:rPr>
          <w:rFonts w:cs="Times New Roman"/>
          <w:sz w:val="24"/>
          <w:szCs w:val="24"/>
          <w:lang w:val="en-US"/>
        </w:rPr>
        <w:t xml:space="preserve"> the validity of the </w:t>
      </w:r>
      <w:r w:rsidR="00E81BDA">
        <w:rPr>
          <w:rFonts w:cs="Times New Roman"/>
          <w:sz w:val="24"/>
          <w:szCs w:val="24"/>
          <w:lang w:val="en-US"/>
        </w:rPr>
        <w:t>one-way</w:t>
      </w:r>
      <w:r w:rsidR="00D02422">
        <w:rPr>
          <w:rFonts w:cs="Times New Roman"/>
          <w:sz w:val="24"/>
          <w:szCs w:val="24"/>
          <w:lang w:val="en-US"/>
        </w:rPr>
        <w:t xml:space="preserve"> </w:t>
      </w:r>
      <w:r w:rsidRPr="00046D62">
        <w:rPr>
          <w:rFonts w:cs="Times New Roman"/>
          <w:sz w:val="24"/>
          <w:szCs w:val="24"/>
          <w:lang w:val="en-US"/>
        </w:rPr>
        <w:t>ANOVA results.</w:t>
      </w:r>
    </w:p>
    <w:bookmarkEnd w:id="2"/>
    <w:p w14:paraId="7780A028" w14:textId="77777777" w:rsidR="00A50E96" w:rsidRPr="00046D62" w:rsidRDefault="00A50E96" w:rsidP="0074601E">
      <w:pPr>
        <w:spacing w:after="0"/>
        <w:jc w:val="both"/>
        <w:rPr>
          <w:rFonts w:cs="Times New Roman"/>
          <w:b/>
          <w:bCs/>
          <w:sz w:val="24"/>
          <w:szCs w:val="24"/>
          <w:lang w:val="en-US"/>
        </w:rPr>
      </w:pPr>
    </w:p>
    <w:p w14:paraId="55990D17" w14:textId="46A99036" w:rsidR="001363D8" w:rsidRPr="00E43082" w:rsidRDefault="00E43082" w:rsidP="00E43082">
      <w:pPr>
        <w:pStyle w:val="ListParagraph"/>
        <w:numPr>
          <w:ilvl w:val="1"/>
          <w:numId w:val="2"/>
        </w:numPr>
        <w:spacing w:after="0"/>
        <w:jc w:val="both"/>
        <w:rPr>
          <w:rFonts w:cs="Times New Roman"/>
          <w:b/>
          <w:bCs/>
          <w:sz w:val="24"/>
          <w:szCs w:val="24"/>
          <w:lang w:val="en-US"/>
        </w:rPr>
      </w:pPr>
      <w:bookmarkStart w:id="3" w:name="_Hlk160884430"/>
      <w:r>
        <w:rPr>
          <w:rFonts w:cs="Times New Roman"/>
          <w:b/>
          <w:bCs/>
          <w:color w:val="212121"/>
          <w:sz w:val="24"/>
          <w:szCs w:val="24"/>
          <w:shd w:val="clear" w:color="auto" w:fill="FFFFFF"/>
          <w:lang w:val="en-US"/>
        </w:rPr>
        <w:t xml:space="preserve"> </w:t>
      </w:r>
      <w:r w:rsidR="00A50E96" w:rsidRPr="00E43082">
        <w:rPr>
          <w:rFonts w:cs="Times New Roman"/>
          <w:b/>
          <w:bCs/>
          <w:color w:val="212121"/>
          <w:sz w:val="24"/>
          <w:szCs w:val="24"/>
          <w:shd w:val="clear" w:color="auto" w:fill="FFFFFF"/>
          <w:lang w:val="en-US"/>
        </w:rPr>
        <w:t xml:space="preserve">Effect of </w:t>
      </w:r>
      <w:r w:rsidR="00A50E96" w:rsidRPr="00E43082">
        <w:rPr>
          <w:rStyle w:val="Emphasis"/>
          <w:rFonts w:cs="Times New Roman"/>
          <w:b/>
          <w:bCs/>
          <w:color w:val="212121"/>
          <w:sz w:val="24"/>
          <w:szCs w:val="24"/>
          <w:shd w:val="clear" w:color="auto" w:fill="FFFFFF"/>
          <w:lang w:val="en-US"/>
        </w:rPr>
        <w:t>Fee Subsidy contract</w:t>
      </w:r>
      <w:r w:rsidR="00A50E96" w:rsidRPr="00E43082">
        <w:rPr>
          <w:rFonts w:cs="Times New Roman"/>
          <w:b/>
          <w:bCs/>
          <w:color w:val="212121"/>
          <w:sz w:val="24"/>
          <w:szCs w:val="24"/>
          <w:shd w:val="clear" w:color="auto" w:fill="FFFFFF"/>
          <w:lang w:val="en-US"/>
        </w:rPr>
        <w:t> </w:t>
      </w:r>
      <w:r w:rsidR="00046D62" w:rsidRPr="00E43082">
        <w:rPr>
          <w:rFonts w:cs="Times New Roman"/>
          <w:b/>
          <w:bCs/>
          <w:color w:val="212121"/>
          <w:sz w:val="24"/>
          <w:szCs w:val="24"/>
          <w:shd w:val="clear" w:color="auto" w:fill="FFFFFF"/>
          <w:lang w:val="en-US"/>
        </w:rPr>
        <w:t>and CWELCC</w:t>
      </w:r>
      <w:r w:rsidR="00A50E96" w:rsidRPr="00E43082">
        <w:rPr>
          <w:rStyle w:val="Emphasis"/>
          <w:rFonts w:cs="Times New Roman"/>
          <w:b/>
          <w:bCs/>
          <w:color w:val="212121"/>
          <w:sz w:val="24"/>
          <w:szCs w:val="24"/>
          <w:shd w:val="clear" w:color="auto" w:fill="FFFFFF"/>
          <w:lang w:val="en-US"/>
        </w:rPr>
        <w:t xml:space="preserve"> program</w:t>
      </w:r>
      <w:r w:rsidR="00A50E96" w:rsidRPr="00E43082">
        <w:rPr>
          <w:rFonts w:cs="Times New Roman"/>
          <w:b/>
          <w:bCs/>
          <w:color w:val="212121"/>
          <w:sz w:val="24"/>
          <w:szCs w:val="24"/>
          <w:shd w:val="clear" w:color="auto" w:fill="FFFFFF"/>
          <w:lang w:val="en-US"/>
        </w:rPr>
        <w:t> on childcare spaces</w:t>
      </w:r>
    </w:p>
    <w:p w14:paraId="058B418D" w14:textId="77777777" w:rsidR="00A50E96" w:rsidRPr="00046D62" w:rsidRDefault="00A50E96" w:rsidP="0074601E">
      <w:pPr>
        <w:spacing w:after="0"/>
        <w:jc w:val="both"/>
        <w:rPr>
          <w:rFonts w:cs="Times New Roman"/>
          <w:b/>
          <w:bCs/>
          <w:sz w:val="24"/>
          <w:szCs w:val="24"/>
          <w:lang w:val="en-US"/>
        </w:rPr>
      </w:pPr>
    </w:p>
    <w:p w14:paraId="2FDF28C4" w14:textId="577557BE" w:rsidR="00A50E96" w:rsidRPr="00046D62" w:rsidRDefault="00A50E96" w:rsidP="00A50E96">
      <w:pPr>
        <w:spacing w:after="0"/>
        <w:jc w:val="both"/>
        <w:rPr>
          <w:rFonts w:cs="Times New Roman"/>
          <w:sz w:val="24"/>
          <w:szCs w:val="24"/>
          <w:lang w:val="en-US"/>
        </w:rPr>
      </w:pPr>
      <w:r w:rsidRPr="00046D62">
        <w:rPr>
          <w:rFonts w:cs="Times New Roman"/>
          <w:b/>
          <w:bCs/>
          <w:sz w:val="24"/>
          <w:szCs w:val="24"/>
          <w:lang w:val="en-US"/>
        </w:rPr>
        <w:t>Research question 2.1:</w:t>
      </w:r>
      <w:r w:rsidRPr="00046D62">
        <w:rPr>
          <w:rFonts w:cs="Times New Roman"/>
          <w:sz w:val="24"/>
          <w:szCs w:val="24"/>
          <w:lang w:val="en-US"/>
        </w:rPr>
        <w:t xml:space="preserve"> Is there a statistically significant joint effect of having a fee subsidy contract and being part of a CWELCC program on the total childcare spaces available for all age groups in childcare centers?</w:t>
      </w:r>
    </w:p>
    <w:p w14:paraId="1F2BC1DE" w14:textId="77777777" w:rsidR="00A50E96" w:rsidRPr="00046D62" w:rsidRDefault="00A50E96" w:rsidP="00A50E96">
      <w:pPr>
        <w:spacing w:after="0"/>
        <w:jc w:val="both"/>
        <w:rPr>
          <w:rFonts w:cs="Times New Roman"/>
          <w:sz w:val="24"/>
          <w:szCs w:val="24"/>
          <w:lang w:val="en-US"/>
        </w:rPr>
      </w:pPr>
    </w:p>
    <w:p w14:paraId="01EDE4FC" w14:textId="65D75EC3" w:rsidR="00A22F9E" w:rsidRDefault="00A50E96" w:rsidP="00A22F9E">
      <w:pPr>
        <w:spacing w:after="0"/>
        <w:jc w:val="both"/>
        <w:rPr>
          <w:rFonts w:cs="Times New Roman"/>
          <w:sz w:val="24"/>
          <w:szCs w:val="24"/>
          <w:lang w:val="en-US"/>
        </w:rPr>
      </w:pPr>
      <w:r w:rsidRPr="00046D62">
        <w:rPr>
          <w:rFonts w:cs="Times New Roman"/>
          <w:b/>
          <w:bCs/>
          <w:sz w:val="24"/>
          <w:szCs w:val="24"/>
          <w:lang w:val="en-US"/>
        </w:rPr>
        <w:t>Research question 2.2:</w:t>
      </w:r>
      <w:r w:rsidRPr="00046D62">
        <w:rPr>
          <w:rFonts w:cs="Times New Roman"/>
          <w:sz w:val="24"/>
          <w:szCs w:val="24"/>
          <w:lang w:val="en-US"/>
        </w:rPr>
        <w:t xml:space="preserve"> Do fee subsidy contracts and CWELCC program interact in a way that significantly influences the variation in childcare spaces?</w:t>
      </w:r>
    </w:p>
    <w:p w14:paraId="311A894A" w14:textId="4E4EB31D" w:rsidR="001638F7" w:rsidRDefault="00A22F9E" w:rsidP="009C732B">
      <w:pPr>
        <w:spacing w:after="0"/>
        <w:ind w:firstLine="708"/>
        <w:jc w:val="both"/>
        <w:rPr>
          <w:rFonts w:cs="Times New Roman"/>
          <w:sz w:val="24"/>
          <w:szCs w:val="24"/>
          <w:lang w:val="en-US"/>
        </w:rPr>
      </w:pPr>
      <w:r>
        <w:rPr>
          <w:rFonts w:cs="Times New Roman"/>
          <w:sz w:val="24"/>
          <w:szCs w:val="24"/>
          <w:lang w:val="en-US"/>
        </w:rPr>
        <w:lastRenderedPageBreak/>
        <w:t xml:space="preserve">A </w:t>
      </w:r>
      <w:r w:rsidRPr="00A22F9E">
        <w:rPr>
          <w:rFonts w:cs="Times New Roman"/>
          <w:sz w:val="24"/>
          <w:szCs w:val="24"/>
          <w:lang w:val="en-US"/>
        </w:rPr>
        <w:t>two-way ANOVA has been employed to</w:t>
      </w:r>
      <w:r w:rsidR="00FA6DD9">
        <w:rPr>
          <w:rFonts w:cs="Times New Roman"/>
          <w:sz w:val="24"/>
          <w:szCs w:val="24"/>
          <w:lang w:val="en-US"/>
        </w:rPr>
        <w:t xml:space="preserve"> respond to research questions 2.1 and 2.2</w:t>
      </w:r>
      <w:r w:rsidRPr="00A22F9E">
        <w:rPr>
          <w:rFonts w:cs="Times New Roman"/>
          <w:sz w:val="24"/>
          <w:szCs w:val="24"/>
          <w:lang w:val="en-US"/>
        </w:rPr>
        <w:t>. To enhance the robustness of the analysis, a logarithmic transformation has been applied to the continuous variable 'TOTSPACE'</w:t>
      </w:r>
      <w:r w:rsidR="00FA6DD9">
        <w:rPr>
          <w:rFonts w:cs="Times New Roman"/>
          <w:sz w:val="24"/>
          <w:szCs w:val="24"/>
          <w:lang w:val="en-US"/>
        </w:rPr>
        <w:t xml:space="preserve">. </w:t>
      </w:r>
      <w:r w:rsidR="00A50E96" w:rsidRPr="00046D62">
        <w:rPr>
          <w:rFonts w:cs="Times New Roman"/>
          <w:sz w:val="24"/>
          <w:szCs w:val="24"/>
          <w:lang w:val="en-US"/>
        </w:rPr>
        <w:t xml:space="preserve">The p-values for </w:t>
      </w:r>
      <w:r w:rsidR="00046D62" w:rsidRPr="00046D62">
        <w:rPr>
          <w:rFonts w:cs="Times New Roman"/>
          <w:sz w:val="24"/>
          <w:szCs w:val="24"/>
          <w:lang w:val="en-US"/>
        </w:rPr>
        <w:t>availability</w:t>
      </w:r>
      <w:r w:rsidR="00A50E96" w:rsidRPr="00046D62">
        <w:rPr>
          <w:rFonts w:cs="Times New Roman"/>
          <w:sz w:val="24"/>
          <w:szCs w:val="24"/>
          <w:lang w:val="en-US"/>
        </w:rPr>
        <w:t xml:space="preserve"> of fee subsidy contract (p = 0.00000000000014) and participation in CWELCC program (p = 0.0012) are low (both p&lt;0.05), indicating that both variables individually have a significant impact on the log-transformed total childcare spaces.</w:t>
      </w:r>
      <w:r w:rsidR="00FA6DD9">
        <w:rPr>
          <w:rFonts w:cs="Times New Roman"/>
          <w:sz w:val="24"/>
          <w:szCs w:val="24"/>
          <w:lang w:val="en-US"/>
        </w:rPr>
        <w:t xml:space="preserve"> </w:t>
      </w:r>
      <w:r w:rsidR="001638F7" w:rsidRPr="00046D62">
        <w:rPr>
          <w:rFonts w:cs="Times New Roman"/>
          <w:sz w:val="24"/>
          <w:szCs w:val="24"/>
          <w:lang w:val="en-US"/>
        </w:rPr>
        <w:t xml:space="preserve">The p-value for the interaction between availability of fee subsidy contract and participation in CWELCC program (p=0.003179021) is also significant. The interaction effect significantly contributes to the variation in childcare </w:t>
      </w:r>
      <w:r w:rsidR="00E81BDA" w:rsidRPr="00046D62">
        <w:rPr>
          <w:rFonts w:cs="Times New Roman"/>
          <w:sz w:val="24"/>
          <w:szCs w:val="24"/>
          <w:lang w:val="en-US"/>
        </w:rPr>
        <w:t>spaces</w:t>
      </w:r>
      <w:r w:rsidR="00E81BDA">
        <w:rPr>
          <w:rFonts w:cs="Times New Roman"/>
          <w:sz w:val="24"/>
          <w:szCs w:val="24"/>
          <w:lang w:val="en-US"/>
        </w:rPr>
        <w:t xml:space="preserve"> (</w:t>
      </w:r>
      <w:r w:rsidR="004566DC">
        <w:rPr>
          <w:rFonts w:cs="Times New Roman"/>
          <w:sz w:val="24"/>
          <w:szCs w:val="24"/>
          <w:lang w:val="en-US"/>
        </w:rPr>
        <w:t>Table 3)</w:t>
      </w:r>
      <w:r w:rsidR="001638F7" w:rsidRPr="00046D62">
        <w:rPr>
          <w:rFonts w:cs="Times New Roman"/>
          <w:sz w:val="24"/>
          <w:szCs w:val="24"/>
          <w:lang w:val="en-US"/>
        </w:rPr>
        <w:t>.</w:t>
      </w:r>
    </w:p>
    <w:tbl>
      <w:tblPr>
        <w:tblStyle w:val="GridTable5Dark-Accent3"/>
        <w:tblW w:w="9134" w:type="dxa"/>
        <w:tblLook w:val="04A0" w:firstRow="1" w:lastRow="0" w:firstColumn="1" w:lastColumn="0" w:noHBand="0" w:noVBand="1"/>
      </w:tblPr>
      <w:tblGrid>
        <w:gridCol w:w="3705"/>
        <w:gridCol w:w="1538"/>
        <w:gridCol w:w="995"/>
        <w:gridCol w:w="1267"/>
        <w:gridCol w:w="1629"/>
      </w:tblGrid>
      <w:tr w:rsidR="001638F7" w:rsidRPr="001638F7" w14:paraId="3B865BEA" w14:textId="77FD2685" w:rsidTr="00764678">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3705" w:type="dxa"/>
            <w:hideMark/>
          </w:tcPr>
          <w:p w14:paraId="1629447C" w14:textId="624D0FD4" w:rsidR="001638F7" w:rsidRPr="00E81BDA" w:rsidRDefault="001638F7" w:rsidP="001638F7">
            <w:pPr>
              <w:jc w:val="center"/>
              <w:rPr>
                <w:rFonts w:eastAsia="Times New Roman" w:cs="Times New Roman"/>
                <w:sz w:val="20"/>
                <w:szCs w:val="20"/>
                <w:lang w:val="en-US"/>
              </w:rPr>
            </w:pPr>
          </w:p>
        </w:tc>
        <w:tc>
          <w:tcPr>
            <w:tcW w:w="1538" w:type="dxa"/>
            <w:hideMark/>
          </w:tcPr>
          <w:p w14:paraId="483514CD" w14:textId="4DF6BEA6" w:rsidR="001638F7" w:rsidRPr="00E81BDA" w:rsidRDefault="001638F7" w:rsidP="001638F7">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proofErr w:type="spellStart"/>
            <w:r w:rsidRPr="00E81BDA">
              <w:rPr>
                <w:rFonts w:eastAsia="Times New Roman" w:cs="Times New Roman"/>
                <w:sz w:val="20"/>
                <w:szCs w:val="20"/>
                <w:lang w:val="en-US"/>
              </w:rPr>
              <w:t>sum_sq</w:t>
            </w:r>
            <w:proofErr w:type="spellEnd"/>
          </w:p>
        </w:tc>
        <w:tc>
          <w:tcPr>
            <w:tcW w:w="995" w:type="dxa"/>
            <w:hideMark/>
          </w:tcPr>
          <w:p w14:paraId="376BC873" w14:textId="385BA2BD"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proofErr w:type="spellStart"/>
            <w:r w:rsidRPr="00E81BDA">
              <w:rPr>
                <w:rFonts w:eastAsia="Times New Roman" w:cs="Times New Roman"/>
                <w:sz w:val="20"/>
                <w:szCs w:val="20"/>
                <w:lang w:val="en-US"/>
              </w:rPr>
              <w:t>df</w:t>
            </w:r>
            <w:proofErr w:type="spellEnd"/>
          </w:p>
        </w:tc>
        <w:tc>
          <w:tcPr>
            <w:tcW w:w="1267" w:type="dxa"/>
            <w:hideMark/>
          </w:tcPr>
          <w:p w14:paraId="3CF5C4A9" w14:textId="562CBC15"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F</w:t>
            </w:r>
          </w:p>
        </w:tc>
        <w:tc>
          <w:tcPr>
            <w:tcW w:w="1629" w:type="dxa"/>
          </w:tcPr>
          <w:p w14:paraId="45BBA272" w14:textId="0D385031" w:rsidR="001638F7" w:rsidRPr="00E81BDA" w:rsidRDefault="001638F7" w:rsidP="001638F7">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rPr>
            </w:pPr>
            <w:r w:rsidRPr="00E81BDA">
              <w:rPr>
                <w:rFonts w:eastAsia="Times New Roman" w:cs="Times New Roman"/>
                <w:sz w:val="20"/>
                <w:szCs w:val="20"/>
                <w:lang w:val="en-US"/>
              </w:rPr>
              <w:t>PR(&gt;F)</w:t>
            </w:r>
          </w:p>
        </w:tc>
      </w:tr>
      <w:tr w:rsidR="00764678" w:rsidRPr="001638F7" w14:paraId="5C5DFC23" w14:textId="77777777" w:rsidTr="0076467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705" w:type="dxa"/>
            <w:hideMark/>
          </w:tcPr>
          <w:p w14:paraId="2C80F5A7" w14:textId="77777777" w:rsidR="001638F7" w:rsidRPr="00E81BDA" w:rsidRDefault="001638F7" w:rsidP="001638F7">
            <w:pPr>
              <w:jc w:val="center"/>
              <w:rPr>
                <w:rFonts w:eastAsia="Times New Roman" w:cs="Times New Roman"/>
                <w:sz w:val="20"/>
                <w:szCs w:val="20"/>
                <w:lang w:val="en-US"/>
              </w:rPr>
            </w:pPr>
            <w:r w:rsidRPr="00E81BDA">
              <w:rPr>
                <w:rFonts w:eastAsia="Times New Roman" w:cs="Times New Roman"/>
                <w:sz w:val="20"/>
                <w:szCs w:val="20"/>
                <w:lang w:val="en-US"/>
              </w:rPr>
              <w:t>C(SUBCONTR)</w:t>
            </w:r>
          </w:p>
        </w:tc>
        <w:tc>
          <w:tcPr>
            <w:tcW w:w="1538" w:type="dxa"/>
            <w:hideMark/>
          </w:tcPr>
          <w:p w14:paraId="6A5CD2BE"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19.920678</w:t>
            </w:r>
          </w:p>
        </w:tc>
        <w:tc>
          <w:tcPr>
            <w:tcW w:w="995" w:type="dxa"/>
            <w:hideMark/>
          </w:tcPr>
          <w:p w14:paraId="060DC361"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1.0</w:t>
            </w:r>
          </w:p>
        </w:tc>
        <w:tc>
          <w:tcPr>
            <w:tcW w:w="1267" w:type="dxa"/>
            <w:hideMark/>
          </w:tcPr>
          <w:p w14:paraId="590D197B"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56.030970</w:t>
            </w:r>
          </w:p>
        </w:tc>
        <w:tc>
          <w:tcPr>
            <w:tcW w:w="1629" w:type="dxa"/>
          </w:tcPr>
          <w:p w14:paraId="08EFB039" w14:textId="6EB6D546"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1.497549e-13</w:t>
            </w:r>
          </w:p>
        </w:tc>
      </w:tr>
      <w:tr w:rsidR="001638F7" w:rsidRPr="001638F7" w14:paraId="4F76B0F2" w14:textId="77777777" w:rsidTr="00764678">
        <w:trPr>
          <w:trHeight w:val="368"/>
        </w:trPr>
        <w:tc>
          <w:tcPr>
            <w:cnfStyle w:val="001000000000" w:firstRow="0" w:lastRow="0" w:firstColumn="1" w:lastColumn="0" w:oddVBand="0" w:evenVBand="0" w:oddHBand="0" w:evenHBand="0" w:firstRowFirstColumn="0" w:firstRowLastColumn="0" w:lastRowFirstColumn="0" w:lastRowLastColumn="0"/>
            <w:tcW w:w="3705" w:type="dxa"/>
            <w:hideMark/>
          </w:tcPr>
          <w:p w14:paraId="1C9EB5CA" w14:textId="77777777" w:rsidR="001638F7" w:rsidRPr="00E81BDA" w:rsidRDefault="001638F7" w:rsidP="001638F7">
            <w:pPr>
              <w:jc w:val="center"/>
              <w:rPr>
                <w:rFonts w:eastAsia="Times New Roman" w:cs="Times New Roman"/>
                <w:sz w:val="20"/>
                <w:szCs w:val="20"/>
                <w:lang w:val="en-US"/>
              </w:rPr>
            </w:pPr>
            <w:r w:rsidRPr="00E81BDA">
              <w:rPr>
                <w:rFonts w:eastAsia="Times New Roman" w:cs="Times New Roman"/>
                <w:sz w:val="20"/>
                <w:szCs w:val="20"/>
                <w:lang w:val="en-US"/>
              </w:rPr>
              <w:t>C(CWELCCFL)</w:t>
            </w:r>
          </w:p>
        </w:tc>
        <w:tc>
          <w:tcPr>
            <w:tcW w:w="1538" w:type="dxa"/>
            <w:hideMark/>
          </w:tcPr>
          <w:p w14:paraId="0FB0CF84"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3.730290</w:t>
            </w:r>
          </w:p>
        </w:tc>
        <w:tc>
          <w:tcPr>
            <w:tcW w:w="995" w:type="dxa"/>
            <w:hideMark/>
          </w:tcPr>
          <w:p w14:paraId="0D15B939"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1.0</w:t>
            </w:r>
          </w:p>
        </w:tc>
        <w:tc>
          <w:tcPr>
            <w:tcW w:w="1267" w:type="dxa"/>
            <w:hideMark/>
          </w:tcPr>
          <w:p w14:paraId="156F7103"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10.492201</w:t>
            </w:r>
          </w:p>
        </w:tc>
        <w:tc>
          <w:tcPr>
            <w:tcW w:w="1629" w:type="dxa"/>
          </w:tcPr>
          <w:p w14:paraId="633A4612" w14:textId="7720BFFC"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1.236067e-03</w:t>
            </w:r>
          </w:p>
        </w:tc>
      </w:tr>
      <w:tr w:rsidR="001638F7" w:rsidRPr="001638F7" w14:paraId="6C22D4D8" w14:textId="77777777" w:rsidTr="0076467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705" w:type="dxa"/>
            <w:hideMark/>
          </w:tcPr>
          <w:p w14:paraId="176F1DA4" w14:textId="77777777" w:rsidR="001638F7" w:rsidRPr="00E81BDA" w:rsidRDefault="001638F7" w:rsidP="001638F7">
            <w:pPr>
              <w:jc w:val="center"/>
              <w:rPr>
                <w:rFonts w:eastAsia="Times New Roman" w:cs="Times New Roman"/>
                <w:sz w:val="20"/>
                <w:szCs w:val="20"/>
                <w:lang w:val="en-US"/>
              </w:rPr>
            </w:pPr>
            <w:r w:rsidRPr="00E81BDA">
              <w:rPr>
                <w:rFonts w:eastAsia="Times New Roman" w:cs="Times New Roman"/>
                <w:sz w:val="20"/>
                <w:szCs w:val="20"/>
                <w:lang w:val="en-US"/>
              </w:rPr>
              <w:t>C(SUBCONTR):C(CWELCCFL)</w:t>
            </w:r>
          </w:p>
        </w:tc>
        <w:tc>
          <w:tcPr>
            <w:tcW w:w="1538" w:type="dxa"/>
            <w:hideMark/>
          </w:tcPr>
          <w:p w14:paraId="1CD0DB5F"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3.107954</w:t>
            </w:r>
          </w:p>
        </w:tc>
        <w:tc>
          <w:tcPr>
            <w:tcW w:w="995" w:type="dxa"/>
            <w:hideMark/>
          </w:tcPr>
          <w:p w14:paraId="137C873C"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1.0</w:t>
            </w:r>
          </w:p>
        </w:tc>
        <w:tc>
          <w:tcPr>
            <w:tcW w:w="1267" w:type="dxa"/>
            <w:hideMark/>
          </w:tcPr>
          <w:p w14:paraId="2B5CB35C" w14:textId="77777777"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8.741755</w:t>
            </w:r>
          </w:p>
        </w:tc>
        <w:tc>
          <w:tcPr>
            <w:tcW w:w="1629" w:type="dxa"/>
          </w:tcPr>
          <w:p w14:paraId="699E8E63" w14:textId="3E721391" w:rsidR="001638F7" w:rsidRPr="00E81BDA" w:rsidRDefault="001638F7" w:rsidP="001638F7">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3.179021e-03</w:t>
            </w:r>
          </w:p>
        </w:tc>
      </w:tr>
      <w:tr w:rsidR="001638F7" w:rsidRPr="001638F7" w14:paraId="140041E1" w14:textId="77777777" w:rsidTr="00764678">
        <w:trPr>
          <w:trHeight w:val="251"/>
        </w:trPr>
        <w:tc>
          <w:tcPr>
            <w:cnfStyle w:val="001000000000" w:firstRow="0" w:lastRow="0" w:firstColumn="1" w:lastColumn="0" w:oddVBand="0" w:evenVBand="0" w:oddHBand="0" w:evenHBand="0" w:firstRowFirstColumn="0" w:firstRowLastColumn="0" w:lastRowFirstColumn="0" w:lastRowLastColumn="0"/>
            <w:tcW w:w="3705" w:type="dxa"/>
            <w:hideMark/>
          </w:tcPr>
          <w:p w14:paraId="0F4C50D7" w14:textId="77777777" w:rsidR="001638F7" w:rsidRPr="00E81BDA" w:rsidRDefault="001638F7" w:rsidP="001638F7">
            <w:pPr>
              <w:jc w:val="center"/>
              <w:rPr>
                <w:rFonts w:eastAsia="Times New Roman" w:cs="Times New Roman"/>
                <w:sz w:val="20"/>
                <w:szCs w:val="20"/>
                <w:lang w:val="en-US"/>
              </w:rPr>
            </w:pPr>
            <w:r w:rsidRPr="00E81BDA">
              <w:rPr>
                <w:rFonts w:eastAsia="Times New Roman" w:cs="Times New Roman"/>
                <w:sz w:val="20"/>
                <w:szCs w:val="20"/>
                <w:lang w:val="en-US"/>
              </w:rPr>
              <w:t>Residual</w:t>
            </w:r>
          </w:p>
        </w:tc>
        <w:tc>
          <w:tcPr>
            <w:tcW w:w="1538" w:type="dxa"/>
            <w:hideMark/>
          </w:tcPr>
          <w:p w14:paraId="7DC61102"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376.506028</w:t>
            </w:r>
          </w:p>
        </w:tc>
        <w:tc>
          <w:tcPr>
            <w:tcW w:w="995" w:type="dxa"/>
            <w:hideMark/>
          </w:tcPr>
          <w:p w14:paraId="32876FD1"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rPr>
            </w:pPr>
            <w:r w:rsidRPr="00E81BDA">
              <w:rPr>
                <w:rFonts w:eastAsia="Times New Roman" w:cs="Times New Roman"/>
                <w:sz w:val="20"/>
                <w:szCs w:val="20"/>
                <w:lang w:val="en-US"/>
              </w:rPr>
              <w:t>1059.0</w:t>
            </w:r>
          </w:p>
        </w:tc>
        <w:tc>
          <w:tcPr>
            <w:tcW w:w="1267" w:type="dxa"/>
            <w:hideMark/>
          </w:tcPr>
          <w:p w14:paraId="10D96298" w14:textId="77777777"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rPr>
            </w:pPr>
            <w:proofErr w:type="spellStart"/>
            <w:r w:rsidRPr="00E81BDA">
              <w:rPr>
                <w:rFonts w:eastAsia="Times New Roman" w:cs="Times New Roman"/>
                <w:sz w:val="20"/>
                <w:szCs w:val="20"/>
                <w:lang w:val="en-US"/>
              </w:rPr>
              <w:t>NaN</w:t>
            </w:r>
            <w:proofErr w:type="spellEnd"/>
          </w:p>
        </w:tc>
        <w:tc>
          <w:tcPr>
            <w:tcW w:w="1629" w:type="dxa"/>
          </w:tcPr>
          <w:p w14:paraId="0230D75A" w14:textId="3965869B" w:rsidR="001638F7" w:rsidRPr="00E81BDA" w:rsidRDefault="001638F7" w:rsidP="001638F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rPr>
            </w:pPr>
            <w:proofErr w:type="spellStart"/>
            <w:r w:rsidRPr="00E81BDA">
              <w:rPr>
                <w:rFonts w:eastAsia="Times New Roman" w:cs="Times New Roman"/>
                <w:sz w:val="20"/>
                <w:szCs w:val="20"/>
                <w:lang w:val="en-US"/>
              </w:rPr>
              <w:t>NaN</w:t>
            </w:r>
            <w:proofErr w:type="spellEnd"/>
          </w:p>
        </w:tc>
      </w:tr>
    </w:tbl>
    <w:p w14:paraId="14C9DF4C" w14:textId="081570E4" w:rsidR="001638F7" w:rsidRPr="001F5E7D" w:rsidRDefault="001F5E7D" w:rsidP="001638F7">
      <w:pPr>
        <w:spacing w:after="0"/>
        <w:jc w:val="both"/>
        <w:rPr>
          <w:rFonts w:cs="Times New Roman"/>
          <w:b/>
          <w:bCs/>
          <w:sz w:val="24"/>
          <w:szCs w:val="24"/>
          <w:lang w:val="en-US"/>
        </w:rPr>
      </w:pPr>
      <w:r w:rsidRPr="001F5E7D">
        <w:rPr>
          <w:rFonts w:cs="Times New Roman"/>
          <w:b/>
          <w:bCs/>
          <w:sz w:val="24"/>
          <w:szCs w:val="24"/>
          <w:lang w:val="en-US"/>
        </w:rPr>
        <w:t>Table 3</w:t>
      </w:r>
    </w:p>
    <w:p w14:paraId="031DCDE7" w14:textId="7E8B9E17" w:rsidR="00A50E96" w:rsidRDefault="00A50E96" w:rsidP="00046D62">
      <w:pPr>
        <w:spacing w:after="0"/>
        <w:ind w:firstLine="720"/>
        <w:jc w:val="both"/>
        <w:rPr>
          <w:rFonts w:cs="Times New Roman"/>
          <w:sz w:val="24"/>
          <w:szCs w:val="24"/>
          <w:lang w:val="en-US"/>
        </w:rPr>
      </w:pPr>
      <w:r w:rsidRPr="00046D62">
        <w:rPr>
          <w:rFonts w:cs="Times New Roman"/>
          <w:sz w:val="24"/>
          <w:szCs w:val="24"/>
          <w:lang w:val="en-US"/>
        </w:rPr>
        <w:t>The interaction plot suggests that there is a</w:t>
      </w:r>
      <w:r w:rsidR="005754FD">
        <w:rPr>
          <w:rFonts w:cs="Times New Roman"/>
          <w:sz w:val="24"/>
          <w:szCs w:val="24"/>
          <w:lang w:val="en-US"/>
        </w:rPr>
        <w:t>n</w:t>
      </w:r>
      <w:r w:rsidRPr="00046D62">
        <w:rPr>
          <w:rFonts w:cs="Times New Roman"/>
          <w:sz w:val="24"/>
          <w:szCs w:val="24"/>
          <w:lang w:val="en-US"/>
        </w:rPr>
        <w:t xml:space="preserve"> interaction effect between </w:t>
      </w:r>
      <w:r w:rsidR="00046D62" w:rsidRPr="00046D62">
        <w:rPr>
          <w:rFonts w:cs="Times New Roman"/>
          <w:sz w:val="24"/>
          <w:szCs w:val="24"/>
          <w:lang w:val="en-US"/>
        </w:rPr>
        <w:t>availability</w:t>
      </w:r>
      <w:r w:rsidRPr="00046D62">
        <w:rPr>
          <w:rFonts w:cs="Times New Roman"/>
          <w:sz w:val="24"/>
          <w:szCs w:val="24"/>
          <w:lang w:val="en-US"/>
        </w:rPr>
        <w:t xml:space="preserve"> of fee subsidy </w:t>
      </w:r>
      <w:r w:rsidR="00046D62" w:rsidRPr="00046D62">
        <w:rPr>
          <w:rFonts w:cs="Times New Roman"/>
          <w:sz w:val="24"/>
          <w:szCs w:val="24"/>
          <w:lang w:val="en-US"/>
        </w:rPr>
        <w:t>and</w:t>
      </w:r>
      <w:r w:rsidRPr="00046D62">
        <w:rPr>
          <w:rFonts w:cs="Times New Roman"/>
          <w:sz w:val="24"/>
          <w:szCs w:val="24"/>
          <w:lang w:val="en-US"/>
        </w:rPr>
        <w:t xml:space="preserve"> participation of the center in CWELCC program, i.e. between categorical variables 'SUBCONTR' and 'CWELCCFL'. </w:t>
      </w:r>
      <w:r w:rsidR="007E700A" w:rsidRPr="007E700A">
        <w:rPr>
          <w:rFonts w:cs="Times New Roman"/>
          <w:sz w:val="24"/>
          <w:szCs w:val="24"/>
          <w:lang w:val="en-US"/>
        </w:rPr>
        <w:t xml:space="preserve">The crossing pattern indicates that the combined </w:t>
      </w:r>
      <w:r w:rsidR="007E700A">
        <w:rPr>
          <w:rFonts w:cs="Times New Roman"/>
          <w:sz w:val="24"/>
          <w:szCs w:val="24"/>
          <w:lang w:val="en-US"/>
        </w:rPr>
        <w:t xml:space="preserve">effect </w:t>
      </w:r>
      <w:r w:rsidR="007E700A" w:rsidRPr="007E700A">
        <w:rPr>
          <w:rFonts w:cs="Times New Roman"/>
          <w:sz w:val="24"/>
          <w:szCs w:val="24"/>
          <w:lang w:val="en-US"/>
        </w:rPr>
        <w:t>of having a fee subsidy contract and participating in the CWELCC program is not consistently positive or consistently negative across different levels. Instead, the interaction effect changes direction between the levels of the variables, suggesting a relationship between fee subsidies and CWELCC program participation in influencing childcare spaces.</w:t>
      </w:r>
      <w:r w:rsidR="007E700A">
        <w:rPr>
          <w:rFonts w:cs="Times New Roman"/>
          <w:sz w:val="24"/>
          <w:szCs w:val="24"/>
          <w:lang w:val="en-US"/>
        </w:rPr>
        <w:t xml:space="preserve"> </w:t>
      </w:r>
      <w:r w:rsidR="007E700A" w:rsidRPr="007E700A">
        <w:rPr>
          <w:rFonts w:cs="Times New Roman"/>
          <w:sz w:val="24"/>
          <w:szCs w:val="24"/>
          <w:lang w:val="en-US"/>
        </w:rPr>
        <w:t>This emphasizes the need to consider the joint effects of these variables</w:t>
      </w:r>
      <w:r w:rsidR="004566DC">
        <w:rPr>
          <w:rFonts w:cs="Times New Roman"/>
          <w:sz w:val="24"/>
          <w:szCs w:val="24"/>
          <w:lang w:val="en-US"/>
        </w:rPr>
        <w:t xml:space="preserve"> (Figure 8)</w:t>
      </w:r>
      <w:r w:rsidR="007E700A" w:rsidRPr="007E700A">
        <w:rPr>
          <w:rFonts w:cs="Times New Roman"/>
          <w:sz w:val="24"/>
          <w:szCs w:val="24"/>
          <w:lang w:val="en-US"/>
        </w:rPr>
        <w:t>.</w:t>
      </w:r>
    </w:p>
    <w:p w14:paraId="0468D778" w14:textId="77777777" w:rsidR="00E81BDA" w:rsidRPr="007E700A" w:rsidRDefault="00E81BDA" w:rsidP="00046D62">
      <w:pPr>
        <w:spacing w:after="0"/>
        <w:ind w:firstLine="720"/>
        <w:jc w:val="both"/>
        <w:rPr>
          <w:rFonts w:cs="Times New Roman"/>
          <w:sz w:val="24"/>
          <w:szCs w:val="24"/>
          <w:lang w:val="en-US"/>
        </w:rPr>
      </w:pPr>
    </w:p>
    <w:bookmarkEnd w:id="3"/>
    <w:p w14:paraId="7F1DD454" w14:textId="662F112F" w:rsidR="007E700A" w:rsidRPr="007E700A" w:rsidRDefault="00A50E96" w:rsidP="001F5E7D">
      <w:pPr>
        <w:spacing w:after="0"/>
        <w:jc w:val="both"/>
        <w:rPr>
          <w:rFonts w:cs="Times New Roman"/>
          <w:sz w:val="24"/>
          <w:szCs w:val="24"/>
          <w:lang w:val="en-US"/>
        </w:rPr>
      </w:pPr>
      <w:r w:rsidRPr="00046D62">
        <w:rPr>
          <w:rFonts w:cs="Times New Roman"/>
          <w:noProof/>
          <w:sz w:val="24"/>
          <w:szCs w:val="24"/>
        </w:rPr>
        <w:drawing>
          <wp:inline distT="0" distB="0" distL="0" distR="0" wp14:anchorId="08F4B9A2" wp14:editId="75728B05">
            <wp:extent cx="3824577" cy="2889250"/>
            <wp:effectExtent l="0" t="0" r="5080" b="6350"/>
            <wp:docPr id="1642364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677" r="7245"/>
                    <a:stretch/>
                  </pic:blipFill>
                  <pic:spPr bwMode="auto">
                    <a:xfrm>
                      <a:off x="0" y="0"/>
                      <a:ext cx="3824942" cy="2889526"/>
                    </a:xfrm>
                    <a:prstGeom prst="rect">
                      <a:avLst/>
                    </a:prstGeom>
                    <a:noFill/>
                    <a:ln>
                      <a:noFill/>
                    </a:ln>
                    <a:extLst>
                      <a:ext uri="{53640926-AAD7-44D8-BBD7-CCE9431645EC}">
                        <a14:shadowObscured xmlns:a14="http://schemas.microsoft.com/office/drawing/2010/main"/>
                      </a:ext>
                    </a:extLst>
                  </pic:spPr>
                </pic:pic>
              </a:graphicData>
            </a:graphic>
          </wp:inline>
        </w:drawing>
      </w:r>
      <w:bookmarkStart w:id="4" w:name="_Hlk160884438"/>
      <w:r w:rsidR="001F5E7D" w:rsidRPr="001F5E7D">
        <w:rPr>
          <w:rFonts w:cs="Times New Roman"/>
          <w:b/>
          <w:bCs/>
          <w:sz w:val="24"/>
          <w:szCs w:val="24"/>
          <w:lang w:val="en-US"/>
        </w:rPr>
        <w:t>Figure 8</w:t>
      </w:r>
      <w:r w:rsidR="001F5E7D">
        <w:rPr>
          <w:rFonts w:cs="Times New Roman"/>
          <w:sz w:val="24"/>
          <w:szCs w:val="24"/>
          <w:lang w:val="en-US"/>
        </w:rPr>
        <w:t xml:space="preserve"> </w:t>
      </w:r>
    </w:p>
    <w:p w14:paraId="18C41EAC" w14:textId="35AE9078" w:rsidR="00BF5419" w:rsidRDefault="007E700A" w:rsidP="00A50E96">
      <w:pPr>
        <w:spacing w:after="0"/>
        <w:ind w:firstLine="720"/>
        <w:jc w:val="both"/>
        <w:rPr>
          <w:rFonts w:cs="Times New Roman"/>
          <w:sz w:val="24"/>
          <w:szCs w:val="24"/>
          <w:lang w:val="en-US"/>
        </w:rPr>
      </w:pPr>
      <w:r w:rsidRPr="007E700A">
        <w:rPr>
          <w:rFonts w:cs="Times New Roman"/>
          <w:sz w:val="24"/>
          <w:szCs w:val="24"/>
          <w:lang w:val="en-US"/>
        </w:rPr>
        <w:t>The post hoc test results for the two-way ANOVA provide insights into the differences in childcare spaces across</w:t>
      </w:r>
      <w:r w:rsidR="00BD329B">
        <w:rPr>
          <w:rFonts w:cs="Times New Roman"/>
          <w:sz w:val="24"/>
          <w:szCs w:val="24"/>
          <w:lang w:val="en-US"/>
        </w:rPr>
        <w:t xml:space="preserve"> different</w:t>
      </w:r>
      <w:r w:rsidRPr="007E700A">
        <w:rPr>
          <w:rFonts w:cs="Times New Roman"/>
          <w:sz w:val="24"/>
          <w:szCs w:val="24"/>
          <w:lang w:val="en-US"/>
        </w:rPr>
        <w:t xml:space="preserve"> conditions.</w:t>
      </w:r>
      <w:r w:rsidR="00BD329B">
        <w:rPr>
          <w:rFonts w:cs="Times New Roman"/>
          <w:sz w:val="24"/>
          <w:szCs w:val="24"/>
          <w:lang w:val="en-US"/>
        </w:rPr>
        <w:t xml:space="preserve"> </w:t>
      </w:r>
      <w:r w:rsidR="00A50E96" w:rsidRPr="00046D62">
        <w:rPr>
          <w:rFonts w:cs="Times New Roman"/>
          <w:sz w:val="24"/>
          <w:szCs w:val="24"/>
          <w:lang w:val="en-US"/>
        </w:rPr>
        <w:t xml:space="preserve">The post hoc test </w:t>
      </w:r>
      <w:r w:rsidR="00046D62" w:rsidRPr="00046D62">
        <w:rPr>
          <w:rFonts w:cs="Times New Roman"/>
          <w:sz w:val="24"/>
          <w:szCs w:val="24"/>
          <w:lang w:val="en-US"/>
        </w:rPr>
        <w:t>suggests</w:t>
      </w:r>
      <w:r w:rsidR="00A50E96" w:rsidRPr="00046D62">
        <w:rPr>
          <w:rFonts w:cs="Times New Roman"/>
          <w:sz w:val="24"/>
          <w:szCs w:val="24"/>
          <w:lang w:val="en-US"/>
        </w:rPr>
        <w:t xml:space="preserve"> that there is </w:t>
      </w:r>
      <w:r w:rsidR="00046D62" w:rsidRPr="00046D62">
        <w:rPr>
          <w:rFonts w:cs="Times New Roman"/>
          <w:sz w:val="24"/>
          <w:szCs w:val="24"/>
          <w:lang w:val="en-US"/>
        </w:rPr>
        <w:t>no significant</w:t>
      </w:r>
      <w:r w:rsidR="00A50E96" w:rsidRPr="00046D62">
        <w:rPr>
          <w:rFonts w:cs="Times New Roman"/>
          <w:sz w:val="24"/>
          <w:szCs w:val="24"/>
          <w:lang w:val="en-US"/>
        </w:rPr>
        <w:t xml:space="preserve"> difference in </w:t>
      </w:r>
      <w:r w:rsidR="00A0287E" w:rsidRPr="00046D62">
        <w:rPr>
          <w:rFonts w:cs="Times New Roman"/>
          <w:sz w:val="24"/>
          <w:szCs w:val="24"/>
          <w:lang w:val="en-US"/>
        </w:rPr>
        <w:t>childcare</w:t>
      </w:r>
      <w:r w:rsidR="00A50E96" w:rsidRPr="00046D62">
        <w:rPr>
          <w:rFonts w:cs="Times New Roman"/>
          <w:sz w:val="24"/>
          <w:szCs w:val="24"/>
          <w:lang w:val="en-US"/>
        </w:rPr>
        <w:t xml:space="preserve"> spaces between centers with fee </w:t>
      </w:r>
      <w:r w:rsidRPr="00046D62">
        <w:rPr>
          <w:rFonts w:cs="Times New Roman"/>
          <w:sz w:val="24"/>
          <w:szCs w:val="24"/>
          <w:lang w:val="en-US"/>
        </w:rPr>
        <w:t>subsidies</w:t>
      </w:r>
      <w:r w:rsidR="00046D62" w:rsidRPr="00046D62">
        <w:rPr>
          <w:rFonts w:cs="Times New Roman"/>
          <w:sz w:val="24"/>
          <w:szCs w:val="24"/>
          <w:lang w:val="en-US"/>
        </w:rPr>
        <w:t xml:space="preserve"> that</w:t>
      </w:r>
      <w:r w:rsidR="00A50E96" w:rsidRPr="00046D62">
        <w:rPr>
          <w:rFonts w:cs="Times New Roman"/>
          <w:sz w:val="24"/>
          <w:szCs w:val="24"/>
          <w:lang w:val="en-US"/>
        </w:rPr>
        <w:t xml:space="preserve"> are part of CWELCC program and those that are not the part of the CWELL program. </w:t>
      </w:r>
      <w:r w:rsidR="00BD329B" w:rsidRPr="00046D62">
        <w:rPr>
          <w:rFonts w:cs="Times New Roman"/>
          <w:sz w:val="24"/>
          <w:szCs w:val="24"/>
          <w:lang w:val="en-US"/>
        </w:rPr>
        <w:t>The p value in this instance equals 0.41</w:t>
      </w:r>
      <w:r w:rsidR="00DD7DC9">
        <w:rPr>
          <w:rFonts w:cs="Times New Roman"/>
          <w:sz w:val="24"/>
          <w:szCs w:val="24"/>
          <w:lang w:val="en-US"/>
        </w:rPr>
        <w:t>589</w:t>
      </w:r>
      <w:r w:rsidR="00BD329B" w:rsidRPr="00046D62">
        <w:rPr>
          <w:rFonts w:cs="Times New Roman"/>
          <w:sz w:val="24"/>
          <w:szCs w:val="24"/>
          <w:lang w:val="en-US"/>
        </w:rPr>
        <w:t xml:space="preserve">. </w:t>
      </w:r>
      <w:r w:rsidR="00DD7DC9">
        <w:rPr>
          <w:rFonts w:cs="Times New Roman"/>
          <w:sz w:val="24"/>
          <w:szCs w:val="24"/>
          <w:lang w:val="en-US"/>
        </w:rPr>
        <w:t xml:space="preserve">In </w:t>
      </w:r>
      <w:proofErr w:type="spellStart"/>
      <w:r w:rsidR="00DD7DC9">
        <w:rPr>
          <w:rFonts w:cs="Times New Roman"/>
          <w:sz w:val="24"/>
          <w:szCs w:val="24"/>
          <w:lang w:val="en-US"/>
        </w:rPr>
        <w:t>constrast</w:t>
      </w:r>
      <w:proofErr w:type="spellEnd"/>
      <w:r w:rsidR="00BD329B" w:rsidRPr="00BD329B">
        <w:rPr>
          <w:rFonts w:cs="Times New Roman"/>
          <w:sz w:val="24"/>
          <w:szCs w:val="24"/>
          <w:lang w:val="en-US"/>
        </w:rPr>
        <w:t>, in all other pairwise comparisons, the p-values are notably low, suggesting significant differences</w:t>
      </w:r>
      <w:r w:rsidR="005754FD">
        <w:rPr>
          <w:rFonts w:cs="Times New Roman"/>
          <w:sz w:val="24"/>
          <w:szCs w:val="24"/>
          <w:lang w:val="en-US"/>
        </w:rPr>
        <w:t xml:space="preserve"> (Table 4)</w:t>
      </w:r>
      <w:r w:rsidR="00BD329B" w:rsidRPr="00BD329B">
        <w:rPr>
          <w:rFonts w:cs="Times New Roman"/>
          <w:sz w:val="24"/>
          <w:szCs w:val="24"/>
          <w:lang w:val="en-US"/>
        </w:rPr>
        <w:t>.</w:t>
      </w:r>
      <w:r w:rsidR="00BD329B">
        <w:rPr>
          <w:rFonts w:cs="Times New Roman"/>
          <w:sz w:val="24"/>
          <w:szCs w:val="24"/>
          <w:lang w:val="en-US"/>
        </w:rPr>
        <w:t xml:space="preserve"> </w:t>
      </w:r>
    </w:p>
    <w:p w14:paraId="2002D1B2" w14:textId="77777777" w:rsidR="00E81BDA" w:rsidRDefault="00E81BDA" w:rsidP="00A50E96">
      <w:pPr>
        <w:spacing w:after="0"/>
        <w:ind w:firstLine="720"/>
        <w:jc w:val="both"/>
        <w:rPr>
          <w:rFonts w:cs="Times New Roman"/>
          <w:sz w:val="24"/>
          <w:szCs w:val="24"/>
          <w:lang w:val="en-US"/>
        </w:rPr>
      </w:pPr>
    </w:p>
    <w:p w14:paraId="77FD5DE2" w14:textId="77777777" w:rsidR="00E81BDA" w:rsidRDefault="00E81BDA" w:rsidP="00A50E96">
      <w:pPr>
        <w:spacing w:after="0"/>
        <w:ind w:firstLine="720"/>
        <w:jc w:val="both"/>
        <w:rPr>
          <w:rFonts w:cs="Times New Roman"/>
          <w:sz w:val="24"/>
          <w:szCs w:val="24"/>
          <w:lang w:val="en-US"/>
        </w:rPr>
      </w:pPr>
    </w:p>
    <w:p w14:paraId="148525B6" w14:textId="77777777" w:rsidR="00E81BDA" w:rsidRPr="00046D62" w:rsidRDefault="00E81BDA" w:rsidP="00A50E96">
      <w:pPr>
        <w:spacing w:after="0"/>
        <w:ind w:firstLine="720"/>
        <w:jc w:val="both"/>
        <w:rPr>
          <w:rFonts w:cs="Times New Roman"/>
          <w:sz w:val="24"/>
          <w:szCs w:val="24"/>
          <w:lang w:val="en-US"/>
        </w:rPr>
      </w:pPr>
    </w:p>
    <w:tbl>
      <w:tblPr>
        <w:tblStyle w:val="GridTable4-Accent3"/>
        <w:tblW w:w="9185" w:type="dxa"/>
        <w:tblLook w:val="04A0" w:firstRow="1" w:lastRow="0" w:firstColumn="1" w:lastColumn="0" w:noHBand="0" w:noVBand="1"/>
      </w:tblPr>
      <w:tblGrid>
        <w:gridCol w:w="356"/>
        <w:gridCol w:w="1571"/>
        <w:gridCol w:w="1571"/>
        <w:gridCol w:w="1089"/>
        <w:gridCol w:w="1164"/>
        <w:gridCol w:w="1089"/>
        <w:gridCol w:w="1202"/>
        <w:gridCol w:w="1143"/>
      </w:tblGrid>
      <w:tr w:rsidR="00764678" w:rsidRPr="00E81BDA" w14:paraId="4A5A9241" w14:textId="260317D9" w:rsidTr="00764678">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tcPr>
          <w:p w14:paraId="3271FCE3" w14:textId="24B0056F" w:rsidR="00BF5419" w:rsidRPr="00E81BDA" w:rsidRDefault="00BF5419" w:rsidP="00BF5419">
            <w:pPr>
              <w:jc w:val="right"/>
              <w:rPr>
                <w:rFonts w:eastAsia="Times New Roman" w:cs="Times New Roman"/>
                <w:color w:val="212121"/>
                <w:sz w:val="20"/>
                <w:szCs w:val="20"/>
                <w:lang w:val="en-US"/>
              </w:rPr>
            </w:pPr>
          </w:p>
        </w:tc>
        <w:tc>
          <w:tcPr>
            <w:tcW w:w="0" w:type="auto"/>
          </w:tcPr>
          <w:p w14:paraId="59FF5EEA" w14:textId="2B96E9B0" w:rsidR="00BF5419" w:rsidRPr="00E81BDA" w:rsidRDefault="00BF5419" w:rsidP="00BF541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group1</w:t>
            </w:r>
          </w:p>
        </w:tc>
        <w:tc>
          <w:tcPr>
            <w:tcW w:w="0" w:type="auto"/>
          </w:tcPr>
          <w:p w14:paraId="34E917AB" w14:textId="70E1CA44" w:rsidR="00BF5419" w:rsidRPr="00E81BDA" w:rsidRDefault="00BF5419" w:rsidP="00BF5419">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group2</w:t>
            </w:r>
          </w:p>
        </w:tc>
        <w:tc>
          <w:tcPr>
            <w:tcW w:w="0" w:type="auto"/>
          </w:tcPr>
          <w:p w14:paraId="6D3DBABC" w14:textId="2119924F" w:rsidR="00BF5419" w:rsidRPr="00E81BDA" w:rsidRDefault="00BF5419" w:rsidP="00BF5419">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Diff</w:t>
            </w:r>
          </w:p>
        </w:tc>
        <w:tc>
          <w:tcPr>
            <w:tcW w:w="0" w:type="auto"/>
          </w:tcPr>
          <w:p w14:paraId="7431A04D" w14:textId="6D0EA10F" w:rsidR="00BF5419" w:rsidRPr="00E81BDA" w:rsidRDefault="00BF5419" w:rsidP="00BF5419">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Lower</w:t>
            </w:r>
          </w:p>
        </w:tc>
        <w:tc>
          <w:tcPr>
            <w:tcW w:w="0" w:type="auto"/>
          </w:tcPr>
          <w:p w14:paraId="2EDF9A4B" w14:textId="6545BDC6" w:rsidR="00BF5419" w:rsidRPr="00E81BDA" w:rsidRDefault="00BF5419" w:rsidP="00BF5419">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Upper</w:t>
            </w:r>
          </w:p>
        </w:tc>
        <w:tc>
          <w:tcPr>
            <w:tcW w:w="0" w:type="auto"/>
          </w:tcPr>
          <w:p w14:paraId="532EED83" w14:textId="3F8E428D" w:rsidR="00BF5419" w:rsidRPr="00E81BDA" w:rsidRDefault="00BF5419" w:rsidP="00BF5419">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q-value</w:t>
            </w:r>
          </w:p>
        </w:tc>
        <w:tc>
          <w:tcPr>
            <w:tcW w:w="1143" w:type="dxa"/>
          </w:tcPr>
          <w:p w14:paraId="5FB6B360" w14:textId="4F9BEB18" w:rsidR="00BF5419" w:rsidRPr="00E81BDA" w:rsidRDefault="00BF5419" w:rsidP="00BF5419">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212121"/>
                <w:sz w:val="20"/>
                <w:szCs w:val="20"/>
                <w:lang w:val="en-US"/>
              </w:rPr>
            </w:pPr>
            <w:r w:rsidRPr="00E81BDA">
              <w:rPr>
                <w:rFonts w:eastAsia="Times New Roman" w:cs="Times New Roman"/>
                <w:color w:val="212121"/>
                <w:sz w:val="20"/>
                <w:szCs w:val="20"/>
                <w:lang w:val="en-US"/>
              </w:rPr>
              <w:t>p-value</w:t>
            </w:r>
          </w:p>
        </w:tc>
      </w:tr>
      <w:tr w:rsidR="00764678" w:rsidRPr="00E81BDA" w14:paraId="2E343782" w14:textId="77777777" w:rsidTr="00764678">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0FA9B563" w14:textId="77777777" w:rsidR="00BF5419" w:rsidRPr="00E81BDA" w:rsidRDefault="00BF5419" w:rsidP="00BF5419">
            <w:pPr>
              <w:jc w:val="center"/>
              <w:rPr>
                <w:rFonts w:eastAsia="Times New Roman" w:cs="Times New Roman"/>
                <w:color w:val="212121"/>
                <w:sz w:val="20"/>
                <w:szCs w:val="20"/>
                <w:lang w:val="en-US"/>
              </w:rPr>
            </w:pPr>
            <w:r w:rsidRPr="00E81BDA">
              <w:rPr>
                <w:rFonts w:eastAsia="Times New Roman" w:cs="Times New Roman"/>
                <w:color w:val="212121"/>
                <w:sz w:val="20"/>
                <w:szCs w:val="20"/>
                <w:lang w:val="en-US"/>
              </w:rPr>
              <w:t>0</w:t>
            </w:r>
          </w:p>
        </w:tc>
        <w:tc>
          <w:tcPr>
            <w:tcW w:w="0" w:type="auto"/>
            <w:hideMark/>
          </w:tcPr>
          <w:p w14:paraId="7CA04E69"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(Y, Part)</w:t>
            </w:r>
          </w:p>
        </w:tc>
        <w:tc>
          <w:tcPr>
            <w:tcW w:w="0" w:type="auto"/>
            <w:hideMark/>
          </w:tcPr>
          <w:p w14:paraId="2CECFBDF"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(Y, NOPART)</w:t>
            </w:r>
          </w:p>
        </w:tc>
        <w:tc>
          <w:tcPr>
            <w:tcW w:w="0" w:type="auto"/>
            <w:hideMark/>
          </w:tcPr>
          <w:p w14:paraId="1A8758E1"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0.256861</w:t>
            </w:r>
          </w:p>
        </w:tc>
        <w:tc>
          <w:tcPr>
            <w:tcW w:w="0" w:type="auto"/>
            <w:hideMark/>
          </w:tcPr>
          <w:p w14:paraId="5569726C"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-0.172573</w:t>
            </w:r>
          </w:p>
        </w:tc>
        <w:tc>
          <w:tcPr>
            <w:tcW w:w="0" w:type="auto"/>
            <w:hideMark/>
          </w:tcPr>
          <w:p w14:paraId="49578C66"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0.686295</w:t>
            </w:r>
          </w:p>
        </w:tc>
        <w:tc>
          <w:tcPr>
            <w:tcW w:w="0" w:type="auto"/>
            <w:hideMark/>
          </w:tcPr>
          <w:p w14:paraId="3EB205DD"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2.176605</w:t>
            </w:r>
          </w:p>
        </w:tc>
        <w:tc>
          <w:tcPr>
            <w:tcW w:w="1143" w:type="dxa"/>
          </w:tcPr>
          <w:p w14:paraId="1799921C" w14:textId="0A0F90C6"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0.415859</w:t>
            </w:r>
          </w:p>
        </w:tc>
      </w:tr>
      <w:tr w:rsidR="00BF5419" w:rsidRPr="00E81BDA" w14:paraId="5AE923F4" w14:textId="77777777" w:rsidTr="00764678">
        <w:trPr>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244240EF" w14:textId="77777777" w:rsidR="00BF5419" w:rsidRPr="00E81BDA" w:rsidRDefault="00BF5419" w:rsidP="00BF5419">
            <w:pPr>
              <w:jc w:val="center"/>
              <w:rPr>
                <w:rFonts w:eastAsia="Times New Roman" w:cs="Times New Roman"/>
                <w:color w:val="212121"/>
                <w:sz w:val="20"/>
                <w:szCs w:val="20"/>
                <w:lang w:val="en-US"/>
              </w:rPr>
            </w:pPr>
            <w:r w:rsidRPr="00E81BDA">
              <w:rPr>
                <w:rFonts w:eastAsia="Times New Roman" w:cs="Times New Roman"/>
                <w:color w:val="212121"/>
                <w:sz w:val="20"/>
                <w:szCs w:val="20"/>
                <w:lang w:val="en-US"/>
              </w:rPr>
              <w:t>1</w:t>
            </w:r>
          </w:p>
        </w:tc>
        <w:tc>
          <w:tcPr>
            <w:tcW w:w="0" w:type="auto"/>
            <w:hideMark/>
          </w:tcPr>
          <w:p w14:paraId="1CC1C7F9"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(Y, Part)</w:t>
            </w:r>
          </w:p>
        </w:tc>
        <w:tc>
          <w:tcPr>
            <w:tcW w:w="0" w:type="auto"/>
            <w:hideMark/>
          </w:tcPr>
          <w:p w14:paraId="5121694F"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(N, Part)</w:t>
            </w:r>
          </w:p>
        </w:tc>
        <w:tc>
          <w:tcPr>
            <w:tcW w:w="0" w:type="auto"/>
            <w:hideMark/>
          </w:tcPr>
          <w:p w14:paraId="09D1CAFA"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0.297904</w:t>
            </w:r>
          </w:p>
        </w:tc>
        <w:tc>
          <w:tcPr>
            <w:tcW w:w="0" w:type="auto"/>
            <w:hideMark/>
          </w:tcPr>
          <w:p w14:paraId="5064930A"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0.179623</w:t>
            </w:r>
          </w:p>
        </w:tc>
        <w:tc>
          <w:tcPr>
            <w:tcW w:w="0" w:type="auto"/>
            <w:hideMark/>
          </w:tcPr>
          <w:p w14:paraId="3D69C5A4"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0.416186</w:t>
            </w:r>
          </w:p>
        </w:tc>
        <w:tc>
          <w:tcPr>
            <w:tcW w:w="0" w:type="auto"/>
            <w:hideMark/>
          </w:tcPr>
          <w:p w14:paraId="1DD00AB5"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9.165143</w:t>
            </w:r>
          </w:p>
        </w:tc>
        <w:tc>
          <w:tcPr>
            <w:tcW w:w="1143" w:type="dxa"/>
          </w:tcPr>
          <w:p w14:paraId="47F24CFF" w14:textId="1231B015"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0.001000</w:t>
            </w:r>
          </w:p>
        </w:tc>
      </w:tr>
      <w:tr w:rsidR="00764678" w:rsidRPr="00E81BDA" w14:paraId="55A977A9" w14:textId="77777777" w:rsidTr="0076467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0" w:type="auto"/>
            <w:hideMark/>
          </w:tcPr>
          <w:p w14:paraId="3D152CF2" w14:textId="77777777" w:rsidR="00BF5419" w:rsidRPr="00E81BDA" w:rsidRDefault="00BF5419" w:rsidP="00BF5419">
            <w:pPr>
              <w:jc w:val="center"/>
              <w:rPr>
                <w:rFonts w:eastAsia="Times New Roman" w:cs="Times New Roman"/>
                <w:color w:val="212121"/>
                <w:sz w:val="20"/>
                <w:szCs w:val="20"/>
                <w:lang w:val="en-US"/>
              </w:rPr>
            </w:pPr>
            <w:r w:rsidRPr="00E81BDA">
              <w:rPr>
                <w:rFonts w:eastAsia="Times New Roman" w:cs="Times New Roman"/>
                <w:color w:val="212121"/>
                <w:sz w:val="20"/>
                <w:szCs w:val="20"/>
                <w:lang w:val="en-US"/>
              </w:rPr>
              <w:t>2</w:t>
            </w:r>
          </w:p>
        </w:tc>
        <w:tc>
          <w:tcPr>
            <w:tcW w:w="0" w:type="auto"/>
            <w:hideMark/>
          </w:tcPr>
          <w:p w14:paraId="706A0991"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(Y, Part)</w:t>
            </w:r>
          </w:p>
        </w:tc>
        <w:tc>
          <w:tcPr>
            <w:tcW w:w="0" w:type="auto"/>
            <w:hideMark/>
          </w:tcPr>
          <w:p w14:paraId="2EFDEEB9"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(N, NOPART)</w:t>
            </w:r>
          </w:p>
        </w:tc>
        <w:tc>
          <w:tcPr>
            <w:tcW w:w="0" w:type="auto"/>
            <w:hideMark/>
          </w:tcPr>
          <w:p w14:paraId="5EBBEA2D"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0.572653</w:t>
            </w:r>
          </w:p>
        </w:tc>
        <w:tc>
          <w:tcPr>
            <w:tcW w:w="0" w:type="auto"/>
            <w:hideMark/>
          </w:tcPr>
          <w:p w14:paraId="6A139850"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0.423246</w:t>
            </w:r>
          </w:p>
        </w:tc>
        <w:tc>
          <w:tcPr>
            <w:tcW w:w="0" w:type="auto"/>
            <w:hideMark/>
          </w:tcPr>
          <w:p w14:paraId="0CC71859"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0.722061</w:t>
            </w:r>
          </w:p>
        </w:tc>
        <w:tc>
          <w:tcPr>
            <w:tcW w:w="0" w:type="auto"/>
            <w:hideMark/>
          </w:tcPr>
          <w:p w14:paraId="4CFDB54B"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13.947515</w:t>
            </w:r>
          </w:p>
        </w:tc>
        <w:tc>
          <w:tcPr>
            <w:tcW w:w="1143" w:type="dxa"/>
          </w:tcPr>
          <w:p w14:paraId="22602D46" w14:textId="173CD94B"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0.001000</w:t>
            </w:r>
          </w:p>
        </w:tc>
      </w:tr>
      <w:tr w:rsidR="00BF5419" w:rsidRPr="00E81BDA" w14:paraId="40D18E4A" w14:textId="77777777" w:rsidTr="00764678">
        <w:trPr>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61606AC8" w14:textId="77777777" w:rsidR="00BF5419" w:rsidRPr="00E81BDA" w:rsidRDefault="00BF5419" w:rsidP="00BF5419">
            <w:pPr>
              <w:jc w:val="center"/>
              <w:rPr>
                <w:rFonts w:eastAsia="Times New Roman" w:cs="Times New Roman"/>
                <w:color w:val="212121"/>
                <w:sz w:val="20"/>
                <w:szCs w:val="20"/>
                <w:lang w:val="en-US"/>
              </w:rPr>
            </w:pPr>
            <w:r w:rsidRPr="00E81BDA">
              <w:rPr>
                <w:rFonts w:eastAsia="Times New Roman" w:cs="Times New Roman"/>
                <w:color w:val="212121"/>
                <w:sz w:val="20"/>
                <w:szCs w:val="20"/>
                <w:lang w:val="en-US"/>
              </w:rPr>
              <w:t>3</w:t>
            </w:r>
          </w:p>
        </w:tc>
        <w:tc>
          <w:tcPr>
            <w:tcW w:w="0" w:type="auto"/>
            <w:hideMark/>
          </w:tcPr>
          <w:p w14:paraId="4AED5312"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(Y, NOPART)</w:t>
            </w:r>
          </w:p>
        </w:tc>
        <w:tc>
          <w:tcPr>
            <w:tcW w:w="0" w:type="auto"/>
            <w:hideMark/>
          </w:tcPr>
          <w:p w14:paraId="0D98C045"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(N, Part)</w:t>
            </w:r>
          </w:p>
        </w:tc>
        <w:tc>
          <w:tcPr>
            <w:tcW w:w="0" w:type="auto"/>
            <w:hideMark/>
          </w:tcPr>
          <w:p w14:paraId="3814CBAB"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0.554766</w:t>
            </w:r>
          </w:p>
        </w:tc>
        <w:tc>
          <w:tcPr>
            <w:tcW w:w="0" w:type="auto"/>
            <w:hideMark/>
          </w:tcPr>
          <w:p w14:paraId="10D6263B"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0.116900</w:t>
            </w:r>
          </w:p>
        </w:tc>
        <w:tc>
          <w:tcPr>
            <w:tcW w:w="0" w:type="auto"/>
            <w:hideMark/>
          </w:tcPr>
          <w:p w14:paraId="02856760"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0.992631</w:t>
            </w:r>
          </w:p>
        </w:tc>
        <w:tc>
          <w:tcPr>
            <w:tcW w:w="0" w:type="auto"/>
            <w:hideMark/>
          </w:tcPr>
          <w:p w14:paraId="52DB7B5B"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4.610484</w:t>
            </w:r>
          </w:p>
        </w:tc>
        <w:tc>
          <w:tcPr>
            <w:tcW w:w="1143" w:type="dxa"/>
          </w:tcPr>
          <w:p w14:paraId="7755857B" w14:textId="1468C68D"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0.006311</w:t>
            </w:r>
          </w:p>
        </w:tc>
      </w:tr>
      <w:tr w:rsidR="00764678" w:rsidRPr="00E81BDA" w14:paraId="53A55FED" w14:textId="77777777" w:rsidTr="00764678">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424C7A6F" w14:textId="77777777" w:rsidR="00BF5419" w:rsidRPr="00E81BDA" w:rsidRDefault="00BF5419" w:rsidP="00BF5419">
            <w:pPr>
              <w:jc w:val="center"/>
              <w:rPr>
                <w:rFonts w:eastAsia="Times New Roman" w:cs="Times New Roman"/>
                <w:color w:val="212121"/>
                <w:sz w:val="20"/>
                <w:szCs w:val="20"/>
                <w:lang w:val="en-US"/>
              </w:rPr>
            </w:pPr>
            <w:r w:rsidRPr="00E81BDA">
              <w:rPr>
                <w:rFonts w:eastAsia="Times New Roman" w:cs="Times New Roman"/>
                <w:color w:val="212121"/>
                <w:sz w:val="20"/>
                <w:szCs w:val="20"/>
                <w:lang w:val="en-US"/>
              </w:rPr>
              <w:t>4</w:t>
            </w:r>
          </w:p>
        </w:tc>
        <w:tc>
          <w:tcPr>
            <w:tcW w:w="0" w:type="auto"/>
            <w:hideMark/>
          </w:tcPr>
          <w:p w14:paraId="0B01CE18"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(Y, NOPART)</w:t>
            </w:r>
          </w:p>
        </w:tc>
        <w:tc>
          <w:tcPr>
            <w:tcW w:w="0" w:type="auto"/>
            <w:hideMark/>
          </w:tcPr>
          <w:p w14:paraId="5F4C130F"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(N, NOPART)</w:t>
            </w:r>
          </w:p>
        </w:tc>
        <w:tc>
          <w:tcPr>
            <w:tcW w:w="0" w:type="auto"/>
            <w:hideMark/>
          </w:tcPr>
          <w:p w14:paraId="048403F7"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0.829514</w:t>
            </w:r>
          </w:p>
        </w:tc>
        <w:tc>
          <w:tcPr>
            <w:tcW w:w="0" w:type="auto"/>
            <w:hideMark/>
          </w:tcPr>
          <w:p w14:paraId="5798C237"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0.382235</w:t>
            </w:r>
          </w:p>
        </w:tc>
        <w:tc>
          <w:tcPr>
            <w:tcW w:w="0" w:type="auto"/>
            <w:hideMark/>
          </w:tcPr>
          <w:p w14:paraId="1A5FAD9F"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1.276793</w:t>
            </w:r>
          </w:p>
        </w:tc>
        <w:tc>
          <w:tcPr>
            <w:tcW w:w="0" w:type="auto"/>
            <w:hideMark/>
          </w:tcPr>
          <w:p w14:paraId="639466FB" w14:textId="77777777"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6.748748</w:t>
            </w:r>
          </w:p>
        </w:tc>
        <w:tc>
          <w:tcPr>
            <w:tcW w:w="1143" w:type="dxa"/>
          </w:tcPr>
          <w:p w14:paraId="312A2EDE" w14:textId="1295BA76" w:rsidR="00BF5419" w:rsidRPr="00E81BDA" w:rsidRDefault="00BF5419" w:rsidP="00BF541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0.001000</w:t>
            </w:r>
          </w:p>
        </w:tc>
      </w:tr>
      <w:tr w:rsidR="00BF5419" w:rsidRPr="00E81BDA" w14:paraId="7F5C89B8" w14:textId="77777777" w:rsidTr="00764678">
        <w:trPr>
          <w:trHeight w:val="357"/>
        </w:trPr>
        <w:tc>
          <w:tcPr>
            <w:cnfStyle w:val="001000000000" w:firstRow="0" w:lastRow="0" w:firstColumn="1" w:lastColumn="0" w:oddVBand="0" w:evenVBand="0" w:oddHBand="0" w:evenHBand="0" w:firstRowFirstColumn="0" w:firstRowLastColumn="0" w:lastRowFirstColumn="0" w:lastRowLastColumn="0"/>
            <w:tcW w:w="0" w:type="auto"/>
            <w:hideMark/>
          </w:tcPr>
          <w:p w14:paraId="0A5DF70B" w14:textId="77777777" w:rsidR="00BF5419" w:rsidRPr="00E81BDA" w:rsidRDefault="00BF5419" w:rsidP="00BF5419">
            <w:pPr>
              <w:jc w:val="center"/>
              <w:rPr>
                <w:rFonts w:eastAsia="Times New Roman" w:cs="Times New Roman"/>
                <w:color w:val="212121"/>
                <w:sz w:val="20"/>
                <w:szCs w:val="20"/>
                <w:lang w:val="en-US"/>
              </w:rPr>
            </w:pPr>
            <w:r w:rsidRPr="00E81BDA">
              <w:rPr>
                <w:rFonts w:eastAsia="Times New Roman" w:cs="Times New Roman"/>
                <w:color w:val="212121"/>
                <w:sz w:val="20"/>
                <w:szCs w:val="20"/>
                <w:lang w:val="en-US"/>
              </w:rPr>
              <w:t>5</w:t>
            </w:r>
          </w:p>
        </w:tc>
        <w:tc>
          <w:tcPr>
            <w:tcW w:w="0" w:type="auto"/>
            <w:hideMark/>
          </w:tcPr>
          <w:p w14:paraId="51DB22B5"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(N, Part)</w:t>
            </w:r>
          </w:p>
        </w:tc>
        <w:tc>
          <w:tcPr>
            <w:tcW w:w="0" w:type="auto"/>
            <w:hideMark/>
          </w:tcPr>
          <w:p w14:paraId="5ECF5F0E"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(N, NOPART)</w:t>
            </w:r>
          </w:p>
        </w:tc>
        <w:tc>
          <w:tcPr>
            <w:tcW w:w="0" w:type="auto"/>
            <w:hideMark/>
          </w:tcPr>
          <w:p w14:paraId="547E8C1A"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0.274749</w:t>
            </w:r>
          </w:p>
        </w:tc>
        <w:tc>
          <w:tcPr>
            <w:tcW w:w="0" w:type="auto"/>
            <w:hideMark/>
          </w:tcPr>
          <w:p w14:paraId="15D1B07E"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0.102600</w:t>
            </w:r>
          </w:p>
        </w:tc>
        <w:tc>
          <w:tcPr>
            <w:tcW w:w="0" w:type="auto"/>
            <w:hideMark/>
          </w:tcPr>
          <w:p w14:paraId="286C8C98"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0.446897</w:t>
            </w:r>
          </w:p>
        </w:tc>
        <w:tc>
          <w:tcPr>
            <w:tcW w:w="0" w:type="auto"/>
            <w:hideMark/>
          </w:tcPr>
          <w:p w14:paraId="675A6D3F" w14:textId="77777777"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5.807780</w:t>
            </w:r>
          </w:p>
        </w:tc>
        <w:tc>
          <w:tcPr>
            <w:tcW w:w="1143" w:type="dxa"/>
          </w:tcPr>
          <w:p w14:paraId="60F8CD25" w14:textId="151EECEE" w:rsidR="00BF5419" w:rsidRPr="00E81BDA" w:rsidRDefault="00BF5419" w:rsidP="00BF541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212121"/>
                <w:sz w:val="20"/>
                <w:szCs w:val="20"/>
                <w:lang w:val="en-US"/>
              </w:rPr>
            </w:pPr>
            <w:r w:rsidRPr="00E81BDA">
              <w:rPr>
                <w:rFonts w:eastAsia="Times New Roman" w:cs="Times New Roman"/>
                <w:color w:val="212121"/>
                <w:sz w:val="20"/>
                <w:szCs w:val="20"/>
                <w:lang w:val="en-US"/>
              </w:rPr>
              <w:t>0.001000</w:t>
            </w:r>
          </w:p>
        </w:tc>
      </w:tr>
    </w:tbl>
    <w:p w14:paraId="127B2C3C" w14:textId="6A14E152" w:rsidR="00BF5419" w:rsidRPr="001F5E7D" w:rsidRDefault="001F5E7D" w:rsidP="00BF5419">
      <w:pPr>
        <w:spacing w:after="0"/>
        <w:jc w:val="both"/>
        <w:rPr>
          <w:rFonts w:cs="Times New Roman"/>
          <w:b/>
          <w:bCs/>
          <w:sz w:val="24"/>
          <w:szCs w:val="24"/>
          <w:lang w:val="en-US"/>
        </w:rPr>
      </w:pPr>
      <w:r w:rsidRPr="001F5E7D">
        <w:rPr>
          <w:rFonts w:cs="Times New Roman"/>
          <w:b/>
          <w:bCs/>
          <w:sz w:val="24"/>
          <w:szCs w:val="24"/>
          <w:lang w:val="en-US"/>
        </w:rPr>
        <w:t>Table 4</w:t>
      </w:r>
    </w:p>
    <w:p w14:paraId="332F7BEF" w14:textId="4EFBBC7D" w:rsidR="00A50E96" w:rsidRPr="00FD4D19" w:rsidRDefault="009C732B" w:rsidP="00BD329B">
      <w:pPr>
        <w:spacing w:after="0"/>
        <w:ind w:firstLine="720"/>
        <w:jc w:val="both"/>
        <w:rPr>
          <w:rFonts w:cs="Times New Roman"/>
          <w:sz w:val="24"/>
          <w:szCs w:val="24"/>
          <w:lang w:val="en-US"/>
        </w:rPr>
      </w:pPr>
      <w:r w:rsidRPr="00046D62">
        <w:rPr>
          <w:rFonts w:cs="Times New Roman"/>
          <w:noProof/>
          <w:sz w:val="24"/>
          <w:szCs w:val="24"/>
        </w:rPr>
        <w:drawing>
          <wp:anchor distT="0" distB="0" distL="114300" distR="114300" simplePos="0" relativeHeight="251661312" behindDoc="1" locked="0" layoutInCell="1" allowOverlap="1" wp14:anchorId="2B2DD39F" wp14:editId="5BC2565F">
            <wp:simplePos x="0" y="0"/>
            <wp:positionH relativeFrom="page">
              <wp:posOffset>3967093</wp:posOffset>
            </wp:positionH>
            <wp:positionV relativeFrom="paragraph">
              <wp:posOffset>1827585</wp:posOffset>
            </wp:positionV>
            <wp:extent cx="2981325" cy="2071370"/>
            <wp:effectExtent l="0" t="0" r="9525" b="5080"/>
            <wp:wrapTight wrapText="bothSides">
              <wp:wrapPolygon edited="0">
                <wp:start x="0" y="0"/>
                <wp:lineTo x="0" y="21454"/>
                <wp:lineTo x="21531" y="21454"/>
                <wp:lineTo x="21531" y="0"/>
                <wp:lineTo x="0" y="0"/>
              </wp:wrapPolygon>
            </wp:wrapTight>
            <wp:docPr id="582379038" name="Picture 5"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79038" name="Picture 5" descr="A graph of a number of blue bars&#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460"/>
                    <a:stretch/>
                  </pic:blipFill>
                  <pic:spPr bwMode="auto">
                    <a:xfrm>
                      <a:off x="0" y="0"/>
                      <a:ext cx="2981325" cy="2071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4D19" w:rsidRPr="00FD4D19">
        <w:rPr>
          <w:rFonts w:cs="Times New Roman"/>
          <w:sz w:val="24"/>
          <w:szCs w:val="24"/>
          <w:lang w:val="en-US"/>
        </w:rPr>
        <w:t>The assumption check, including an assessment of normality and homogeneity of variances, was conducted to evaluate whether the underlying assumptions of the two-way ANOVA model were met</w:t>
      </w:r>
      <w:r w:rsidR="005754FD">
        <w:rPr>
          <w:rFonts w:cs="Times New Roman"/>
          <w:sz w:val="24"/>
          <w:szCs w:val="24"/>
          <w:lang w:val="en-US"/>
        </w:rPr>
        <w:t xml:space="preserve"> (Figure 9,10)</w:t>
      </w:r>
      <w:r w:rsidR="00FD4D19" w:rsidRPr="00FD4D19">
        <w:rPr>
          <w:rFonts w:cs="Times New Roman"/>
          <w:sz w:val="24"/>
          <w:szCs w:val="24"/>
          <w:lang w:val="en-US"/>
        </w:rPr>
        <w:t xml:space="preserve">. </w:t>
      </w:r>
      <w:r w:rsidR="00A50E96" w:rsidRPr="00046D62">
        <w:rPr>
          <w:rFonts w:cs="Times New Roman"/>
          <w:sz w:val="24"/>
          <w:szCs w:val="24"/>
          <w:lang w:val="en-US"/>
        </w:rPr>
        <w:t xml:space="preserve">The assumption check </w:t>
      </w:r>
      <w:r w:rsidR="00046D62" w:rsidRPr="00046D62">
        <w:rPr>
          <w:rFonts w:cs="Times New Roman"/>
          <w:sz w:val="24"/>
          <w:szCs w:val="24"/>
          <w:lang w:val="en-US"/>
        </w:rPr>
        <w:t>suggests</w:t>
      </w:r>
      <w:r w:rsidR="00A50E96" w:rsidRPr="00046D62">
        <w:rPr>
          <w:rFonts w:cs="Times New Roman"/>
          <w:sz w:val="24"/>
          <w:szCs w:val="24"/>
          <w:lang w:val="en-US"/>
        </w:rPr>
        <w:t xml:space="preserve"> that the residuals are not normally </w:t>
      </w:r>
      <w:r w:rsidR="00046D62" w:rsidRPr="00046D62">
        <w:rPr>
          <w:rFonts w:cs="Times New Roman"/>
          <w:sz w:val="24"/>
          <w:szCs w:val="24"/>
          <w:lang w:val="en-US"/>
        </w:rPr>
        <w:t>distributed</w:t>
      </w:r>
      <w:r w:rsidR="00A50E96" w:rsidRPr="00046D62">
        <w:rPr>
          <w:rFonts w:cs="Times New Roman"/>
          <w:sz w:val="24"/>
          <w:szCs w:val="24"/>
          <w:lang w:val="en-US"/>
        </w:rPr>
        <w:t xml:space="preserve">. For the second assumption </w:t>
      </w:r>
      <w:r w:rsidR="00046D62" w:rsidRPr="00046D62">
        <w:rPr>
          <w:rFonts w:cs="Times New Roman"/>
          <w:sz w:val="24"/>
          <w:szCs w:val="24"/>
          <w:lang w:val="en-US"/>
        </w:rPr>
        <w:t>Levene’s</w:t>
      </w:r>
      <w:r w:rsidR="00A50E96" w:rsidRPr="00046D62">
        <w:rPr>
          <w:rFonts w:cs="Times New Roman"/>
          <w:sz w:val="24"/>
          <w:szCs w:val="24"/>
          <w:lang w:val="en-US"/>
        </w:rPr>
        <w:t xml:space="preserve"> test for homogeneity of variance has been employed.  With the p-value equal to 0.2135, the findings fail to </w:t>
      </w:r>
      <w:r w:rsidR="00A0287E" w:rsidRPr="00046D62">
        <w:rPr>
          <w:rFonts w:cs="Times New Roman"/>
          <w:sz w:val="24"/>
          <w:szCs w:val="24"/>
          <w:lang w:val="en-US"/>
        </w:rPr>
        <w:t>reject</w:t>
      </w:r>
      <w:r w:rsidR="00A50E96" w:rsidRPr="00046D62">
        <w:rPr>
          <w:rFonts w:cs="Times New Roman"/>
          <w:sz w:val="24"/>
          <w:szCs w:val="24"/>
          <w:lang w:val="en-US"/>
        </w:rPr>
        <w:t xml:space="preserve"> null hypothesis.</w:t>
      </w:r>
      <w:r w:rsidR="00BD329B">
        <w:rPr>
          <w:rFonts w:cs="Times New Roman"/>
          <w:sz w:val="24"/>
          <w:szCs w:val="24"/>
          <w:lang w:val="en-US"/>
        </w:rPr>
        <w:t xml:space="preserve"> </w:t>
      </w:r>
      <w:r w:rsidR="00A0287E" w:rsidRPr="00046D62">
        <w:rPr>
          <w:rFonts w:cs="Times New Roman"/>
          <w:sz w:val="24"/>
          <w:szCs w:val="24"/>
          <w:lang w:val="en-US"/>
        </w:rPr>
        <w:t>This suggests</w:t>
      </w:r>
      <w:r w:rsidR="00A50E96" w:rsidRPr="00046D62">
        <w:rPr>
          <w:rFonts w:cs="Times New Roman"/>
          <w:sz w:val="24"/>
          <w:szCs w:val="24"/>
          <w:lang w:val="en-US"/>
        </w:rPr>
        <w:t xml:space="preserve"> that there is not enough evidence to conclude that the variances are significantly different among the groups.</w:t>
      </w:r>
      <w:r w:rsidR="00FD4D19">
        <w:rPr>
          <w:rFonts w:cs="Times New Roman"/>
          <w:sz w:val="24"/>
          <w:szCs w:val="24"/>
          <w:lang w:val="en-US"/>
        </w:rPr>
        <w:t xml:space="preserve"> </w:t>
      </w:r>
      <w:r w:rsidR="00FD4D19" w:rsidRPr="00FD4D19">
        <w:rPr>
          <w:rFonts w:cs="Times New Roman"/>
          <w:sz w:val="24"/>
          <w:szCs w:val="24"/>
          <w:lang w:val="en-US"/>
        </w:rPr>
        <w:t xml:space="preserve">The violation of the normality assumption </w:t>
      </w:r>
      <w:r w:rsidR="00DD7DC9">
        <w:rPr>
          <w:rFonts w:cs="Times New Roman"/>
          <w:sz w:val="24"/>
          <w:szCs w:val="24"/>
          <w:lang w:val="en-US"/>
        </w:rPr>
        <w:t>affects</w:t>
      </w:r>
      <w:r w:rsidR="00FD4D19" w:rsidRPr="00FD4D19">
        <w:rPr>
          <w:rFonts w:cs="Times New Roman"/>
          <w:sz w:val="24"/>
          <w:szCs w:val="24"/>
          <w:lang w:val="en-US"/>
        </w:rPr>
        <w:t xml:space="preserve"> the reliability of p-values and confidence intervals in the two-way ANOVA model. </w:t>
      </w:r>
      <w:r w:rsidR="00FD4D19">
        <w:rPr>
          <w:rFonts w:cs="Times New Roman"/>
          <w:sz w:val="24"/>
          <w:szCs w:val="24"/>
          <w:lang w:val="en-US"/>
        </w:rPr>
        <w:t>W</w:t>
      </w:r>
      <w:r w:rsidR="00FD4D19" w:rsidRPr="00FD4D19">
        <w:rPr>
          <w:rFonts w:cs="Times New Roman"/>
          <w:sz w:val="24"/>
          <w:szCs w:val="24"/>
          <w:lang w:val="en-US"/>
        </w:rPr>
        <w:t>hile Levene’s test did not find significant differences in variances, the proximity of the p-value to the significance threshold suggests a potential weakness in the homogeneity of variances assumption.</w:t>
      </w:r>
    </w:p>
    <w:bookmarkEnd w:id="4"/>
    <w:p w14:paraId="0F4D097A" w14:textId="0B62A6CC" w:rsidR="001F5E7D" w:rsidRDefault="009C732B" w:rsidP="009C732B">
      <w:pPr>
        <w:spacing w:after="0"/>
        <w:jc w:val="both"/>
        <w:rPr>
          <w:rFonts w:cs="Times New Roman"/>
          <w:b/>
          <w:bCs/>
          <w:sz w:val="24"/>
          <w:szCs w:val="24"/>
          <w:lang w:val="en-US"/>
        </w:rPr>
      </w:pPr>
      <w:r w:rsidRPr="00046D62">
        <w:rPr>
          <w:rFonts w:cs="Times New Roman"/>
          <w:noProof/>
          <w:sz w:val="24"/>
          <w:szCs w:val="24"/>
        </w:rPr>
        <w:drawing>
          <wp:anchor distT="0" distB="0" distL="114300" distR="114300" simplePos="0" relativeHeight="251660288" behindDoc="1" locked="0" layoutInCell="1" allowOverlap="1" wp14:anchorId="4C8DB11D" wp14:editId="22109B57">
            <wp:simplePos x="0" y="0"/>
            <wp:positionH relativeFrom="margin">
              <wp:posOffset>-127193</wp:posOffset>
            </wp:positionH>
            <wp:positionV relativeFrom="paragraph">
              <wp:posOffset>11126</wp:posOffset>
            </wp:positionV>
            <wp:extent cx="3231515" cy="2242820"/>
            <wp:effectExtent l="0" t="0" r="6985" b="5080"/>
            <wp:wrapTight wrapText="bothSides">
              <wp:wrapPolygon edited="0">
                <wp:start x="0" y="0"/>
                <wp:lineTo x="0" y="21465"/>
                <wp:lineTo x="21519" y="21465"/>
                <wp:lineTo x="21519" y="0"/>
                <wp:lineTo x="0" y="0"/>
              </wp:wrapPolygon>
            </wp:wrapTight>
            <wp:docPr id="952839561"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39561" name="Picture 4" descr="A graph with a red lin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539"/>
                    <a:stretch/>
                  </pic:blipFill>
                  <pic:spPr bwMode="auto">
                    <a:xfrm>
                      <a:off x="0" y="0"/>
                      <a:ext cx="3231515" cy="224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5E7D">
        <w:rPr>
          <w:rFonts w:cs="Times New Roman"/>
          <w:b/>
          <w:bCs/>
          <w:sz w:val="24"/>
          <w:szCs w:val="24"/>
          <w:lang w:val="en-US"/>
        </w:rPr>
        <w:t>Figure 9                                                                        Figure 10</w:t>
      </w:r>
    </w:p>
    <w:p w14:paraId="661E80FF" w14:textId="77777777" w:rsidR="00507299" w:rsidRDefault="00507299" w:rsidP="001F5E7D">
      <w:pPr>
        <w:pStyle w:val="ListParagraph"/>
        <w:tabs>
          <w:tab w:val="left" w:pos="360"/>
        </w:tabs>
        <w:spacing w:after="0"/>
        <w:ind w:left="270"/>
        <w:jc w:val="both"/>
        <w:rPr>
          <w:rFonts w:cs="Times New Roman"/>
          <w:b/>
          <w:bCs/>
          <w:sz w:val="24"/>
          <w:szCs w:val="24"/>
          <w:lang w:val="en-US"/>
        </w:rPr>
      </w:pPr>
    </w:p>
    <w:p w14:paraId="7A3CB314" w14:textId="36B31583" w:rsidR="00A963AC" w:rsidRPr="00E43082" w:rsidRDefault="00A963AC" w:rsidP="00E43082">
      <w:pPr>
        <w:pStyle w:val="ListParagraph"/>
        <w:numPr>
          <w:ilvl w:val="0"/>
          <w:numId w:val="2"/>
        </w:numPr>
        <w:tabs>
          <w:tab w:val="left" w:pos="360"/>
        </w:tabs>
        <w:spacing w:after="0"/>
        <w:ind w:left="270"/>
        <w:jc w:val="both"/>
        <w:rPr>
          <w:rFonts w:cs="Times New Roman"/>
          <w:b/>
          <w:bCs/>
          <w:sz w:val="24"/>
          <w:szCs w:val="24"/>
          <w:lang w:val="en-US"/>
        </w:rPr>
      </w:pPr>
      <w:r w:rsidRPr="00E43082">
        <w:rPr>
          <w:rFonts w:cs="Times New Roman"/>
          <w:b/>
          <w:bCs/>
          <w:sz w:val="24"/>
          <w:szCs w:val="24"/>
          <w:lang w:val="en-US"/>
        </w:rPr>
        <w:t xml:space="preserve">Limitations </w:t>
      </w:r>
    </w:p>
    <w:p w14:paraId="7F4E6329" w14:textId="7859A5EF" w:rsidR="000E5512" w:rsidRPr="000E5512" w:rsidRDefault="00FD4D19" w:rsidP="000E5512">
      <w:pPr>
        <w:pStyle w:val="ListParagraph"/>
        <w:spacing w:after="0"/>
        <w:ind w:left="0" w:right="-154" w:firstLine="708"/>
        <w:jc w:val="both"/>
        <w:rPr>
          <w:rFonts w:cs="Times New Roman"/>
          <w:sz w:val="24"/>
          <w:szCs w:val="24"/>
          <w:lang w:val="en-US"/>
        </w:rPr>
      </w:pPr>
      <w:r w:rsidRPr="000E5512">
        <w:rPr>
          <w:rFonts w:cs="Times New Roman"/>
          <w:sz w:val="24"/>
          <w:szCs w:val="24"/>
          <w:lang w:val="en-US"/>
        </w:rPr>
        <w:t xml:space="preserve">The assumption check results indicate potential vulnerabilities in </w:t>
      </w:r>
      <w:r w:rsidR="00D02422" w:rsidRPr="000E5512">
        <w:rPr>
          <w:rFonts w:cs="Times New Roman"/>
          <w:sz w:val="24"/>
          <w:szCs w:val="24"/>
          <w:lang w:val="en-US"/>
        </w:rPr>
        <w:t>one and two</w:t>
      </w:r>
      <w:r w:rsidRPr="000E5512">
        <w:rPr>
          <w:rFonts w:cs="Times New Roman"/>
          <w:sz w:val="24"/>
          <w:szCs w:val="24"/>
          <w:lang w:val="en-US"/>
        </w:rPr>
        <w:t>-way ANOVA model</w:t>
      </w:r>
      <w:r w:rsidR="00D02422" w:rsidRPr="000E5512">
        <w:rPr>
          <w:rFonts w:cs="Times New Roman"/>
          <w:sz w:val="24"/>
          <w:szCs w:val="24"/>
          <w:lang w:val="en-US"/>
        </w:rPr>
        <w:t xml:space="preserve">s. </w:t>
      </w:r>
      <w:r w:rsidRPr="000E5512">
        <w:rPr>
          <w:rFonts w:cs="Times New Roman"/>
          <w:sz w:val="24"/>
          <w:szCs w:val="24"/>
          <w:lang w:val="en-US"/>
        </w:rPr>
        <w:t>These</w:t>
      </w:r>
      <w:r w:rsidR="00D02422" w:rsidRPr="000E5512">
        <w:rPr>
          <w:rFonts w:cs="Times New Roman"/>
          <w:sz w:val="24"/>
          <w:szCs w:val="24"/>
          <w:lang w:val="en-US"/>
        </w:rPr>
        <w:t xml:space="preserve"> issues</w:t>
      </w:r>
      <w:r w:rsidRPr="000E5512">
        <w:rPr>
          <w:rFonts w:cs="Times New Roman"/>
          <w:sz w:val="24"/>
          <w:szCs w:val="24"/>
          <w:lang w:val="en-US"/>
        </w:rPr>
        <w:t xml:space="preserve"> </w:t>
      </w:r>
      <w:r w:rsidR="00D02422" w:rsidRPr="000E5512">
        <w:rPr>
          <w:rFonts w:cs="Times New Roman"/>
          <w:sz w:val="24"/>
          <w:szCs w:val="24"/>
          <w:lang w:val="en-US"/>
        </w:rPr>
        <w:t xml:space="preserve">for both models </w:t>
      </w:r>
      <w:r w:rsidRPr="000E5512">
        <w:rPr>
          <w:rFonts w:cs="Times New Roman"/>
          <w:sz w:val="24"/>
          <w:szCs w:val="24"/>
          <w:lang w:val="en-US"/>
        </w:rPr>
        <w:t>should be considered when interpreting the results, and alternative analyses or robust methods may need to be explored to ensure the reliability of conclusions drawn from the model.</w:t>
      </w:r>
    </w:p>
    <w:p w14:paraId="430855A5" w14:textId="247847A8" w:rsidR="00A50E96" w:rsidRPr="00046D62" w:rsidRDefault="000E5512" w:rsidP="000E5512">
      <w:pPr>
        <w:spacing w:after="0"/>
        <w:ind w:firstLine="708"/>
        <w:jc w:val="both"/>
        <w:rPr>
          <w:rFonts w:cs="Times New Roman"/>
          <w:sz w:val="24"/>
          <w:szCs w:val="24"/>
          <w:lang w:val="en-US"/>
        </w:rPr>
      </w:pPr>
      <w:r w:rsidRPr="000E5512">
        <w:rPr>
          <w:rFonts w:cs="Times New Roman"/>
          <w:sz w:val="24"/>
          <w:szCs w:val="24"/>
          <w:lang w:val="en-US"/>
        </w:rPr>
        <w:t>The dataset could benefit from additional data points to facilitate a comprehensive analysis</w:t>
      </w:r>
      <w:r w:rsidR="00DD7DC9">
        <w:rPr>
          <w:rFonts w:cs="Times New Roman"/>
          <w:sz w:val="24"/>
          <w:szCs w:val="24"/>
          <w:lang w:val="en-US"/>
        </w:rPr>
        <w:t xml:space="preserve"> </w:t>
      </w:r>
      <w:r w:rsidR="00C42E9D">
        <w:rPr>
          <w:rFonts w:cs="Times New Roman"/>
          <w:sz w:val="24"/>
          <w:szCs w:val="24"/>
          <w:lang w:val="en-US"/>
        </w:rPr>
        <w:t>on childcare</w:t>
      </w:r>
      <w:r w:rsidR="00DD7DC9">
        <w:rPr>
          <w:rFonts w:cs="Times New Roman"/>
          <w:sz w:val="24"/>
          <w:szCs w:val="24"/>
          <w:lang w:val="en-US"/>
        </w:rPr>
        <w:t xml:space="preserve"> spaces in Toronto</w:t>
      </w:r>
      <w:r w:rsidRPr="000E5512">
        <w:rPr>
          <w:rFonts w:cs="Times New Roman"/>
          <w:sz w:val="24"/>
          <w:szCs w:val="24"/>
          <w:lang w:val="en-US"/>
        </w:rPr>
        <w:t>. Firstly, the current dataset is limited to displaying only the supply side, specifically the availability of childcare spaces. However, it lacks data on the demand side, such as the number of children from different age groups. Including this information would provide an opportunity to compare supply and demand and identify any disparities. Additionally, the analysis should explore the geographical distribution of childcare spaces. This would offer a clear understanding of the areas that require more support in creating additional childcare spaces.</w:t>
      </w:r>
    </w:p>
    <w:p w14:paraId="4DD60035" w14:textId="77777777" w:rsidR="009C732B" w:rsidRDefault="009C732B" w:rsidP="0074601E">
      <w:pPr>
        <w:spacing w:after="0"/>
        <w:jc w:val="both"/>
        <w:rPr>
          <w:rFonts w:cs="Times New Roman"/>
          <w:b/>
          <w:bCs/>
          <w:sz w:val="24"/>
          <w:szCs w:val="24"/>
          <w:lang w:val="en-US"/>
        </w:rPr>
      </w:pPr>
    </w:p>
    <w:p w14:paraId="22A68AD1" w14:textId="77777777" w:rsidR="009C732B" w:rsidRPr="00E43082" w:rsidRDefault="009C732B" w:rsidP="0074601E">
      <w:pPr>
        <w:spacing w:after="0"/>
        <w:jc w:val="both"/>
        <w:rPr>
          <w:rFonts w:cs="Times New Roman"/>
          <w:b/>
          <w:bCs/>
          <w:sz w:val="24"/>
          <w:szCs w:val="24"/>
          <w:lang w:val="en-US"/>
        </w:rPr>
      </w:pPr>
    </w:p>
    <w:p w14:paraId="6D043552" w14:textId="737F70AD" w:rsidR="00485F8C" w:rsidRPr="00E43082" w:rsidRDefault="00485F8C" w:rsidP="00485F8C">
      <w:pPr>
        <w:spacing w:after="0"/>
        <w:jc w:val="both"/>
        <w:rPr>
          <w:rFonts w:cs="Times New Roman"/>
          <w:b/>
          <w:bCs/>
          <w:sz w:val="24"/>
          <w:szCs w:val="24"/>
          <w:lang w:val="en-US"/>
        </w:rPr>
      </w:pPr>
      <w:r w:rsidRPr="00E43082">
        <w:rPr>
          <w:rFonts w:cs="Times New Roman"/>
          <w:b/>
          <w:bCs/>
          <w:sz w:val="24"/>
          <w:szCs w:val="24"/>
          <w:lang w:val="en-US"/>
        </w:rPr>
        <w:t xml:space="preserve">Reference: </w:t>
      </w:r>
    </w:p>
    <w:p w14:paraId="72F4A09A" w14:textId="77777777" w:rsidR="00485F8C" w:rsidRPr="00046D62" w:rsidRDefault="00485F8C" w:rsidP="00485F8C">
      <w:pPr>
        <w:spacing w:after="0"/>
        <w:jc w:val="both"/>
        <w:rPr>
          <w:rFonts w:cs="Times New Roman"/>
          <w:sz w:val="24"/>
          <w:szCs w:val="24"/>
          <w:lang w:val="en-US"/>
        </w:rPr>
      </w:pPr>
    </w:p>
    <w:p w14:paraId="6E20474E" w14:textId="77777777" w:rsidR="00C42E9D" w:rsidRPr="00046D62" w:rsidRDefault="00C42E9D" w:rsidP="00C42E9D">
      <w:pPr>
        <w:spacing w:after="0"/>
        <w:jc w:val="both"/>
        <w:rPr>
          <w:rFonts w:cs="Times New Roman"/>
          <w:sz w:val="24"/>
          <w:szCs w:val="24"/>
          <w:lang w:val="en-US"/>
        </w:rPr>
      </w:pPr>
      <w:r w:rsidRPr="00046D62">
        <w:rPr>
          <w:rFonts w:cs="Times New Roman"/>
          <w:sz w:val="24"/>
          <w:szCs w:val="24"/>
          <w:lang w:val="en-US"/>
        </w:rPr>
        <w:t xml:space="preserve">Campbell, D (2016). Majority of Toronto families can’t afford licensed child care new U of T Scarborough study finds, Retrieved from </w:t>
      </w:r>
      <w:r w:rsidR="00000000">
        <w:fldChar w:fldCharType="begin"/>
      </w:r>
      <w:r w:rsidR="00000000" w:rsidRPr="00F87C10">
        <w:rPr>
          <w:lang w:val="en-US"/>
        </w:rPr>
        <w:instrText>HYPERLINK "https://utsc.utoronto.ca/news-events/archived/majority-toronto-families-cant-afford-licensed-child-care-new-u-t-scarborough-study-finds"</w:instrText>
      </w:r>
      <w:r w:rsidR="00000000">
        <w:fldChar w:fldCharType="separate"/>
      </w:r>
      <w:r w:rsidRPr="00046D62">
        <w:rPr>
          <w:rStyle w:val="Hyperlink"/>
          <w:rFonts w:cs="Times New Roman"/>
          <w:sz w:val="24"/>
          <w:szCs w:val="24"/>
          <w:lang w:val="en-US"/>
        </w:rPr>
        <w:t>https://utsc.utoronto.ca/news-events/archived/majority-toronto-families-cant-afford-licensed-child-care-new-u-t-scarborough-study-finds</w:t>
      </w:r>
      <w:r w:rsidR="00000000">
        <w:rPr>
          <w:rStyle w:val="Hyperlink"/>
          <w:rFonts w:cs="Times New Roman"/>
          <w:sz w:val="24"/>
          <w:szCs w:val="24"/>
          <w:lang w:val="en-US"/>
        </w:rPr>
        <w:fldChar w:fldCharType="end"/>
      </w:r>
    </w:p>
    <w:p w14:paraId="2A893E1A" w14:textId="77777777" w:rsidR="00C42E9D" w:rsidRDefault="00C42E9D" w:rsidP="00485F8C">
      <w:pPr>
        <w:spacing w:after="0"/>
        <w:jc w:val="both"/>
        <w:rPr>
          <w:rFonts w:cs="Times New Roman"/>
          <w:sz w:val="24"/>
          <w:szCs w:val="24"/>
          <w:lang w:val="en-US"/>
        </w:rPr>
      </w:pPr>
    </w:p>
    <w:p w14:paraId="4AD11443" w14:textId="5E5EFB84" w:rsidR="00C42E9D" w:rsidRDefault="00C42E9D" w:rsidP="00C42E9D">
      <w:pPr>
        <w:spacing w:after="0"/>
        <w:jc w:val="both"/>
        <w:rPr>
          <w:rFonts w:cs="Times New Roman"/>
          <w:sz w:val="24"/>
          <w:szCs w:val="24"/>
          <w:lang w:val="en-US"/>
        </w:rPr>
      </w:pPr>
      <w:r w:rsidRPr="00046D62">
        <w:rPr>
          <w:rFonts w:cs="Times New Roman"/>
          <w:sz w:val="24"/>
          <w:szCs w:val="24"/>
          <w:lang w:val="en-US"/>
        </w:rPr>
        <w:t xml:space="preserve">Canada-Wide Early Learning &amp; Child Care (CWELCC) System – Operator Information, Retrieved from </w:t>
      </w:r>
      <w:r w:rsidR="00000000">
        <w:fldChar w:fldCharType="begin"/>
      </w:r>
      <w:r w:rsidR="00000000" w:rsidRPr="00F87C10">
        <w:rPr>
          <w:lang w:val="en-US"/>
        </w:rPr>
        <w:instrText>HYPERLINK "https://www.toronto.ca/community-people/community-partners/early-learning-child-care-partners/canada-wide-early-learning-child-care-agreement-cwelcc/"</w:instrText>
      </w:r>
      <w:r w:rsidR="00000000">
        <w:fldChar w:fldCharType="separate"/>
      </w:r>
      <w:r w:rsidRPr="003A19F4">
        <w:rPr>
          <w:rStyle w:val="Hyperlink"/>
          <w:rFonts w:cs="Times New Roman"/>
          <w:sz w:val="24"/>
          <w:szCs w:val="24"/>
          <w:lang w:val="en-US"/>
        </w:rPr>
        <w:t>https://www.toronto.ca/community-people/community-partners/early-learning-child-care-partners/canada-wide-early-learning-child-care-agreement-cwelcc/</w:t>
      </w:r>
      <w:r w:rsidR="00000000">
        <w:rPr>
          <w:rStyle w:val="Hyperlink"/>
          <w:rFonts w:cs="Times New Roman"/>
          <w:sz w:val="24"/>
          <w:szCs w:val="24"/>
          <w:lang w:val="en-US"/>
        </w:rPr>
        <w:fldChar w:fldCharType="end"/>
      </w:r>
    </w:p>
    <w:p w14:paraId="650DEC07" w14:textId="77777777" w:rsidR="00C42E9D" w:rsidRDefault="00C42E9D" w:rsidP="00C42E9D">
      <w:pPr>
        <w:spacing w:after="0"/>
        <w:jc w:val="both"/>
        <w:rPr>
          <w:rFonts w:cs="Times New Roman"/>
          <w:sz w:val="24"/>
          <w:szCs w:val="24"/>
          <w:lang w:val="en-US"/>
        </w:rPr>
      </w:pPr>
    </w:p>
    <w:p w14:paraId="5626BF1F" w14:textId="329521EF" w:rsidR="00C42E9D" w:rsidRDefault="00C42E9D" w:rsidP="00C42E9D">
      <w:pPr>
        <w:spacing w:after="0"/>
        <w:jc w:val="both"/>
        <w:rPr>
          <w:rFonts w:cs="Times New Roman"/>
          <w:sz w:val="24"/>
          <w:szCs w:val="24"/>
          <w:lang w:val="en-US"/>
        </w:rPr>
      </w:pPr>
      <w:r w:rsidRPr="00046D62">
        <w:rPr>
          <w:rFonts w:cs="Times New Roman"/>
          <w:sz w:val="24"/>
          <w:szCs w:val="24"/>
          <w:lang w:val="en-US"/>
        </w:rPr>
        <w:t xml:space="preserve">Child Care Fee Subsidy – Required Documents, Retrieved from </w:t>
      </w:r>
      <w:r w:rsidR="00000000">
        <w:fldChar w:fldCharType="begin"/>
      </w:r>
      <w:r w:rsidR="00000000" w:rsidRPr="00F87C10">
        <w:rPr>
          <w:lang w:val="en-US"/>
        </w:rPr>
        <w:instrText>HYPERLINK "https://www.toronto.ca/community-people/employment-social-support/child-family-support/child-care-support/child-care-fee-subsidy-eligibility-meeting-documents/"</w:instrText>
      </w:r>
      <w:r w:rsidR="00000000">
        <w:fldChar w:fldCharType="separate"/>
      </w:r>
      <w:r w:rsidRPr="003A19F4">
        <w:rPr>
          <w:rStyle w:val="Hyperlink"/>
          <w:rFonts w:cs="Times New Roman"/>
          <w:sz w:val="24"/>
          <w:szCs w:val="24"/>
          <w:lang w:val="en-US"/>
        </w:rPr>
        <w:t>https://www.toronto.ca/community-people/employment-social-support/child-family-support/child-care-support/child-care-fee-subsidy-eligibility-meeting-documents/</w:t>
      </w:r>
      <w:r w:rsidR="00000000">
        <w:rPr>
          <w:rStyle w:val="Hyperlink"/>
          <w:rFonts w:cs="Times New Roman"/>
          <w:sz w:val="24"/>
          <w:szCs w:val="24"/>
          <w:lang w:val="en-US"/>
        </w:rPr>
        <w:fldChar w:fldCharType="end"/>
      </w:r>
    </w:p>
    <w:p w14:paraId="2E8A2254" w14:textId="77777777" w:rsidR="00C42E9D" w:rsidRDefault="00C42E9D" w:rsidP="00C42E9D">
      <w:pPr>
        <w:spacing w:after="0"/>
        <w:jc w:val="both"/>
        <w:rPr>
          <w:rFonts w:cs="Times New Roman"/>
          <w:sz w:val="24"/>
          <w:szCs w:val="24"/>
          <w:lang w:val="en-US"/>
        </w:rPr>
      </w:pPr>
    </w:p>
    <w:p w14:paraId="29863ED6" w14:textId="59B5D6FC" w:rsidR="00C42E9D" w:rsidRDefault="00C42E9D" w:rsidP="00C42E9D">
      <w:pPr>
        <w:spacing w:after="0"/>
        <w:jc w:val="both"/>
        <w:rPr>
          <w:rFonts w:cs="Times New Roman"/>
          <w:sz w:val="24"/>
          <w:szCs w:val="24"/>
          <w:lang w:val="en-US"/>
        </w:rPr>
      </w:pPr>
      <w:r w:rsidRPr="00046D62">
        <w:rPr>
          <w:rFonts w:cs="Times New Roman"/>
          <w:sz w:val="24"/>
          <w:szCs w:val="24"/>
          <w:lang w:val="en-US"/>
        </w:rPr>
        <w:t xml:space="preserve">Childs, D. Z., Hindle, B. J., &amp; Warren, P. H. (Year). APS 240: Data Analysis and Statistics with R, Retrieved from </w:t>
      </w:r>
      <w:r w:rsidR="00000000">
        <w:fldChar w:fldCharType="begin"/>
      </w:r>
      <w:r w:rsidR="00000000" w:rsidRPr="00F87C10">
        <w:rPr>
          <w:lang w:val="en-US"/>
        </w:rPr>
        <w:instrText>HYPERLINK "https://dzchilds.github.io/stats-for-bio/data-transformations.html"</w:instrText>
      </w:r>
      <w:r w:rsidR="00000000">
        <w:fldChar w:fldCharType="separate"/>
      </w:r>
      <w:r w:rsidRPr="003A19F4">
        <w:rPr>
          <w:rStyle w:val="Hyperlink"/>
          <w:rFonts w:cs="Times New Roman"/>
          <w:sz w:val="24"/>
          <w:szCs w:val="24"/>
          <w:lang w:val="en-US"/>
        </w:rPr>
        <w:t>https://dzchilds.github.io/stats-for-bio/data-transformations.html</w:t>
      </w:r>
      <w:r w:rsidR="00000000">
        <w:rPr>
          <w:rStyle w:val="Hyperlink"/>
          <w:rFonts w:cs="Times New Roman"/>
          <w:sz w:val="24"/>
          <w:szCs w:val="24"/>
          <w:lang w:val="en-US"/>
        </w:rPr>
        <w:fldChar w:fldCharType="end"/>
      </w:r>
    </w:p>
    <w:p w14:paraId="6B02A870" w14:textId="77777777" w:rsidR="00C42E9D" w:rsidRDefault="00C42E9D" w:rsidP="00C42E9D">
      <w:pPr>
        <w:spacing w:after="0"/>
        <w:jc w:val="both"/>
        <w:rPr>
          <w:rFonts w:cs="Times New Roman"/>
          <w:sz w:val="24"/>
          <w:szCs w:val="24"/>
          <w:lang w:val="en-US"/>
        </w:rPr>
      </w:pPr>
    </w:p>
    <w:p w14:paraId="59E3A549" w14:textId="77777777" w:rsidR="00C42E9D" w:rsidRPr="00046D62" w:rsidRDefault="00C42E9D" w:rsidP="00C42E9D">
      <w:pPr>
        <w:spacing w:after="0"/>
        <w:jc w:val="both"/>
        <w:rPr>
          <w:rFonts w:cs="Times New Roman"/>
          <w:sz w:val="24"/>
          <w:szCs w:val="24"/>
          <w:lang w:val="en-US"/>
        </w:rPr>
      </w:pPr>
      <w:r w:rsidRPr="00046D62">
        <w:rPr>
          <w:rFonts w:cs="Times New Roman"/>
          <w:sz w:val="24"/>
          <w:szCs w:val="24"/>
          <w:lang w:val="en-US"/>
        </w:rPr>
        <w:t xml:space="preserve">Does your data violate one-way ANOVA assumptions?, Retrieved from </w:t>
      </w:r>
      <w:r w:rsidR="00000000">
        <w:fldChar w:fldCharType="begin"/>
      </w:r>
      <w:r w:rsidR="00000000" w:rsidRPr="00F87C10">
        <w:rPr>
          <w:lang w:val="en-US"/>
        </w:rPr>
        <w:instrText>HYPERLINK "https://quality-control-plan.com/StatGuide/oneway_anova_ass_viol.htm" \l ":~:text=If%20the%20populations%20from%20which,may%20be%20incorrect%20or%20misleading"</w:instrText>
      </w:r>
      <w:r w:rsidR="00000000">
        <w:fldChar w:fldCharType="separate"/>
      </w:r>
      <w:r w:rsidRPr="00046D62">
        <w:rPr>
          <w:rStyle w:val="Hyperlink"/>
          <w:rFonts w:cs="Times New Roman"/>
          <w:sz w:val="24"/>
          <w:szCs w:val="24"/>
          <w:lang w:val="en-US"/>
        </w:rPr>
        <w:t>https://quality-control-plan.com/StatGuide/oneway_anova_ass_viol.htm#:~:text=If%20the%20populations%20from%20which,may%20be%20incorrect%20or%20misleading</w:t>
      </w:r>
      <w:r w:rsidR="00000000">
        <w:rPr>
          <w:rStyle w:val="Hyperlink"/>
          <w:rFonts w:cs="Times New Roman"/>
          <w:sz w:val="24"/>
          <w:szCs w:val="24"/>
          <w:lang w:val="en-US"/>
        </w:rPr>
        <w:fldChar w:fldCharType="end"/>
      </w:r>
      <w:r w:rsidRPr="00046D62">
        <w:rPr>
          <w:rFonts w:cs="Times New Roman"/>
          <w:sz w:val="24"/>
          <w:szCs w:val="24"/>
          <w:lang w:val="en-US"/>
        </w:rPr>
        <w:t>.</w:t>
      </w:r>
    </w:p>
    <w:p w14:paraId="3FDB104C" w14:textId="77777777" w:rsidR="00C42E9D" w:rsidRPr="00046D62" w:rsidRDefault="00C42E9D" w:rsidP="00C42E9D">
      <w:pPr>
        <w:spacing w:after="0"/>
        <w:jc w:val="both"/>
        <w:rPr>
          <w:rFonts w:cs="Times New Roman"/>
          <w:sz w:val="24"/>
          <w:szCs w:val="24"/>
          <w:lang w:val="en-US"/>
        </w:rPr>
      </w:pPr>
    </w:p>
    <w:p w14:paraId="3A6828AC" w14:textId="77777777" w:rsidR="00C42E9D" w:rsidRDefault="00C42E9D" w:rsidP="00C42E9D">
      <w:pPr>
        <w:spacing w:after="0"/>
        <w:jc w:val="both"/>
        <w:rPr>
          <w:rFonts w:cs="Times New Roman"/>
          <w:sz w:val="24"/>
          <w:szCs w:val="24"/>
          <w:lang w:val="en-US"/>
        </w:rPr>
      </w:pPr>
      <w:r w:rsidRPr="00DD7DC9">
        <w:rPr>
          <w:rFonts w:cs="Times New Roman"/>
          <w:sz w:val="24"/>
          <w:szCs w:val="24"/>
          <w:lang w:val="en-US"/>
        </w:rPr>
        <w:t xml:space="preserve">Does your data violate one-way ANOVA assumptions?, Retrieved from </w:t>
      </w:r>
      <w:r w:rsidR="00000000">
        <w:fldChar w:fldCharType="begin"/>
      </w:r>
      <w:r w:rsidR="00000000" w:rsidRPr="00F87C10">
        <w:rPr>
          <w:lang w:val="en-US"/>
        </w:rPr>
        <w:instrText>HYPERLINK "https://quality-control-plan.com/StatGuide/oneway_anova_ass_viol.htm" \l ":~:text=If%20the%20populations%20from%20which,may%20be%20incorrect%20or%20misleading"</w:instrText>
      </w:r>
      <w:r w:rsidR="00000000">
        <w:fldChar w:fldCharType="separate"/>
      </w:r>
      <w:r w:rsidRPr="003A19F4">
        <w:rPr>
          <w:rStyle w:val="Hyperlink"/>
          <w:rFonts w:cs="Times New Roman"/>
          <w:sz w:val="24"/>
          <w:szCs w:val="24"/>
          <w:lang w:val="en-US"/>
        </w:rPr>
        <w:t>https://quality-control-plan.com/StatGuide/oneway_anova_ass_viol.htm#:~:text=If%20the%20populations%20from%20which,may%20be%20incorrect%20or%20misleading</w:t>
      </w:r>
      <w:r w:rsidR="00000000">
        <w:rPr>
          <w:rStyle w:val="Hyperlink"/>
          <w:rFonts w:cs="Times New Roman"/>
          <w:sz w:val="24"/>
          <w:szCs w:val="24"/>
          <w:lang w:val="en-US"/>
        </w:rPr>
        <w:fldChar w:fldCharType="end"/>
      </w:r>
      <w:r w:rsidRPr="00DD7DC9">
        <w:rPr>
          <w:rFonts w:cs="Times New Roman"/>
          <w:sz w:val="24"/>
          <w:szCs w:val="24"/>
          <w:lang w:val="en-US"/>
        </w:rPr>
        <w:t>.</w:t>
      </w:r>
    </w:p>
    <w:p w14:paraId="4B6A5F26" w14:textId="77777777" w:rsidR="00C42E9D" w:rsidRDefault="00C42E9D" w:rsidP="00485F8C">
      <w:pPr>
        <w:spacing w:after="0"/>
        <w:jc w:val="both"/>
        <w:rPr>
          <w:rFonts w:cs="Times New Roman"/>
          <w:sz w:val="24"/>
          <w:szCs w:val="24"/>
          <w:lang w:val="en-US"/>
        </w:rPr>
      </w:pPr>
    </w:p>
    <w:p w14:paraId="05AE50D0" w14:textId="3AC4CA14" w:rsidR="00485F8C" w:rsidRPr="00046D62" w:rsidRDefault="00485F8C" w:rsidP="00485F8C">
      <w:pPr>
        <w:spacing w:after="0"/>
        <w:jc w:val="both"/>
        <w:rPr>
          <w:rFonts w:cs="Times New Roman"/>
          <w:sz w:val="24"/>
          <w:szCs w:val="24"/>
          <w:lang w:val="en-US"/>
        </w:rPr>
      </w:pPr>
      <w:r w:rsidRPr="00046D62">
        <w:rPr>
          <w:rFonts w:cs="Times New Roman"/>
          <w:sz w:val="24"/>
          <w:szCs w:val="24"/>
          <w:lang w:val="en-US"/>
        </w:rPr>
        <w:t>Friendly, M., Beach, J., &amp; Turiano, M. (2013). Early childhood education and care in Canada. Toronto: Childcare Resource and Research Unit.</w:t>
      </w:r>
    </w:p>
    <w:p w14:paraId="7684EBAD" w14:textId="77777777" w:rsidR="00996F4B" w:rsidRDefault="00996F4B" w:rsidP="00485F8C">
      <w:pPr>
        <w:spacing w:after="0"/>
        <w:jc w:val="both"/>
        <w:rPr>
          <w:rFonts w:cs="Times New Roman"/>
          <w:sz w:val="24"/>
          <w:szCs w:val="24"/>
          <w:lang w:val="en-US"/>
        </w:rPr>
      </w:pPr>
    </w:p>
    <w:p w14:paraId="6435D925" w14:textId="77777777" w:rsidR="00C42E9D" w:rsidRPr="00046D62" w:rsidRDefault="00C42E9D" w:rsidP="00C42E9D">
      <w:pPr>
        <w:spacing w:after="0"/>
        <w:jc w:val="both"/>
        <w:rPr>
          <w:rFonts w:cs="Times New Roman"/>
          <w:sz w:val="24"/>
          <w:szCs w:val="24"/>
          <w:lang w:val="en-US"/>
        </w:rPr>
      </w:pPr>
      <w:r w:rsidRPr="00046D62">
        <w:rPr>
          <w:rFonts w:cs="Times New Roman"/>
          <w:sz w:val="24"/>
          <w:szCs w:val="24"/>
          <w:lang w:val="en-US"/>
        </w:rPr>
        <w:t>Introduction to ANOVA for Statistics and Data Science, Retrieved from https://www.analyticsvidhya.com/blog/2020/06/introduction-anova-statistics-data-science-covid-python/</w:t>
      </w:r>
    </w:p>
    <w:p w14:paraId="3E8089DE" w14:textId="77777777" w:rsidR="00C42E9D" w:rsidRPr="00046D62" w:rsidRDefault="00C42E9D" w:rsidP="00485F8C">
      <w:pPr>
        <w:spacing w:after="0"/>
        <w:jc w:val="both"/>
        <w:rPr>
          <w:rFonts w:cs="Times New Roman"/>
          <w:sz w:val="24"/>
          <w:szCs w:val="24"/>
          <w:lang w:val="en-US"/>
        </w:rPr>
      </w:pPr>
    </w:p>
    <w:p w14:paraId="5390C5E2" w14:textId="77777777" w:rsidR="00996F4B" w:rsidRPr="00046D62" w:rsidRDefault="00996F4B" w:rsidP="00996F4B">
      <w:pPr>
        <w:spacing w:after="0"/>
        <w:jc w:val="both"/>
        <w:rPr>
          <w:rFonts w:cs="Times New Roman"/>
          <w:sz w:val="24"/>
          <w:szCs w:val="24"/>
          <w:lang w:val="en-US"/>
        </w:rPr>
      </w:pPr>
      <w:r w:rsidRPr="00046D62">
        <w:rPr>
          <w:rFonts w:cs="Times New Roman"/>
          <w:sz w:val="24"/>
          <w:szCs w:val="24"/>
          <w:lang w:val="en-US"/>
        </w:rPr>
        <w:t>One-way ANOVA, Retrieved from</w:t>
      </w:r>
    </w:p>
    <w:p w14:paraId="7404602A" w14:textId="77777777" w:rsidR="00996F4B" w:rsidRPr="00046D62" w:rsidRDefault="00996F4B" w:rsidP="00996F4B">
      <w:pPr>
        <w:spacing w:after="0"/>
        <w:jc w:val="both"/>
        <w:rPr>
          <w:rFonts w:cs="Times New Roman"/>
          <w:sz w:val="24"/>
          <w:szCs w:val="24"/>
          <w:lang w:val="en-US"/>
        </w:rPr>
      </w:pPr>
      <w:r w:rsidRPr="00046D62">
        <w:rPr>
          <w:rFonts w:cs="Times New Roman"/>
          <w:sz w:val="24"/>
          <w:szCs w:val="24"/>
          <w:lang w:val="en-US"/>
        </w:rPr>
        <w:t>https://www.pythonfordatascience.org/anova-python/</w:t>
      </w:r>
    </w:p>
    <w:p w14:paraId="66EA2F21" w14:textId="77777777" w:rsidR="00996F4B" w:rsidRPr="00046D62" w:rsidRDefault="00996F4B" w:rsidP="00996F4B">
      <w:pPr>
        <w:spacing w:after="0"/>
        <w:jc w:val="both"/>
        <w:rPr>
          <w:rFonts w:cs="Times New Roman"/>
          <w:sz w:val="24"/>
          <w:szCs w:val="24"/>
          <w:lang w:val="en-US"/>
        </w:rPr>
      </w:pPr>
    </w:p>
    <w:p w14:paraId="7A41FE01" w14:textId="77777777" w:rsidR="00996F4B" w:rsidRPr="00046D62" w:rsidRDefault="00996F4B" w:rsidP="00996F4B">
      <w:pPr>
        <w:spacing w:after="0"/>
        <w:jc w:val="both"/>
        <w:rPr>
          <w:rFonts w:cs="Times New Roman"/>
          <w:sz w:val="24"/>
          <w:szCs w:val="24"/>
          <w:lang w:val="en-US"/>
        </w:rPr>
      </w:pPr>
    </w:p>
    <w:p w14:paraId="50BA7568" w14:textId="12645AD0" w:rsidR="00996F4B" w:rsidRPr="00046D62" w:rsidRDefault="00996F4B" w:rsidP="00996F4B">
      <w:pPr>
        <w:spacing w:after="0"/>
        <w:jc w:val="both"/>
        <w:rPr>
          <w:rFonts w:cs="Times New Roman"/>
          <w:sz w:val="24"/>
          <w:szCs w:val="24"/>
          <w:lang w:val="en-US"/>
        </w:rPr>
      </w:pPr>
      <w:r w:rsidRPr="00046D62">
        <w:rPr>
          <w:rFonts w:cs="Times New Roman"/>
          <w:sz w:val="24"/>
          <w:szCs w:val="24"/>
          <w:lang w:val="en-US"/>
        </w:rPr>
        <w:t xml:space="preserve">Python for Data </w:t>
      </w:r>
      <w:proofErr w:type="spellStart"/>
      <w:proofErr w:type="gramStart"/>
      <w:r w:rsidRPr="00046D62">
        <w:rPr>
          <w:rFonts w:cs="Times New Roman"/>
          <w:sz w:val="24"/>
          <w:szCs w:val="24"/>
          <w:lang w:val="en-US"/>
        </w:rPr>
        <w:t>Science:One</w:t>
      </w:r>
      <w:proofErr w:type="spellEnd"/>
      <w:proofErr w:type="gramEnd"/>
      <w:r w:rsidRPr="00046D62">
        <w:rPr>
          <w:rFonts w:cs="Times New Roman"/>
          <w:sz w:val="24"/>
          <w:szCs w:val="24"/>
          <w:lang w:val="en-US"/>
        </w:rPr>
        <w:t xml:space="preserve"> way ANOVA, Retrieved from https://www.pythonfordatascience.org/anova-python/</w:t>
      </w:r>
    </w:p>
    <w:p w14:paraId="1C36F92A" w14:textId="77777777" w:rsidR="00996F4B" w:rsidRPr="00046D62" w:rsidRDefault="00996F4B" w:rsidP="00996F4B">
      <w:pPr>
        <w:spacing w:after="0"/>
        <w:jc w:val="both"/>
        <w:rPr>
          <w:rFonts w:cs="Times New Roman"/>
          <w:sz w:val="24"/>
          <w:szCs w:val="24"/>
          <w:lang w:val="en-US"/>
        </w:rPr>
      </w:pPr>
    </w:p>
    <w:p w14:paraId="49990440" w14:textId="77777777" w:rsidR="00996F4B" w:rsidRPr="00046D62" w:rsidRDefault="00996F4B" w:rsidP="00996F4B">
      <w:pPr>
        <w:spacing w:after="0"/>
        <w:jc w:val="both"/>
        <w:rPr>
          <w:rFonts w:cs="Times New Roman"/>
          <w:sz w:val="24"/>
          <w:szCs w:val="24"/>
          <w:lang w:val="en-US"/>
        </w:rPr>
      </w:pPr>
    </w:p>
    <w:p w14:paraId="0969A8BA" w14:textId="205EB449" w:rsidR="00996F4B" w:rsidRDefault="00C42E9D" w:rsidP="00996F4B">
      <w:pPr>
        <w:spacing w:after="0"/>
        <w:jc w:val="both"/>
        <w:rPr>
          <w:rFonts w:cs="Times New Roman"/>
          <w:sz w:val="24"/>
          <w:szCs w:val="24"/>
          <w:lang w:val="en-US"/>
        </w:rPr>
      </w:pPr>
      <w:r w:rsidRPr="00046D62">
        <w:rPr>
          <w:rFonts w:cs="Times New Roman"/>
          <w:sz w:val="24"/>
          <w:szCs w:val="24"/>
          <w:lang w:val="en-US"/>
        </w:rPr>
        <w:t xml:space="preserve">Jan, A. U., Jan, D., Yousaf Hayat, A. S., Ali, G., &amp; Fayaz, M. </w:t>
      </w:r>
      <w:r w:rsidR="00996F4B" w:rsidRPr="00046D62">
        <w:rPr>
          <w:rFonts w:cs="Times New Roman"/>
          <w:sz w:val="24"/>
          <w:szCs w:val="24"/>
          <w:lang w:val="en-US"/>
        </w:rPr>
        <w:t xml:space="preserve">(2014). </w:t>
      </w:r>
      <w:proofErr w:type="spellStart"/>
      <w:r w:rsidR="00996F4B" w:rsidRPr="00046D62">
        <w:rPr>
          <w:rFonts w:cs="Times New Roman"/>
          <w:sz w:val="24"/>
          <w:szCs w:val="24"/>
          <w:lang w:val="en-US"/>
        </w:rPr>
        <w:t>Logrithmic</w:t>
      </w:r>
      <w:proofErr w:type="spellEnd"/>
      <w:r w:rsidR="00996F4B" w:rsidRPr="00046D62">
        <w:rPr>
          <w:rFonts w:cs="Times New Roman"/>
          <w:sz w:val="24"/>
          <w:szCs w:val="24"/>
          <w:lang w:val="en-US"/>
        </w:rPr>
        <w:t xml:space="preserve"> transformation: a tool for normalizing residuals in </w:t>
      </w:r>
      <w:proofErr w:type="spellStart"/>
      <w:r w:rsidR="00996F4B" w:rsidRPr="00046D62">
        <w:rPr>
          <w:rFonts w:cs="Times New Roman"/>
          <w:sz w:val="24"/>
          <w:szCs w:val="24"/>
          <w:lang w:val="en-US"/>
        </w:rPr>
        <w:t>Anova</w:t>
      </w:r>
      <w:proofErr w:type="spellEnd"/>
      <w:r w:rsidR="00996F4B" w:rsidRPr="00046D62">
        <w:rPr>
          <w:rFonts w:cs="Times New Roman"/>
          <w:sz w:val="24"/>
          <w:szCs w:val="24"/>
          <w:lang w:val="en-US"/>
        </w:rPr>
        <w:t xml:space="preserve"> models. Sarhad Journal of Agriculture, 30(3), 375-378.</w:t>
      </w:r>
    </w:p>
    <w:p w14:paraId="104E9C92" w14:textId="77777777" w:rsidR="00DD7DC9" w:rsidRDefault="00DD7DC9" w:rsidP="00996F4B">
      <w:pPr>
        <w:spacing w:after="0"/>
        <w:jc w:val="both"/>
        <w:rPr>
          <w:rFonts w:cs="Times New Roman"/>
          <w:sz w:val="24"/>
          <w:szCs w:val="24"/>
          <w:lang w:val="en-US"/>
        </w:rPr>
      </w:pPr>
    </w:p>
    <w:p w14:paraId="5D196B6B" w14:textId="77777777" w:rsidR="00DD7DC9" w:rsidRPr="00DD7DC9" w:rsidRDefault="00DD7DC9" w:rsidP="00DD7DC9">
      <w:pPr>
        <w:spacing w:after="0"/>
        <w:jc w:val="both"/>
        <w:rPr>
          <w:rFonts w:cs="Times New Roman"/>
          <w:sz w:val="24"/>
          <w:szCs w:val="24"/>
          <w:lang w:val="en-US"/>
        </w:rPr>
      </w:pPr>
    </w:p>
    <w:p w14:paraId="3B34C713" w14:textId="534E0622" w:rsidR="00DD7DC9" w:rsidRPr="00DD7DC9" w:rsidRDefault="00C42E9D" w:rsidP="00C42E9D">
      <w:pPr>
        <w:tabs>
          <w:tab w:val="left" w:pos="1996"/>
        </w:tabs>
        <w:spacing w:after="0"/>
        <w:jc w:val="both"/>
        <w:rPr>
          <w:rFonts w:cs="Times New Roman"/>
          <w:sz w:val="24"/>
          <w:szCs w:val="24"/>
          <w:lang w:val="en-US"/>
        </w:rPr>
      </w:pPr>
      <w:r>
        <w:rPr>
          <w:rFonts w:cs="Times New Roman"/>
          <w:sz w:val="24"/>
          <w:szCs w:val="24"/>
          <w:lang w:val="en-US"/>
        </w:rPr>
        <w:tab/>
      </w:r>
    </w:p>
    <w:sectPr w:rsidR="00DD7DC9" w:rsidRPr="00DD7DC9" w:rsidSect="003C56F0">
      <w:headerReference w:type="default" r:id="rId18"/>
      <w:pgSz w:w="11906" w:h="16838" w:code="9"/>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48C6E" w14:textId="77777777" w:rsidR="00800840" w:rsidRDefault="00800840" w:rsidP="0074601E">
      <w:pPr>
        <w:spacing w:after="0"/>
      </w:pPr>
      <w:r>
        <w:separator/>
      </w:r>
    </w:p>
  </w:endnote>
  <w:endnote w:type="continuationSeparator" w:id="0">
    <w:p w14:paraId="13BE436F" w14:textId="77777777" w:rsidR="00800840" w:rsidRDefault="00800840" w:rsidP="00746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0E2B8" w14:textId="77777777" w:rsidR="00800840" w:rsidRDefault="00800840" w:rsidP="0074601E">
      <w:pPr>
        <w:spacing w:after="0"/>
      </w:pPr>
      <w:r>
        <w:separator/>
      </w:r>
    </w:p>
  </w:footnote>
  <w:footnote w:type="continuationSeparator" w:id="0">
    <w:p w14:paraId="724DE8E4" w14:textId="77777777" w:rsidR="00800840" w:rsidRDefault="00800840" w:rsidP="007460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D3776" w14:textId="703E62B9" w:rsidR="007D1E3C" w:rsidRPr="007D1E3C" w:rsidRDefault="00F87C10" w:rsidP="007D1E3C">
    <w:pPr>
      <w:pStyle w:val="Header"/>
      <w:rPr>
        <w:lang w:val="en-US"/>
      </w:rPr>
    </w:pPr>
    <w:r>
      <w:rPr>
        <w:sz w:val="24"/>
        <w:szCs w:val="24"/>
        <w:lang w:val="en-US"/>
      </w:rPr>
      <w:t xml:space="preserve">                                                    </w:t>
    </w:r>
    <w:r w:rsidR="007D1E3C">
      <w:rPr>
        <w:sz w:val="24"/>
        <w:szCs w:val="24"/>
        <w:lang w:val="en-US"/>
      </w:rPr>
      <w:t xml:space="preserve"> </w:t>
    </w:r>
    <w:sdt>
      <w:sdtPr>
        <w:id w:val="-1538813876"/>
        <w:docPartObj>
          <w:docPartGallery w:val="Page Numbers (Top of Page)"/>
          <w:docPartUnique/>
        </w:docPartObj>
      </w:sdtPr>
      <w:sdtEndPr>
        <w:rPr>
          <w:noProof/>
          <w:sz w:val="24"/>
          <w:szCs w:val="24"/>
        </w:rPr>
      </w:sdtEndPr>
      <w:sdtContent>
        <w:r w:rsidR="007D1E3C">
          <w:rPr>
            <w:lang w:val="en-US"/>
          </w:rPr>
          <w:t xml:space="preserve">                                                                                 </w:t>
        </w:r>
        <w:r w:rsidR="007D1E3C">
          <w:fldChar w:fldCharType="begin"/>
        </w:r>
        <w:r w:rsidR="007D1E3C" w:rsidRPr="001F5E7D">
          <w:rPr>
            <w:lang w:val="en-US"/>
          </w:rPr>
          <w:instrText xml:space="preserve"> PAGE   \* MERGEFORMAT </w:instrText>
        </w:r>
        <w:r w:rsidR="007D1E3C">
          <w:fldChar w:fldCharType="separate"/>
        </w:r>
        <w:r w:rsidR="007D1E3C" w:rsidRPr="001F5E7D">
          <w:rPr>
            <w:lang w:val="en-US"/>
          </w:rPr>
          <w:t>1</w:t>
        </w:r>
        <w:r w:rsidR="007D1E3C">
          <w:rPr>
            <w:noProof/>
          </w:rPr>
          <w:fldChar w:fldCharType="end"/>
        </w:r>
      </w:sdtContent>
    </w:sdt>
  </w:p>
  <w:p w14:paraId="7107AB5C" w14:textId="2EF56BBB" w:rsidR="00385433" w:rsidRPr="007D1E3C" w:rsidRDefault="007D1E3C" w:rsidP="007D1E3C">
    <w:pPr>
      <w:pStyle w:val="Header"/>
      <w:rPr>
        <w:sz w:val="24"/>
        <w:szCs w:val="24"/>
        <w:lang w:val="en-US"/>
      </w:rPr>
    </w:pPr>
    <w:r w:rsidRPr="007D1E3C">
      <w:rPr>
        <w:sz w:val="24"/>
        <w:szCs w:val="24"/>
        <w:lang w:val="en-US"/>
      </w:rPr>
      <w:t>INF2178 Experimental Design for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0E4"/>
    <w:multiLevelType w:val="hybridMultilevel"/>
    <w:tmpl w:val="ECCCDC38"/>
    <w:lvl w:ilvl="0" w:tplc="D66683AC">
      <w:start w:val="9"/>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4AE3BDC"/>
    <w:multiLevelType w:val="hybridMultilevel"/>
    <w:tmpl w:val="38D2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D3CE0"/>
    <w:multiLevelType w:val="hybridMultilevel"/>
    <w:tmpl w:val="E15E8956"/>
    <w:lvl w:ilvl="0" w:tplc="8E56013E">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3B9C114C"/>
    <w:multiLevelType w:val="hybridMultilevel"/>
    <w:tmpl w:val="5920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51783"/>
    <w:multiLevelType w:val="hybridMultilevel"/>
    <w:tmpl w:val="7A40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54BC0"/>
    <w:multiLevelType w:val="hybridMultilevel"/>
    <w:tmpl w:val="ECCCDC38"/>
    <w:lvl w:ilvl="0" w:tplc="FFFFFFFF">
      <w:start w:val="9"/>
      <w:numFmt w:val="decimal"/>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74B6481B"/>
    <w:multiLevelType w:val="multilevel"/>
    <w:tmpl w:val="7E82D2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60906326">
    <w:abstractNumId w:val="2"/>
  </w:num>
  <w:num w:numId="2" w16cid:durableId="1015112210">
    <w:abstractNumId w:val="6"/>
  </w:num>
  <w:num w:numId="3" w16cid:durableId="1768233721">
    <w:abstractNumId w:val="0"/>
  </w:num>
  <w:num w:numId="4" w16cid:durableId="709108379">
    <w:abstractNumId w:val="4"/>
  </w:num>
  <w:num w:numId="5" w16cid:durableId="1623152508">
    <w:abstractNumId w:val="1"/>
  </w:num>
  <w:num w:numId="6" w16cid:durableId="1638489512">
    <w:abstractNumId w:val="3"/>
  </w:num>
  <w:num w:numId="7" w16cid:durableId="1065496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88"/>
    <w:rsid w:val="00002769"/>
    <w:rsid w:val="00046D62"/>
    <w:rsid w:val="0005701B"/>
    <w:rsid w:val="000B62B4"/>
    <w:rsid w:val="000E51F1"/>
    <w:rsid w:val="000E5512"/>
    <w:rsid w:val="00123998"/>
    <w:rsid w:val="001302AE"/>
    <w:rsid w:val="001363D8"/>
    <w:rsid w:val="0016075C"/>
    <w:rsid w:val="001638F7"/>
    <w:rsid w:val="00173B0D"/>
    <w:rsid w:val="001A187E"/>
    <w:rsid w:val="001B64BF"/>
    <w:rsid w:val="001E08EF"/>
    <w:rsid w:val="001F4504"/>
    <w:rsid w:val="001F5E7D"/>
    <w:rsid w:val="0023297F"/>
    <w:rsid w:val="0029647C"/>
    <w:rsid w:val="002F463D"/>
    <w:rsid w:val="00301F5F"/>
    <w:rsid w:val="00372010"/>
    <w:rsid w:val="00385433"/>
    <w:rsid w:val="003C56F0"/>
    <w:rsid w:val="003D72DF"/>
    <w:rsid w:val="004208A5"/>
    <w:rsid w:val="004566DC"/>
    <w:rsid w:val="004727A7"/>
    <w:rsid w:val="00474E51"/>
    <w:rsid w:val="00485F8C"/>
    <w:rsid w:val="00507299"/>
    <w:rsid w:val="0053787E"/>
    <w:rsid w:val="005529A6"/>
    <w:rsid w:val="005754FD"/>
    <w:rsid w:val="005C2FC9"/>
    <w:rsid w:val="005C5993"/>
    <w:rsid w:val="006C0B77"/>
    <w:rsid w:val="0074601E"/>
    <w:rsid w:val="00746DCB"/>
    <w:rsid w:val="00764678"/>
    <w:rsid w:val="00777FFD"/>
    <w:rsid w:val="007D1E3C"/>
    <w:rsid w:val="007E700A"/>
    <w:rsid w:val="00800840"/>
    <w:rsid w:val="008242FF"/>
    <w:rsid w:val="00870751"/>
    <w:rsid w:val="008D032D"/>
    <w:rsid w:val="00922C48"/>
    <w:rsid w:val="00937DE8"/>
    <w:rsid w:val="0097666A"/>
    <w:rsid w:val="00996F4B"/>
    <w:rsid w:val="009B7654"/>
    <w:rsid w:val="009C732B"/>
    <w:rsid w:val="00A01377"/>
    <w:rsid w:val="00A0287E"/>
    <w:rsid w:val="00A22F9E"/>
    <w:rsid w:val="00A50E96"/>
    <w:rsid w:val="00A963AC"/>
    <w:rsid w:val="00AE0543"/>
    <w:rsid w:val="00AE394A"/>
    <w:rsid w:val="00B02B0C"/>
    <w:rsid w:val="00B915B7"/>
    <w:rsid w:val="00B9540D"/>
    <w:rsid w:val="00BC247F"/>
    <w:rsid w:val="00BD329B"/>
    <w:rsid w:val="00BF5419"/>
    <w:rsid w:val="00C42E9D"/>
    <w:rsid w:val="00C909E5"/>
    <w:rsid w:val="00CC53BE"/>
    <w:rsid w:val="00D02422"/>
    <w:rsid w:val="00D53DEE"/>
    <w:rsid w:val="00D6461C"/>
    <w:rsid w:val="00D919B0"/>
    <w:rsid w:val="00DD7DC9"/>
    <w:rsid w:val="00E43082"/>
    <w:rsid w:val="00E81BDA"/>
    <w:rsid w:val="00EA59DF"/>
    <w:rsid w:val="00EB7288"/>
    <w:rsid w:val="00EE4070"/>
    <w:rsid w:val="00EE43DC"/>
    <w:rsid w:val="00F12C76"/>
    <w:rsid w:val="00F330EC"/>
    <w:rsid w:val="00F72630"/>
    <w:rsid w:val="00F87C10"/>
    <w:rsid w:val="00FA6DD9"/>
    <w:rsid w:val="00FD4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EBE94"/>
  <w15:chartTrackingRefBased/>
  <w15:docId w15:val="{B5551E42-59FE-4185-98F9-9DFB2AE0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EB72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B72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B7288"/>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EB728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B728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B72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72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72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72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88"/>
    <w:rPr>
      <w:rFonts w:asciiTheme="majorHAnsi" w:eastAsiaTheme="majorEastAsia" w:hAnsiTheme="majorHAnsi" w:cstheme="majorBidi"/>
      <w:color w:val="2E74B5"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EB7288"/>
    <w:rPr>
      <w:rFonts w:asciiTheme="majorHAnsi" w:eastAsiaTheme="majorEastAsia" w:hAnsiTheme="majorHAnsi" w:cstheme="majorBidi"/>
      <w:color w:val="2E74B5"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EB7288"/>
    <w:rPr>
      <w:rFonts w:eastAsiaTheme="majorEastAsia" w:cstheme="majorBidi"/>
      <w:color w:val="2E74B5"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B7288"/>
    <w:rPr>
      <w:rFonts w:eastAsiaTheme="majorEastAsia" w:cstheme="majorBidi"/>
      <w:i/>
      <w:iCs/>
      <w:color w:val="2E74B5" w:themeColor="accent1" w:themeShade="BF"/>
      <w:kern w:val="0"/>
      <w:sz w:val="28"/>
      <w14:ligatures w14:val="none"/>
    </w:rPr>
  </w:style>
  <w:style w:type="character" w:customStyle="1" w:styleId="Heading5Char">
    <w:name w:val="Heading 5 Char"/>
    <w:basedOn w:val="DefaultParagraphFont"/>
    <w:link w:val="Heading5"/>
    <w:uiPriority w:val="9"/>
    <w:semiHidden/>
    <w:rsid w:val="00EB7288"/>
    <w:rPr>
      <w:rFonts w:eastAsiaTheme="majorEastAsia" w:cstheme="majorBidi"/>
      <w:color w:val="2E74B5" w:themeColor="accent1" w:themeShade="BF"/>
      <w:kern w:val="0"/>
      <w:sz w:val="28"/>
      <w14:ligatures w14:val="none"/>
    </w:rPr>
  </w:style>
  <w:style w:type="character" w:customStyle="1" w:styleId="Heading6Char">
    <w:name w:val="Heading 6 Char"/>
    <w:basedOn w:val="DefaultParagraphFont"/>
    <w:link w:val="Heading6"/>
    <w:uiPriority w:val="9"/>
    <w:semiHidden/>
    <w:rsid w:val="00EB7288"/>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EB7288"/>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EB7288"/>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EB7288"/>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EB72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28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B728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B728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B7288"/>
    <w:pPr>
      <w:spacing w:before="160"/>
      <w:jc w:val="center"/>
    </w:pPr>
    <w:rPr>
      <w:i/>
      <w:iCs/>
      <w:color w:val="404040" w:themeColor="text1" w:themeTint="BF"/>
    </w:rPr>
  </w:style>
  <w:style w:type="character" w:customStyle="1" w:styleId="QuoteChar">
    <w:name w:val="Quote Char"/>
    <w:basedOn w:val="DefaultParagraphFont"/>
    <w:link w:val="Quote"/>
    <w:uiPriority w:val="29"/>
    <w:rsid w:val="00EB7288"/>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EB7288"/>
    <w:pPr>
      <w:ind w:left="720"/>
      <w:contextualSpacing/>
    </w:pPr>
  </w:style>
  <w:style w:type="character" w:styleId="IntenseEmphasis">
    <w:name w:val="Intense Emphasis"/>
    <w:basedOn w:val="DefaultParagraphFont"/>
    <w:uiPriority w:val="21"/>
    <w:qFormat/>
    <w:rsid w:val="00EB7288"/>
    <w:rPr>
      <w:i/>
      <w:iCs/>
      <w:color w:val="2E74B5" w:themeColor="accent1" w:themeShade="BF"/>
    </w:rPr>
  </w:style>
  <w:style w:type="paragraph" w:styleId="IntenseQuote">
    <w:name w:val="Intense Quote"/>
    <w:basedOn w:val="Normal"/>
    <w:next w:val="Normal"/>
    <w:link w:val="IntenseQuoteChar"/>
    <w:uiPriority w:val="30"/>
    <w:qFormat/>
    <w:rsid w:val="00EB72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B7288"/>
    <w:rPr>
      <w:rFonts w:ascii="Times New Roman" w:hAnsi="Times New Roman"/>
      <w:i/>
      <w:iCs/>
      <w:color w:val="2E74B5" w:themeColor="accent1" w:themeShade="BF"/>
      <w:kern w:val="0"/>
      <w:sz w:val="28"/>
      <w14:ligatures w14:val="none"/>
    </w:rPr>
  </w:style>
  <w:style w:type="character" w:styleId="IntenseReference">
    <w:name w:val="Intense Reference"/>
    <w:basedOn w:val="DefaultParagraphFont"/>
    <w:uiPriority w:val="32"/>
    <w:qFormat/>
    <w:rsid w:val="00EB7288"/>
    <w:rPr>
      <w:b/>
      <w:bCs/>
      <w:smallCaps/>
      <w:color w:val="2E74B5" w:themeColor="accent1" w:themeShade="BF"/>
      <w:spacing w:val="5"/>
    </w:rPr>
  </w:style>
  <w:style w:type="paragraph" w:styleId="Header">
    <w:name w:val="header"/>
    <w:basedOn w:val="Normal"/>
    <w:link w:val="HeaderChar"/>
    <w:uiPriority w:val="99"/>
    <w:unhideWhenUsed/>
    <w:rsid w:val="0074601E"/>
    <w:pPr>
      <w:tabs>
        <w:tab w:val="center" w:pos="4680"/>
        <w:tab w:val="right" w:pos="9360"/>
      </w:tabs>
      <w:spacing w:after="0"/>
    </w:pPr>
  </w:style>
  <w:style w:type="character" w:customStyle="1" w:styleId="HeaderChar">
    <w:name w:val="Header Char"/>
    <w:basedOn w:val="DefaultParagraphFont"/>
    <w:link w:val="Header"/>
    <w:uiPriority w:val="99"/>
    <w:rsid w:val="0074601E"/>
    <w:rPr>
      <w:rFonts w:ascii="Times New Roman" w:hAnsi="Times New Roman"/>
      <w:kern w:val="0"/>
      <w:sz w:val="28"/>
      <w14:ligatures w14:val="none"/>
    </w:rPr>
  </w:style>
  <w:style w:type="paragraph" w:styleId="Footer">
    <w:name w:val="footer"/>
    <w:basedOn w:val="Normal"/>
    <w:link w:val="FooterChar"/>
    <w:uiPriority w:val="99"/>
    <w:unhideWhenUsed/>
    <w:rsid w:val="0074601E"/>
    <w:pPr>
      <w:tabs>
        <w:tab w:val="center" w:pos="4680"/>
        <w:tab w:val="right" w:pos="9360"/>
      </w:tabs>
      <w:spacing w:after="0"/>
    </w:pPr>
  </w:style>
  <w:style w:type="character" w:customStyle="1" w:styleId="FooterChar">
    <w:name w:val="Footer Char"/>
    <w:basedOn w:val="DefaultParagraphFont"/>
    <w:link w:val="Footer"/>
    <w:uiPriority w:val="99"/>
    <w:rsid w:val="0074601E"/>
    <w:rPr>
      <w:rFonts w:ascii="Times New Roman" w:hAnsi="Times New Roman"/>
      <w:kern w:val="0"/>
      <w:sz w:val="28"/>
      <w14:ligatures w14:val="none"/>
    </w:rPr>
  </w:style>
  <w:style w:type="character" w:styleId="Emphasis">
    <w:name w:val="Emphasis"/>
    <w:basedOn w:val="DefaultParagraphFont"/>
    <w:uiPriority w:val="20"/>
    <w:qFormat/>
    <w:rsid w:val="00A50E96"/>
    <w:rPr>
      <w:i/>
      <w:iCs/>
    </w:rPr>
  </w:style>
  <w:style w:type="character" w:styleId="Hyperlink">
    <w:name w:val="Hyperlink"/>
    <w:basedOn w:val="DefaultParagraphFont"/>
    <w:uiPriority w:val="99"/>
    <w:unhideWhenUsed/>
    <w:rsid w:val="00996F4B"/>
    <w:rPr>
      <w:color w:val="0563C1" w:themeColor="hyperlink"/>
      <w:u w:val="single"/>
    </w:rPr>
  </w:style>
  <w:style w:type="character" w:styleId="UnresolvedMention">
    <w:name w:val="Unresolved Mention"/>
    <w:basedOn w:val="DefaultParagraphFont"/>
    <w:uiPriority w:val="99"/>
    <w:semiHidden/>
    <w:unhideWhenUsed/>
    <w:rsid w:val="00996F4B"/>
    <w:rPr>
      <w:color w:val="605E5C"/>
      <w:shd w:val="clear" w:color="auto" w:fill="E1DFDD"/>
    </w:rPr>
  </w:style>
  <w:style w:type="table" w:styleId="GridTable5Dark">
    <w:name w:val="Grid Table 5 Dark"/>
    <w:basedOn w:val="TableNormal"/>
    <w:uiPriority w:val="50"/>
    <w:rsid w:val="001638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638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1638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3">
    <w:name w:val="Grid Table 4 Accent 3"/>
    <w:basedOn w:val="TableNormal"/>
    <w:uiPriority w:val="49"/>
    <w:rsid w:val="001638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638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76421">
      <w:bodyDiv w:val="1"/>
      <w:marLeft w:val="0"/>
      <w:marRight w:val="0"/>
      <w:marTop w:val="0"/>
      <w:marBottom w:val="0"/>
      <w:divBdr>
        <w:top w:val="none" w:sz="0" w:space="0" w:color="auto"/>
        <w:left w:val="none" w:sz="0" w:space="0" w:color="auto"/>
        <w:bottom w:val="none" w:sz="0" w:space="0" w:color="auto"/>
        <w:right w:val="none" w:sz="0" w:space="0" w:color="auto"/>
      </w:divBdr>
      <w:divsChild>
        <w:div w:id="1495563377">
          <w:marLeft w:val="0"/>
          <w:marRight w:val="0"/>
          <w:marTop w:val="0"/>
          <w:marBottom w:val="0"/>
          <w:divBdr>
            <w:top w:val="none" w:sz="0" w:space="0" w:color="auto"/>
            <w:left w:val="none" w:sz="0" w:space="0" w:color="auto"/>
            <w:bottom w:val="none" w:sz="0" w:space="0" w:color="auto"/>
            <w:right w:val="none" w:sz="0" w:space="0" w:color="auto"/>
          </w:divBdr>
        </w:div>
      </w:divsChild>
    </w:div>
    <w:div w:id="561060874">
      <w:bodyDiv w:val="1"/>
      <w:marLeft w:val="0"/>
      <w:marRight w:val="0"/>
      <w:marTop w:val="0"/>
      <w:marBottom w:val="0"/>
      <w:divBdr>
        <w:top w:val="none" w:sz="0" w:space="0" w:color="auto"/>
        <w:left w:val="none" w:sz="0" w:space="0" w:color="auto"/>
        <w:bottom w:val="none" w:sz="0" w:space="0" w:color="auto"/>
        <w:right w:val="none" w:sz="0" w:space="0" w:color="auto"/>
      </w:divBdr>
      <w:divsChild>
        <w:div w:id="1632596454">
          <w:marLeft w:val="0"/>
          <w:marRight w:val="0"/>
          <w:marTop w:val="0"/>
          <w:marBottom w:val="0"/>
          <w:divBdr>
            <w:top w:val="none" w:sz="0" w:space="0" w:color="auto"/>
            <w:left w:val="none" w:sz="0" w:space="0" w:color="auto"/>
            <w:bottom w:val="none" w:sz="0" w:space="0" w:color="auto"/>
            <w:right w:val="none" w:sz="0" w:space="0" w:color="auto"/>
          </w:divBdr>
        </w:div>
      </w:divsChild>
    </w:div>
    <w:div w:id="640580549">
      <w:bodyDiv w:val="1"/>
      <w:marLeft w:val="0"/>
      <w:marRight w:val="0"/>
      <w:marTop w:val="0"/>
      <w:marBottom w:val="0"/>
      <w:divBdr>
        <w:top w:val="none" w:sz="0" w:space="0" w:color="auto"/>
        <w:left w:val="none" w:sz="0" w:space="0" w:color="auto"/>
        <w:bottom w:val="none" w:sz="0" w:space="0" w:color="auto"/>
        <w:right w:val="none" w:sz="0" w:space="0" w:color="auto"/>
      </w:divBdr>
    </w:div>
    <w:div w:id="721713042">
      <w:bodyDiv w:val="1"/>
      <w:marLeft w:val="0"/>
      <w:marRight w:val="0"/>
      <w:marTop w:val="0"/>
      <w:marBottom w:val="0"/>
      <w:divBdr>
        <w:top w:val="none" w:sz="0" w:space="0" w:color="auto"/>
        <w:left w:val="none" w:sz="0" w:space="0" w:color="auto"/>
        <w:bottom w:val="none" w:sz="0" w:space="0" w:color="auto"/>
        <w:right w:val="none" w:sz="0" w:space="0" w:color="auto"/>
      </w:divBdr>
      <w:divsChild>
        <w:div w:id="329337005">
          <w:marLeft w:val="0"/>
          <w:marRight w:val="0"/>
          <w:marTop w:val="0"/>
          <w:marBottom w:val="0"/>
          <w:divBdr>
            <w:top w:val="none" w:sz="0" w:space="0" w:color="auto"/>
            <w:left w:val="none" w:sz="0" w:space="0" w:color="auto"/>
            <w:bottom w:val="none" w:sz="0" w:space="0" w:color="auto"/>
            <w:right w:val="none" w:sz="0" w:space="0" w:color="auto"/>
          </w:divBdr>
          <w:divsChild>
            <w:div w:id="1900048965">
              <w:marLeft w:val="0"/>
              <w:marRight w:val="0"/>
              <w:marTop w:val="0"/>
              <w:marBottom w:val="0"/>
              <w:divBdr>
                <w:top w:val="none" w:sz="0" w:space="0" w:color="auto"/>
                <w:left w:val="none" w:sz="0" w:space="0" w:color="auto"/>
                <w:bottom w:val="none" w:sz="0" w:space="0" w:color="auto"/>
                <w:right w:val="none" w:sz="0" w:space="0" w:color="auto"/>
              </w:divBdr>
            </w:div>
            <w:div w:id="1486125515">
              <w:marLeft w:val="0"/>
              <w:marRight w:val="0"/>
              <w:marTop w:val="0"/>
              <w:marBottom w:val="0"/>
              <w:divBdr>
                <w:top w:val="none" w:sz="0" w:space="0" w:color="auto"/>
                <w:left w:val="none" w:sz="0" w:space="0" w:color="auto"/>
                <w:bottom w:val="none" w:sz="0" w:space="0" w:color="auto"/>
                <w:right w:val="none" w:sz="0" w:space="0" w:color="auto"/>
              </w:divBdr>
            </w:div>
            <w:div w:id="445270290">
              <w:marLeft w:val="0"/>
              <w:marRight w:val="0"/>
              <w:marTop w:val="0"/>
              <w:marBottom w:val="0"/>
              <w:divBdr>
                <w:top w:val="none" w:sz="0" w:space="0" w:color="auto"/>
                <w:left w:val="none" w:sz="0" w:space="0" w:color="auto"/>
                <w:bottom w:val="none" w:sz="0" w:space="0" w:color="auto"/>
                <w:right w:val="none" w:sz="0" w:space="0" w:color="auto"/>
              </w:divBdr>
            </w:div>
            <w:div w:id="1726955088">
              <w:marLeft w:val="0"/>
              <w:marRight w:val="0"/>
              <w:marTop w:val="0"/>
              <w:marBottom w:val="0"/>
              <w:divBdr>
                <w:top w:val="none" w:sz="0" w:space="0" w:color="auto"/>
                <w:left w:val="none" w:sz="0" w:space="0" w:color="auto"/>
                <w:bottom w:val="none" w:sz="0" w:space="0" w:color="auto"/>
                <w:right w:val="none" w:sz="0" w:space="0" w:color="auto"/>
              </w:divBdr>
            </w:div>
            <w:div w:id="617951824">
              <w:marLeft w:val="0"/>
              <w:marRight w:val="0"/>
              <w:marTop w:val="0"/>
              <w:marBottom w:val="0"/>
              <w:divBdr>
                <w:top w:val="none" w:sz="0" w:space="0" w:color="auto"/>
                <w:left w:val="none" w:sz="0" w:space="0" w:color="auto"/>
                <w:bottom w:val="none" w:sz="0" w:space="0" w:color="auto"/>
                <w:right w:val="none" w:sz="0" w:space="0" w:color="auto"/>
              </w:divBdr>
            </w:div>
            <w:div w:id="12387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1966">
      <w:bodyDiv w:val="1"/>
      <w:marLeft w:val="0"/>
      <w:marRight w:val="0"/>
      <w:marTop w:val="0"/>
      <w:marBottom w:val="0"/>
      <w:divBdr>
        <w:top w:val="none" w:sz="0" w:space="0" w:color="auto"/>
        <w:left w:val="none" w:sz="0" w:space="0" w:color="auto"/>
        <w:bottom w:val="none" w:sz="0" w:space="0" w:color="auto"/>
        <w:right w:val="none" w:sz="0" w:space="0" w:color="auto"/>
      </w:divBdr>
    </w:div>
    <w:div w:id="1128206410">
      <w:bodyDiv w:val="1"/>
      <w:marLeft w:val="0"/>
      <w:marRight w:val="0"/>
      <w:marTop w:val="0"/>
      <w:marBottom w:val="0"/>
      <w:divBdr>
        <w:top w:val="none" w:sz="0" w:space="0" w:color="auto"/>
        <w:left w:val="none" w:sz="0" w:space="0" w:color="auto"/>
        <w:bottom w:val="none" w:sz="0" w:space="0" w:color="auto"/>
        <w:right w:val="none" w:sz="0" w:space="0" w:color="auto"/>
      </w:divBdr>
      <w:divsChild>
        <w:div w:id="53088429">
          <w:marLeft w:val="0"/>
          <w:marRight w:val="0"/>
          <w:marTop w:val="0"/>
          <w:marBottom w:val="0"/>
          <w:divBdr>
            <w:top w:val="none" w:sz="0" w:space="0" w:color="auto"/>
            <w:left w:val="none" w:sz="0" w:space="0" w:color="auto"/>
            <w:bottom w:val="none" w:sz="0" w:space="0" w:color="auto"/>
            <w:right w:val="none" w:sz="0" w:space="0" w:color="auto"/>
          </w:divBdr>
          <w:divsChild>
            <w:div w:id="743378250">
              <w:marLeft w:val="0"/>
              <w:marRight w:val="0"/>
              <w:marTop w:val="0"/>
              <w:marBottom w:val="0"/>
              <w:divBdr>
                <w:top w:val="none" w:sz="0" w:space="0" w:color="auto"/>
                <w:left w:val="none" w:sz="0" w:space="0" w:color="auto"/>
                <w:bottom w:val="none" w:sz="0" w:space="0" w:color="auto"/>
                <w:right w:val="none" w:sz="0" w:space="0" w:color="auto"/>
              </w:divBdr>
            </w:div>
            <w:div w:id="17544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1993">
      <w:bodyDiv w:val="1"/>
      <w:marLeft w:val="0"/>
      <w:marRight w:val="0"/>
      <w:marTop w:val="0"/>
      <w:marBottom w:val="0"/>
      <w:divBdr>
        <w:top w:val="none" w:sz="0" w:space="0" w:color="auto"/>
        <w:left w:val="none" w:sz="0" w:space="0" w:color="auto"/>
        <w:bottom w:val="none" w:sz="0" w:space="0" w:color="auto"/>
        <w:right w:val="none" w:sz="0" w:space="0" w:color="auto"/>
      </w:divBdr>
      <w:divsChild>
        <w:div w:id="234898845">
          <w:marLeft w:val="0"/>
          <w:marRight w:val="0"/>
          <w:marTop w:val="0"/>
          <w:marBottom w:val="0"/>
          <w:divBdr>
            <w:top w:val="none" w:sz="0" w:space="0" w:color="auto"/>
            <w:left w:val="none" w:sz="0" w:space="0" w:color="auto"/>
            <w:bottom w:val="none" w:sz="0" w:space="0" w:color="auto"/>
            <w:right w:val="none" w:sz="0" w:space="0" w:color="auto"/>
          </w:divBdr>
        </w:div>
      </w:divsChild>
    </w:div>
    <w:div w:id="1198157009">
      <w:bodyDiv w:val="1"/>
      <w:marLeft w:val="0"/>
      <w:marRight w:val="0"/>
      <w:marTop w:val="0"/>
      <w:marBottom w:val="0"/>
      <w:divBdr>
        <w:top w:val="none" w:sz="0" w:space="0" w:color="auto"/>
        <w:left w:val="none" w:sz="0" w:space="0" w:color="auto"/>
        <w:bottom w:val="none" w:sz="0" w:space="0" w:color="auto"/>
        <w:right w:val="none" w:sz="0" w:space="0" w:color="auto"/>
      </w:divBdr>
      <w:divsChild>
        <w:div w:id="1846091156">
          <w:marLeft w:val="0"/>
          <w:marRight w:val="0"/>
          <w:marTop w:val="0"/>
          <w:marBottom w:val="0"/>
          <w:divBdr>
            <w:top w:val="none" w:sz="0" w:space="0" w:color="auto"/>
            <w:left w:val="none" w:sz="0" w:space="0" w:color="auto"/>
            <w:bottom w:val="none" w:sz="0" w:space="0" w:color="auto"/>
            <w:right w:val="none" w:sz="0" w:space="0" w:color="auto"/>
          </w:divBdr>
          <w:divsChild>
            <w:div w:id="964193572">
              <w:marLeft w:val="0"/>
              <w:marRight w:val="0"/>
              <w:marTop w:val="0"/>
              <w:marBottom w:val="0"/>
              <w:divBdr>
                <w:top w:val="none" w:sz="0" w:space="0" w:color="auto"/>
                <w:left w:val="none" w:sz="0" w:space="0" w:color="auto"/>
                <w:bottom w:val="none" w:sz="0" w:space="0" w:color="auto"/>
                <w:right w:val="none" w:sz="0" w:space="0" w:color="auto"/>
              </w:divBdr>
            </w:div>
            <w:div w:id="949513126">
              <w:marLeft w:val="0"/>
              <w:marRight w:val="0"/>
              <w:marTop w:val="0"/>
              <w:marBottom w:val="0"/>
              <w:divBdr>
                <w:top w:val="none" w:sz="0" w:space="0" w:color="auto"/>
                <w:left w:val="none" w:sz="0" w:space="0" w:color="auto"/>
                <w:bottom w:val="none" w:sz="0" w:space="0" w:color="auto"/>
                <w:right w:val="none" w:sz="0" w:space="0" w:color="auto"/>
              </w:divBdr>
            </w:div>
            <w:div w:id="1917782751">
              <w:marLeft w:val="0"/>
              <w:marRight w:val="0"/>
              <w:marTop w:val="0"/>
              <w:marBottom w:val="0"/>
              <w:divBdr>
                <w:top w:val="none" w:sz="0" w:space="0" w:color="auto"/>
                <w:left w:val="none" w:sz="0" w:space="0" w:color="auto"/>
                <w:bottom w:val="none" w:sz="0" w:space="0" w:color="auto"/>
                <w:right w:val="none" w:sz="0" w:space="0" w:color="auto"/>
              </w:divBdr>
            </w:div>
            <w:div w:id="2314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635">
      <w:bodyDiv w:val="1"/>
      <w:marLeft w:val="0"/>
      <w:marRight w:val="0"/>
      <w:marTop w:val="0"/>
      <w:marBottom w:val="0"/>
      <w:divBdr>
        <w:top w:val="none" w:sz="0" w:space="0" w:color="auto"/>
        <w:left w:val="none" w:sz="0" w:space="0" w:color="auto"/>
        <w:bottom w:val="none" w:sz="0" w:space="0" w:color="auto"/>
        <w:right w:val="none" w:sz="0" w:space="0" w:color="auto"/>
      </w:divBdr>
    </w:div>
    <w:div w:id="1346207069">
      <w:bodyDiv w:val="1"/>
      <w:marLeft w:val="0"/>
      <w:marRight w:val="0"/>
      <w:marTop w:val="0"/>
      <w:marBottom w:val="0"/>
      <w:divBdr>
        <w:top w:val="none" w:sz="0" w:space="0" w:color="auto"/>
        <w:left w:val="none" w:sz="0" w:space="0" w:color="auto"/>
        <w:bottom w:val="none" w:sz="0" w:space="0" w:color="auto"/>
        <w:right w:val="none" w:sz="0" w:space="0" w:color="auto"/>
      </w:divBdr>
      <w:divsChild>
        <w:div w:id="1982416282">
          <w:marLeft w:val="0"/>
          <w:marRight w:val="0"/>
          <w:marTop w:val="0"/>
          <w:marBottom w:val="0"/>
          <w:divBdr>
            <w:top w:val="none" w:sz="0" w:space="0" w:color="auto"/>
            <w:left w:val="none" w:sz="0" w:space="0" w:color="auto"/>
            <w:bottom w:val="none" w:sz="0" w:space="0" w:color="auto"/>
            <w:right w:val="none" w:sz="0" w:space="0" w:color="auto"/>
          </w:divBdr>
          <w:divsChild>
            <w:div w:id="1185439556">
              <w:marLeft w:val="0"/>
              <w:marRight w:val="0"/>
              <w:marTop w:val="0"/>
              <w:marBottom w:val="0"/>
              <w:divBdr>
                <w:top w:val="none" w:sz="0" w:space="0" w:color="auto"/>
                <w:left w:val="none" w:sz="0" w:space="0" w:color="auto"/>
                <w:bottom w:val="none" w:sz="0" w:space="0" w:color="auto"/>
                <w:right w:val="none" w:sz="0" w:space="0" w:color="auto"/>
              </w:divBdr>
            </w:div>
            <w:div w:id="1756974387">
              <w:marLeft w:val="0"/>
              <w:marRight w:val="0"/>
              <w:marTop w:val="0"/>
              <w:marBottom w:val="0"/>
              <w:divBdr>
                <w:top w:val="none" w:sz="0" w:space="0" w:color="auto"/>
                <w:left w:val="none" w:sz="0" w:space="0" w:color="auto"/>
                <w:bottom w:val="none" w:sz="0" w:space="0" w:color="auto"/>
                <w:right w:val="none" w:sz="0" w:space="0" w:color="auto"/>
              </w:divBdr>
            </w:div>
            <w:div w:id="704064281">
              <w:marLeft w:val="0"/>
              <w:marRight w:val="0"/>
              <w:marTop w:val="0"/>
              <w:marBottom w:val="0"/>
              <w:divBdr>
                <w:top w:val="none" w:sz="0" w:space="0" w:color="auto"/>
                <w:left w:val="none" w:sz="0" w:space="0" w:color="auto"/>
                <w:bottom w:val="none" w:sz="0" w:space="0" w:color="auto"/>
                <w:right w:val="none" w:sz="0" w:space="0" w:color="auto"/>
              </w:divBdr>
            </w:div>
            <w:div w:id="2139955139">
              <w:marLeft w:val="0"/>
              <w:marRight w:val="0"/>
              <w:marTop w:val="0"/>
              <w:marBottom w:val="0"/>
              <w:divBdr>
                <w:top w:val="none" w:sz="0" w:space="0" w:color="auto"/>
                <w:left w:val="none" w:sz="0" w:space="0" w:color="auto"/>
                <w:bottom w:val="none" w:sz="0" w:space="0" w:color="auto"/>
                <w:right w:val="none" w:sz="0" w:space="0" w:color="auto"/>
              </w:divBdr>
            </w:div>
            <w:div w:id="400905498">
              <w:marLeft w:val="0"/>
              <w:marRight w:val="0"/>
              <w:marTop w:val="0"/>
              <w:marBottom w:val="0"/>
              <w:divBdr>
                <w:top w:val="none" w:sz="0" w:space="0" w:color="auto"/>
                <w:left w:val="none" w:sz="0" w:space="0" w:color="auto"/>
                <w:bottom w:val="none" w:sz="0" w:space="0" w:color="auto"/>
                <w:right w:val="none" w:sz="0" w:space="0" w:color="auto"/>
              </w:divBdr>
            </w:div>
            <w:div w:id="1737699155">
              <w:marLeft w:val="0"/>
              <w:marRight w:val="0"/>
              <w:marTop w:val="0"/>
              <w:marBottom w:val="0"/>
              <w:divBdr>
                <w:top w:val="none" w:sz="0" w:space="0" w:color="auto"/>
                <w:left w:val="none" w:sz="0" w:space="0" w:color="auto"/>
                <w:bottom w:val="none" w:sz="0" w:space="0" w:color="auto"/>
                <w:right w:val="none" w:sz="0" w:space="0" w:color="auto"/>
              </w:divBdr>
            </w:div>
            <w:div w:id="468283625">
              <w:marLeft w:val="0"/>
              <w:marRight w:val="0"/>
              <w:marTop w:val="0"/>
              <w:marBottom w:val="0"/>
              <w:divBdr>
                <w:top w:val="none" w:sz="0" w:space="0" w:color="auto"/>
                <w:left w:val="none" w:sz="0" w:space="0" w:color="auto"/>
                <w:bottom w:val="none" w:sz="0" w:space="0" w:color="auto"/>
                <w:right w:val="none" w:sz="0" w:space="0" w:color="auto"/>
              </w:divBdr>
            </w:div>
            <w:div w:id="1385180207">
              <w:marLeft w:val="0"/>
              <w:marRight w:val="0"/>
              <w:marTop w:val="0"/>
              <w:marBottom w:val="0"/>
              <w:divBdr>
                <w:top w:val="none" w:sz="0" w:space="0" w:color="auto"/>
                <w:left w:val="none" w:sz="0" w:space="0" w:color="auto"/>
                <w:bottom w:val="none" w:sz="0" w:space="0" w:color="auto"/>
                <w:right w:val="none" w:sz="0" w:space="0" w:color="auto"/>
              </w:divBdr>
            </w:div>
            <w:div w:id="714963069">
              <w:marLeft w:val="0"/>
              <w:marRight w:val="0"/>
              <w:marTop w:val="0"/>
              <w:marBottom w:val="0"/>
              <w:divBdr>
                <w:top w:val="none" w:sz="0" w:space="0" w:color="auto"/>
                <w:left w:val="none" w:sz="0" w:space="0" w:color="auto"/>
                <w:bottom w:val="none" w:sz="0" w:space="0" w:color="auto"/>
                <w:right w:val="none" w:sz="0" w:space="0" w:color="auto"/>
              </w:divBdr>
            </w:div>
            <w:div w:id="2002541676">
              <w:marLeft w:val="0"/>
              <w:marRight w:val="0"/>
              <w:marTop w:val="0"/>
              <w:marBottom w:val="0"/>
              <w:divBdr>
                <w:top w:val="none" w:sz="0" w:space="0" w:color="auto"/>
                <w:left w:val="none" w:sz="0" w:space="0" w:color="auto"/>
                <w:bottom w:val="none" w:sz="0" w:space="0" w:color="auto"/>
                <w:right w:val="none" w:sz="0" w:space="0" w:color="auto"/>
              </w:divBdr>
            </w:div>
            <w:div w:id="864637287">
              <w:marLeft w:val="0"/>
              <w:marRight w:val="0"/>
              <w:marTop w:val="0"/>
              <w:marBottom w:val="0"/>
              <w:divBdr>
                <w:top w:val="none" w:sz="0" w:space="0" w:color="auto"/>
                <w:left w:val="none" w:sz="0" w:space="0" w:color="auto"/>
                <w:bottom w:val="none" w:sz="0" w:space="0" w:color="auto"/>
                <w:right w:val="none" w:sz="0" w:space="0" w:color="auto"/>
              </w:divBdr>
            </w:div>
            <w:div w:id="1353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4909">
      <w:bodyDiv w:val="1"/>
      <w:marLeft w:val="0"/>
      <w:marRight w:val="0"/>
      <w:marTop w:val="0"/>
      <w:marBottom w:val="0"/>
      <w:divBdr>
        <w:top w:val="none" w:sz="0" w:space="0" w:color="auto"/>
        <w:left w:val="none" w:sz="0" w:space="0" w:color="auto"/>
        <w:bottom w:val="none" w:sz="0" w:space="0" w:color="auto"/>
        <w:right w:val="none" w:sz="0" w:space="0" w:color="auto"/>
      </w:divBdr>
      <w:divsChild>
        <w:div w:id="286470407">
          <w:marLeft w:val="0"/>
          <w:marRight w:val="0"/>
          <w:marTop w:val="0"/>
          <w:marBottom w:val="0"/>
          <w:divBdr>
            <w:top w:val="none" w:sz="0" w:space="0" w:color="auto"/>
            <w:left w:val="none" w:sz="0" w:space="0" w:color="auto"/>
            <w:bottom w:val="none" w:sz="0" w:space="0" w:color="auto"/>
            <w:right w:val="none" w:sz="0" w:space="0" w:color="auto"/>
          </w:divBdr>
          <w:divsChild>
            <w:div w:id="1133061619">
              <w:marLeft w:val="0"/>
              <w:marRight w:val="0"/>
              <w:marTop w:val="0"/>
              <w:marBottom w:val="0"/>
              <w:divBdr>
                <w:top w:val="none" w:sz="0" w:space="0" w:color="auto"/>
                <w:left w:val="none" w:sz="0" w:space="0" w:color="auto"/>
                <w:bottom w:val="none" w:sz="0" w:space="0" w:color="auto"/>
                <w:right w:val="none" w:sz="0" w:space="0" w:color="auto"/>
              </w:divBdr>
            </w:div>
            <w:div w:id="1695884365">
              <w:marLeft w:val="0"/>
              <w:marRight w:val="0"/>
              <w:marTop w:val="0"/>
              <w:marBottom w:val="0"/>
              <w:divBdr>
                <w:top w:val="none" w:sz="0" w:space="0" w:color="auto"/>
                <w:left w:val="none" w:sz="0" w:space="0" w:color="auto"/>
                <w:bottom w:val="none" w:sz="0" w:space="0" w:color="auto"/>
                <w:right w:val="none" w:sz="0" w:space="0" w:color="auto"/>
              </w:divBdr>
            </w:div>
            <w:div w:id="782697489">
              <w:marLeft w:val="0"/>
              <w:marRight w:val="0"/>
              <w:marTop w:val="0"/>
              <w:marBottom w:val="0"/>
              <w:divBdr>
                <w:top w:val="none" w:sz="0" w:space="0" w:color="auto"/>
                <w:left w:val="none" w:sz="0" w:space="0" w:color="auto"/>
                <w:bottom w:val="none" w:sz="0" w:space="0" w:color="auto"/>
                <w:right w:val="none" w:sz="0" w:space="0" w:color="auto"/>
              </w:divBdr>
            </w:div>
            <w:div w:id="463349161">
              <w:marLeft w:val="0"/>
              <w:marRight w:val="0"/>
              <w:marTop w:val="0"/>
              <w:marBottom w:val="0"/>
              <w:divBdr>
                <w:top w:val="none" w:sz="0" w:space="0" w:color="auto"/>
                <w:left w:val="none" w:sz="0" w:space="0" w:color="auto"/>
                <w:bottom w:val="none" w:sz="0" w:space="0" w:color="auto"/>
                <w:right w:val="none" w:sz="0" w:space="0" w:color="auto"/>
              </w:divBdr>
            </w:div>
            <w:div w:id="16006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054">
      <w:bodyDiv w:val="1"/>
      <w:marLeft w:val="0"/>
      <w:marRight w:val="0"/>
      <w:marTop w:val="0"/>
      <w:marBottom w:val="0"/>
      <w:divBdr>
        <w:top w:val="none" w:sz="0" w:space="0" w:color="auto"/>
        <w:left w:val="none" w:sz="0" w:space="0" w:color="auto"/>
        <w:bottom w:val="none" w:sz="0" w:space="0" w:color="auto"/>
        <w:right w:val="none" w:sz="0" w:space="0" w:color="auto"/>
      </w:divBdr>
      <w:divsChild>
        <w:div w:id="603349108">
          <w:marLeft w:val="0"/>
          <w:marRight w:val="0"/>
          <w:marTop w:val="0"/>
          <w:marBottom w:val="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547229110">
                  <w:marLeft w:val="45"/>
                  <w:marRight w:val="0"/>
                  <w:marTop w:val="105"/>
                  <w:marBottom w:val="75"/>
                  <w:divBdr>
                    <w:top w:val="none" w:sz="0" w:space="0" w:color="auto"/>
                    <w:left w:val="none" w:sz="0" w:space="0" w:color="auto"/>
                    <w:bottom w:val="none" w:sz="0" w:space="0" w:color="auto"/>
                    <w:right w:val="none" w:sz="0" w:space="0" w:color="auto"/>
                  </w:divBdr>
                  <w:divsChild>
                    <w:div w:id="1070421119">
                      <w:marLeft w:val="0"/>
                      <w:marRight w:val="0"/>
                      <w:marTop w:val="0"/>
                      <w:marBottom w:val="0"/>
                      <w:divBdr>
                        <w:top w:val="none" w:sz="0" w:space="0" w:color="auto"/>
                        <w:left w:val="none" w:sz="0" w:space="0" w:color="auto"/>
                        <w:bottom w:val="none" w:sz="0" w:space="0" w:color="auto"/>
                        <w:right w:val="none" w:sz="0" w:space="0" w:color="auto"/>
                      </w:divBdr>
                      <w:divsChild>
                        <w:div w:id="1809859887">
                          <w:marLeft w:val="0"/>
                          <w:marRight w:val="0"/>
                          <w:marTop w:val="0"/>
                          <w:marBottom w:val="0"/>
                          <w:divBdr>
                            <w:top w:val="none" w:sz="0" w:space="0" w:color="auto"/>
                            <w:left w:val="none" w:sz="0" w:space="0" w:color="auto"/>
                            <w:bottom w:val="none" w:sz="0" w:space="0" w:color="auto"/>
                            <w:right w:val="none" w:sz="0" w:space="0" w:color="auto"/>
                          </w:divBdr>
                          <w:divsChild>
                            <w:div w:id="584189925">
                              <w:marLeft w:val="0"/>
                              <w:marRight w:val="0"/>
                              <w:marTop w:val="0"/>
                              <w:marBottom w:val="0"/>
                              <w:divBdr>
                                <w:top w:val="none" w:sz="0" w:space="0" w:color="auto"/>
                                <w:left w:val="none" w:sz="0" w:space="0" w:color="auto"/>
                                <w:bottom w:val="none" w:sz="0" w:space="0" w:color="auto"/>
                                <w:right w:val="none" w:sz="0" w:space="0" w:color="auto"/>
                              </w:divBdr>
                              <w:divsChild>
                                <w:div w:id="1916090930">
                                  <w:marLeft w:val="0"/>
                                  <w:marRight w:val="0"/>
                                  <w:marTop w:val="0"/>
                                  <w:marBottom w:val="0"/>
                                  <w:divBdr>
                                    <w:top w:val="none" w:sz="0" w:space="0" w:color="auto"/>
                                    <w:left w:val="none" w:sz="0" w:space="0" w:color="auto"/>
                                    <w:bottom w:val="none" w:sz="0" w:space="0" w:color="auto"/>
                                    <w:right w:val="none" w:sz="0" w:space="0" w:color="auto"/>
                                  </w:divBdr>
                                  <w:divsChild>
                                    <w:div w:id="1104881019">
                                      <w:marLeft w:val="0"/>
                                      <w:marRight w:val="0"/>
                                      <w:marTop w:val="0"/>
                                      <w:marBottom w:val="0"/>
                                      <w:divBdr>
                                        <w:top w:val="none" w:sz="0" w:space="0" w:color="auto"/>
                                        <w:left w:val="none" w:sz="0" w:space="0" w:color="auto"/>
                                        <w:bottom w:val="none" w:sz="0" w:space="0" w:color="auto"/>
                                        <w:right w:val="none" w:sz="0" w:space="0" w:color="auto"/>
                                      </w:divBdr>
                                      <w:divsChild>
                                        <w:div w:id="1734309408">
                                          <w:marLeft w:val="0"/>
                                          <w:marRight w:val="0"/>
                                          <w:marTop w:val="0"/>
                                          <w:marBottom w:val="0"/>
                                          <w:divBdr>
                                            <w:top w:val="none" w:sz="0" w:space="0" w:color="auto"/>
                                            <w:left w:val="none" w:sz="0" w:space="0" w:color="auto"/>
                                            <w:bottom w:val="none" w:sz="0" w:space="0" w:color="auto"/>
                                            <w:right w:val="none" w:sz="0" w:space="0" w:color="auto"/>
                                          </w:divBdr>
                                          <w:divsChild>
                                            <w:div w:id="19035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593839">
      <w:bodyDiv w:val="1"/>
      <w:marLeft w:val="0"/>
      <w:marRight w:val="0"/>
      <w:marTop w:val="0"/>
      <w:marBottom w:val="0"/>
      <w:divBdr>
        <w:top w:val="none" w:sz="0" w:space="0" w:color="auto"/>
        <w:left w:val="none" w:sz="0" w:space="0" w:color="auto"/>
        <w:bottom w:val="none" w:sz="0" w:space="0" w:color="auto"/>
        <w:right w:val="none" w:sz="0" w:space="0" w:color="auto"/>
      </w:divBdr>
    </w:div>
    <w:div w:id="1852646406">
      <w:bodyDiv w:val="1"/>
      <w:marLeft w:val="0"/>
      <w:marRight w:val="0"/>
      <w:marTop w:val="0"/>
      <w:marBottom w:val="0"/>
      <w:divBdr>
        <w:top w:val="none" w:sz="0" w:space="0" w:color="auto"/>
        <w:left w:val="none" w:sz="0" w:space="0" w:color="auto"/>
        <w:bottom w:val="none" w:sz="0" w:space="0" w:color="auto"/>
        <w:right w:val="none" w:sz="0" w:space="0" w:color="auto"/>
      </w:divBdr>
      <w:divsChild>
        <w:div w:id="129594422">
          <w:marLeft w:val="0"/>
          <w:marRight w:val="0"/>
          <w:marTop w:val="0"/>
          <w:marBottom w:val="0"/>
          <w:divBdr>
            <w:top w:val="none" w:sz="0" w:space="0" w:color="auto"/>
            <w:left w:val="none" w:sz="0" w:space="0" w:color="auto"/>
            <w:bottom w:val="none" w:sz="0" w:space="0" w:color="auto"/>
            <w:right w:val="none" w:sz="0" w:space="0" w:color="auto"/>
          </w:divBdr>
          <w:divsChild>
            <w:div w:id="829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7700">
      <w:bodyDiv w:val="1"/>
      <w:marLeft w:val="0"/>
      <w:marRight w:val="0"/>
      <w:marTop w:val="0"/>
      <w:marBottom w:val="0"/>
      <w:divBdr>
        <w:top w:val="none" w:sz="0" w:space="0" w:color="auto"/>
        <w:left w:val="none" w:sz="0" w:space="0" w:color="auto"/>
        <w:bottom w:val="none" w:sz="0" w:space="0" w:color="auto"/>
        <w:right w:val="none" w:sz="0" w:space="0" w:color="auto"/>
      </w:divBdr>
      <w:divsChild>
        <w:div w:id="1853181190">
          <w:marLeft w:val="0"/>
          <w:marRight w:val="0"/>
          <w:marTop w:val="0"/>
          <w:marBottom w:val="0"/>
          <w:divBdr>
            <w:top w:val="none" w:sz="0" w:space="0" w:color="auto"/>
            <w:left w:val="none" w:sz="0" w:space="0" w:color="auto"/>
            <w:bottom w:val="none" w:sz="0" w:space="0" w:color="auto"/>
            <w:right w:val="none" w:sz="0" w:space="0" w:color="auto"/>
          </w:divBdr>
          <w:divsChild>
            <w:div w:id="9921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46C58-C16A-4D3E-8383-54E1BDD2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Nargiz Guliyeva</dc:creator>
  <cp:keywords/>
  <dc:description/>
  <cp:lastModifiedBy>Nargiz Guliyeva</cp:lastModifiedBy>
  <cp:revision>10</cp:revision>
  <dcterms:created xsi:type="dcterms:W3CDTF">2024-03-09T20:09:00Z</dcterms:created>
  <dcterms:modified xsi:type="dcterms:W3CDTF">2024-07-14T16:17:00Z</dcterms:modified>
</cp:coreProperties>
</file>