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SMART INDIA HACKATHON  |  2026</w:t>
      </w:r>
    </w:p>
    <w:p>
      <w:pPr>
        <w:spacing w:before="1600" w:after="160"/>
        <w:jc w:val="center"/>
      </w:pPr>
      <w:r>
        <w:rPr>
          <w:rFonts w:ascii="Calibri" w:hAnsi="Calibri"/>
          <w:b/>
          <w:color w:val="0B2545"/>
          <w:sz w:val="62"/>
        </w:rPr>
        <w:t>DECEPTRIX</w:t>
      </w:r>
    </w:p>
    <w:p>
      <w:pPr>
        <w:spacing w:after="120"/>
        <w:jc w:val="center"/>
      </w:pPr>
      <w:r>
        <w:rPr>
          <w:rFonts w:ascii="Calibri" w:hAnsi="Calibri"/>
          <w:b/>
          <w:color w:val="2E74B5"/>
          <w:sz w:val="36"/>
        </w:rPr>
        <w:t>Full Hackathon &amp; Platform Documentation</w:t>
      </w:r>
    </w:p>
    <w:p>
      <w:pPr>
        <w:spacing w:after="600"/>
        <w:jc w:val="center"/>
      </w:pPr>
      <w:r>
        <w:rPr>
          <w:rFonts w:ascii="Calibri" w:hAnsi="Calibri"/>
          <w:i/>
          <w:color w:val="5B6573"/>
          <w:sz w:val="25"/>
        </w:rPr>
        <w:t>Problem, solution, impact, responsible use, and roadmap for an evidence infrastructure platform</w:t>
      </w:r>
    </w:p>
    <w:tbl>
      <w:tblPr>
        <w:tblW w:type="dxa" w:w="9360"/>
        <w:jc w:val="center"/>
        <w:tblLook w:firstColumn="1" w:firstRow="1" w:lastColumn="0" w:lastRow="0" w:noHBand="0" w:noVBand="1" w:val="04A0"/>
        <w:tblInd w:w="120" w:type="dxa"/>
        <w:tblLayout w:type="fixed"/>
      </w:tblPr>
      <w:tblGrid>
        <w:gridCol w:w="2700"/>
        <w:gridCol w:w="6660"/>
      </w:tblGrid>
      <w:tr>
        <w:trPr>
          <w:tblHeader/>
        </w:trPr>
        <w:tc>
          <w:tcPr>
            <w:tcW w:type="dxa" w:w="2700"/>
            <w:tcMar>
              <w:top w:w="80" w:type="dxa"/>
              <w:start w:w="120" w:type="dxa"/>
              <w:bottom w:w="80" w:type="dxa"/>
              <w:end w:w="120" w:type="dxa"/>
            </w:tcMar>
            <w:shd w:fill="E8EEF5"/>
            <w:vAlign w:val="center"/>
          </w:tcPr>
          <w:p>
            <w:pPr>
              <w:jc w:val="left"/>
            </w:pPr>
            <w:r>
              <w:rPr>
                <w:rFonts w:ascii="Calibri" w:hAnsi="Calibri"/>
                <w:b/>
                <w:color w:val="0B2545"/>
                <w:sz w:val="20"/>
              </w:rPr>
              <w:t>Prepared for</w:t>
            </w:r>
          </w:p>
        </w:tc>
        <w:tc>
          <w:tcPr>
            <w:tcW w:type="dxa" w:w="6660"/>
            <w:tcMar>
              <w:top w:w="80" w:type="dxa"/>
              <w:start w:w="120" w:type="dxa"/>
              <w:bottom w:w="80" w:type="dxa"/>
              <w:end w:w="120" w:type="dxa"/>
            </w:tcMar>
            <w:vAlign w:val="center"/>
          </w:tcPr>
          <w:p>
            <w:pPr>
              <w:jc w:val="left"/>
            </w:pPr>
            <w:r>
              <w:rPr>
                <w:rFonts w:ascii="Calibri" w:hAnsi="Calibri"/>
                <w:color w:val="222222"/>
                <w:sz w:val="20"/>
              </w:rPr>
              <w:t>Smart India Hackathon judges, mentors, institutional partners, and future adopters</w:t>
            </w:r>
          </w:p>
        </w:tc>
      </w:tr>
      <w:tr>
        <w:tc>
          <w:tcPr>
            <w:tcW w:type="dxa" w:w="2700"/>
            <w:tcMar>
              <w:top w:w="80" w:type="dxa"/>
              <w:start w:w="120" w:type="dxa"/>
              <w:bottom w:w="80" w:type="dxa"/>
              <w:end w:w="120" w:type="dxa"/>
            </w:tcMar>
            <w:shd w:fill="E8EEF5"/>
            <w:vAlign w:val="center"/>
          </w:tcPr>
          <w:p>
            <w:pPr>
              <w:jc w:val="left"/>
            </w:pPr>
            <w:r>
              <w:rPr>
                <w:rFonts w:ascii="Calibri" w:hAnsi="Calibri"/>
                <w:b/>
                <w:color w:val="0B2545"/>
                <w:sz w:val="20"/>
              </w:rPr>
              <w:t>Purpose</w:t>
            </w:r>
          </w:p>
        </w:tc>
        <w:tc>
          <w:tcPr>
            <w:tcW w:type="dxa" w:w="6660"/>
            <w:tcMar>
              <w:top w:w="80" w:type="dxa"/>
              <w:start w:w="120" w:type="dxa"/>
              <w:bottom w:w="80" w:type="dxa"/>
              <w:end w:w="120" w:type="dxa"/>
            </w:tcMar>
            <w:vAlign w:val="center"/>
          </w:tcPr>
          <w:p>
            <w:pPr>
              <w:jc w:val="left"/>
            </w:pPr>
            <w:r>
              <w:rPr>
                <w:rFonts w:ascii="Calibri" w:hAnsi="Calibri"/>
                <w:color w:val="222222"/>
                <w:sz w:val="20"/>
              </w:rPr>
              <w:t>Present DECEPTRIX as a credible hackathon prototype and long-term infrastructure vision</w:t>
            </w:r>
          </w:p>
        </w:tc>
      </w:tr>
      <w:tr>
        <w:tc>
          <w:tcPr>
            <w:tcW w:type="dxa" w:w="2700"/>
            <w:tcMar>
              <w:top w:w="80" w:type="dxa"/>
              <w:start w:w="120" w:type="dxa"/>
              <w:bottom w:w="80" w:type="dxa"/>
              <w:end w:w="120" w:type="dxa"/>
            </w:tcMar>
            <w:shd w:fill="E8EEF5"/>
            <w:vAlign w:val="center"/>
          </w:tcPr>
          <w:p>
            <w:pPr>
              <w:jc w:val="left"/>
            </w:pPr>
            <w:r>
              <w:rPr>
                <w:rFonts w:ascii="Calibri" w:hAnsi="Calibri"/>
                <w:b/>
                <w:color w:val="0B2545"/>
                <w:sz w:val="20"/>
              </w:rPr>
              <w:t>Date</w:t>
            </w:r>
          </w:p>
        </w:tc>
        <w:tc>
          <w:tcPr>
            <w:tcW w:type="dxa" w:w="6660"/>
            <w:tcMar>
              <w:top w:w="80" w:type="dxa"/>
              <w:start w:w="120" w:type="dxa"/>
              <w:bottom w:w="80" w:type="dxa"/>
              <w:end w:w="120" w:type="dxa"/>
            </w:tcMar>
            <w:vAlign w:val="center"/>
          </w:tcPr>
          <w:p>
            <w:pPr>
              <w:jc w:val="left"/>
            </w:pPr>
            <w:r>
              <w:rPr>
                <w:rFonts w:ascii="Calibri" w:hAnsi="Calibri"/>
                <w:color w:val="222222"/>
                <w:sz w:val="20"/>
              </w:rPr>
              <w:t>19 August 2026</w:t>
            </w:r>
          </w:p>
        </w:tc>
      </w:tr>
    </w:tbl>
    <w:p/>
    <w:tbl>
      <w:tblPr>
        <w:tblW w:type="dxa" w:w="9360"/>
        <w:tblLook w:firstColumn="1" w:firstRow="1" w:lastColumn="0" w:lastRow="0" w:noHBand="0" w:noVBand="1" w:val="04A0"/>
        <w:tblInd w:w="120" w:type="dxa"/>
        <w:tblLayout w:type="fixed"/>
      </w:tblPr>
      <w:tblGrid>
        <w:gridCol w:w="9360"/>
      </w:tblGrid>
      <w:tr>
        <w:trPr>
          <w:cantSplit/>
          <w:tblHeader/>
        </w:trPr>
        <w:tc>
          <w:tcPr>
            <w:tcW w:type="dxa" w:w="9360"/>
            <w:tcMar>
              <w:top w:w="80" w:type="dxa"/>
              <w:start w:w="120" w:type="dxa"/>
              <w:bottom w:w="80" w:type="dxa"/>
              <w:end w:w="120" w:type="dxa"/>
            </w:tcMar>
            <w:shd w:fill="F4F6F9"/>
          </w:tcPr>
          <w:p>
            <w:pPr>
              <w:spacing w:after="40"/>
            </w:pPr>
            <w:r>
              <w:rPr>
                <w:rFonts w:ascii="Calibri" w:hAnsi="Calibri"/>
                <w:b/>
                <w:color w:val="0B2545"/>
                <w:sz w:val="21"/>
              </w:rPr>
              <w:t>What the name means</w:t>
            </w:r>
          </w:p>
          <w:p>
            <w:pPr>
              <w:spacing w:after="20"/>
            </w:pPr>
            <w:r>
              <w:rPr>
                <w:rFonts w:ascii="Calibri" w:hAnsi="Calibri"/>
                <w:color w:val="222222"/>
                <w:sz w:val="20"/>
              </w:rPr>
              <w:t>DECEPTRIX stands for DEception, Content, Evidence, Provenance, Trust, Risk Intelligence eXchange. It describes a platform that collects independent evidence and returns an auditable risk assessment instead of a black-box verdict.</w:t>
            </w:r>
          </w:p>
        </w:tc>
      </w:tr>
    </w:tbl>
    <w:p>
      <w:pPr>
        <w:spacing w:after="20"/>
      </w:pPr>
    </w:p>
    <w:p>
      <w:r>
        <w:br w:type="page"/>
      </w:r>
    </w:p>
    <w:p>
      <w:pPr>
        <w:pStyle w:val="Heading1"/>
      </w:pPr>
      <w:r>
        <w:t>1. Executive summary</w:t>
      </w:r>
    </w:p>
    <w:p>
      <w:r>
        <w:rPr>
          <w:rFonts w:ascii="Calibri" w:hAnsi="Calibri"/>
          <w:color w:val="222222"/>
          <w:sz w:val="22"/>
        </w:rPr>
        <w:t>DECEPTRIX is an evidence-first trust infrastructure platform for investigating suspicious media and social-media rumours. It gives a user two clear tools: Media Audit for short videos and Rumour Audit for pasted claims. Rather than pretending to decide truth with one model, it collects independent technical and source-based evidence, exposes limitations, and produces an auditable report.</w:t>
      </w:r>
    </w:p>
    <w:tbl>
      <w:tblPr>
        <w:tblW w:type="dxa" w:w="9360"/>
        <w:tblLook w:firstColumn="1" w:firstRow="1" w:lastColumn="0" w:lastRow="0" w:noHBand="0" w:noVBand="1" w:val="04A0"/>
        <w:tblInd w:w="120" w:type="dxa"/>
        <w:tblLayout w:type="fixed"/>
      </w:tblPr>
      <w:tblGrid>
        <w:gridCol w:w="9360"/>
      </w:tblGrid>
      <w:tr>
        <w:trPr>
          <w:cantSplit/>
          <w:tblHeader/>
        </w:trPr>
        <w:tc>
          <w:tcPr>
            <w:tcW w:type="dxa" w:w="9360"/>
            <w:tcMar>
              <w:top w:w="80" w:type="dxa"/>
              <w:start w:w="120" w:type="dxa"/>
              <w:bottom w:w="80" w:type="dxa"/>
              <w:end w:w="120" w:type="dxa"/>
            </w:tcMar>
            <w:shd w:fill="EAF2F8"/>
          </w:tcPr>
          <w:p>
            <w:pPr>
              <w:spacing w:after="40"/>
            </w:pPr>
            <w:r>
              <w:rPr>
                <w:rFonts w:ascii="Calibri" w:hAnsi="Calibri"/>
                <w:b/>
                <w:color w:val="0B2545"/>
                <w:sz w:val="21"/>
              </w:rPr>
              <w:t>Problem in one line</w:t>
            </w:r>
          </w:p>
          <w:p>
            <w:pPr>
              <w:spacing w:after="20"/>
            </w:pPr>
            <w:r>
              <w:rPr>
                <w:rFonts w:ascii="Calibri" w:hAnsi="Calibri"/>
                <w:color w:val="222222"/>
                <w:sz w:val="20"/>
              </w:rPr>
              <w:t>People must make high-impact decisions from content that is fast to create, easy to distort, and difficult to verify. They need evidence they can inspect, not an opaque score.</w:t>
            </w:r>
          </w:p>
        </w:tc>
      </w:tr>
    </w:tbl>
    <w:p>
      <w:pPr>
        <w:spacing w:after="20"/>
      </w:pPr>
    </w:p>
    <w:p>
      <w:pPr>
        <w:pStyle w:val="Heading2"/>
      </w:pPr>
      <w:r>
        <w:t>Vision</w:t>
      </w:r>
    </w:p>
    <w:p>
      <w:r>
        <w:rPr>
          <w:rFonts w:ascii="Calibri" w:hAnsi="Calibri"/>
          <w:color w:val="222222"/>
          <w:sz w:val="22"/>
        </w:rPr>
        <w:t>Become the trust layer applications call before they publish, accept, share, or act on high-risk content. DECEPTRIX will be usable as a web product, an API, an SDK, a policy engine, and an embeddable upload guardrail.</w:t>
      </w:r>
    </w:p>
    <w:p>
      <w:pPr>
        <w:pStyle w:val="Heading1"/>
      </w:pPr>
      <w:r>
        <w:t>2. The problem landscape</w:t>
      </w:r>
    </w:p>
    <w:tbl>
      <w:tblPr>
        <w:tblStyle w:val="TableGrid"/>
        <w:tblW w:type="dxa" w:w="9360"/>
        <w:jc w:val="center"/>
        <w:tblLook w:firstColumn="1" w:firstRow="1" w:lastColumn="0" w:lastRow="0" w:noHBand="0" w:noVBand="1" w:val="04A0"/>
        <w:tblInd w:w="120" w:type="dxa"/>
        <w:tblLayout w:type="fixed"/>
      </w:tblPr>
      <w:tblGrid>
        <w:gridCol w:w="1550"/>
        <w:gridCol w:w="1900"/>
        <w:gridCol w:w="2850"/>
        <w:gridCol w:w="3060"/>
      </w:tblGrid>
      <w:tr>
        <w:trPr>
          <w:tblHeader/>
        </w:trPr>
        <w:tc>
          <w:tcPr>
            <w:tcW w:type="dxa" w:w="1550"/>
            <w:tcMar>
              <w:top w:w="80" w:type="dxa"/>
              <w:start w:w="120" w:type="dxa"/>
              <w:bottom w:w="80" w:type="dxa"/>
              <w:end w:w="120" w:type="dxa"/>
            </w:tcMar>
            <w:shd w:fill="E8EEF5"/>
          </w:tcPr>
          <w:p>
            <w:pPr>
              <w:jc w:val="left"/>
            </w:pPr>
            <w:r>
              <w:rPr>
                <w:rFonts w:ascii="Calibri" w:hAnsi="Calibri"/>
                <w:b/>
                <w:color w:val="0B2545"/>
                <w:sz w:val="19"/>
              </w:rPr>
              <w:t>Problem</w:t>
            </w:r>
          </w:p>
        </w:tc>
        <w:tc>
          <w:tcPr>
            <w:tcW w:type="dxa" w:w="1900"/>
            <w:tcMar>
              <w:top w:w="80" w:type="dxa"/>
              <w:start w:w="120" w:type="dxa"/>
              <w:bottom w:w="80" w:type="dxa"/>
              <w:end w:w="120" w:type="dxa"/>
            </w:tcMar>
            <w:shd w:fill="E8EEF5"/>
          </w:tcPr>
          <w:p>
            <w:pPr>
              <w:jc w:val="left"/>
            </w:pPr>
            <w:r>
              <w:rPr>
                <w:rFonts w:ascii="Calibri" w:hAnsi="Calibri"/>
                <w:b/>
                <w:color w:val="0B2545"/>
                <w:sz w:val="19"/>
              </w:rPr>
              <w:t>Who is affected</w:t>
            </w:r>
          </w:p>
        </w:tc>
        <w:tc>
          <w:tcPr>
            <w:tcW w:type="dxa" w:w="2850"/>
            <w:tcMar>
              <w:top w:w="80" w:type="dxa"/>
              <w:start w:w="120" w:type="dxa"/>
              <w:bottom w:w="80" w:type="dxa"/>
              <w:end w:w="120" w:type="dxa"/>
            </w:tcMar>
            <w:shd w:fill="E8EEF5"/>
          </w:tcPr>
          <w:p>
            <w:pPr>
              <w:jc w:val="left"/>
            </w:pPr>
            <w:r>
              <w:rPr>
                <w:rFonts w:ascii="Calibri" w:hAnsi="Calibri"/>
                <w:b/>
                <w:color w:val="0B2545"/>
                <w:sz w:val="19"/>
              </w:rPr>
              <w:t>Why existing behaviour fails</w:t>
            </w:r>
          </w:p>
        </w:tc>
        <w:tc>
          <w:tcPr>
            <w:tcW w:type="dxa" w:w="3060"/>
            <w:tcMar>
              <w:top w:w="80" w:type="dxa"/>
              <w:start w:w="120" w:type="dxa"/>
              <w:bottom w:w="80" w:type="dxa"/>
              <w:end w:w="120" w:type="dxa"/>
            </w:tcMar>
            <w:shd w:fill="E8EEF5"/>
          </w:tcPr>
          <w:p>
            <w:pPr>
              <w:jc w:val="left"/>
            </w:pPr>
            <w:r>
              <w:rPr>
                <w:rFonts w:ascii="Calibri" w:hAnsi="Calibri"/>
                <w:b/>
                <w:color w:val="0B2545"/>
                <w:sz w:val="19"/>
              </w:rPr>
              <w:t>DECEPTRIX response</w:t>
            </w:r>
          </w:p>
        </w:tc>
      </w:tr>
      <w:tr>
        <w:tc>
          <w:tcPr>
            <w:tcW w:type="dxa" w:w="1550"/>
            <w:tcMar>
              <w:top w:w="80" w:type="dxa"/>
              <w:start w:w="120" w:type="dxa"/>
              <w:bottom w:w="80" w:type="dxa"/>
              <w:end w:w="120" w:type="dxa"/>
            </w:tcMar>
          </w:tcPr>
          <w:p>
            <w:pPr>
              <w:jc w:val="left"/>
            </w:pPr>
            <w:r>
              <w:rPr>
                <w:rFonts w:ascii="Calibri" w:hAnsi="Calibri"/>
                <w:color w:val="222222"/>
                <w:sz w:val="18"/>
              </w:rPr>
              <w:t>Manipulated or synthetic media</w:t>
            </w:r>
          </w:p>
        </w:tc>
        <w:tc>
          <w:tcPr>
            <w:tcW w:type="dxa" w:w="1900"/>
            <w:tcMar>
              <w:top w:w="80" w:type="dxa"/>
              <w:start w:w="120" w:type="dxa"/>
              <w:bottom w:w="80" w:type="dxa"/>
              <w:end w:w="120" w:type="dxa"/>
            </w:tcMar>
          </w:tcPr>
          <w:p>
            <w:pPr>
              <w:jc w:val="left"/>
            </w:pPr>
            <w:r>
              <w:rPr>
                <w:rFonts w:ascii="Calibri" w:hAnsi="Calibri"/>
                <w:color w:val="222222"/>
                <w:sz w:val="18"/>
              </w:rPr>
              <w:t>Citizens, journalists, public agencies, platforms.</w:t>
            </w:r>
          </w:p>
        </w:tc>
        <w:tc>
          <w:tcPr>
            <w:tcW w:type="dxa" w:w="2850"/>
            <w:tcMar>
              <w:top w:w="80" w:type="dxa"/>
              <w:start w:w="120" w:type="dxa"/>
              <w:bottom w:w="80" w:type="dxa"/>
              <w:end w:w="120" w:type="dxa"/>
            </w:tcMar>
          </w:tcPr>
          <w:p>
            <w:pPr>
              <w:jc w:val="left"/>
            </w:pPr>
            <w:r>
              <w:rPr>
                <w:rFonts w:ascii="Calibri" w:hAnsi="Calibri"/>
                <w:color w:val="222222"/>
                <w:sz w:val="18"/>
              </w:rPr>
              <w:t>Single-model “fake” labels are difficult to trust and rarely explain where the issue is.</w:t>
            </w:r>
          </w:p>
        </w:tc>
        <w:tc>
          <w:tcPr>
            <w:tcW w:type="dxa" w:w="3060"/>
            <w:tcMar>
              <w:top w:w="80" w:type="dxa"/>
              <w:start w:w="120" w:type="dxa"/>
              <w:bottom w:w="80" w:type="dxa"/>
              <w:end w:w="120" w:type="dxa"/>
            </w:tcMar>
          </w:tcPr>
          <w:p>
            <w:pPr>
              <w:jc w:val="left"/>
            </w:pPr>
            <w:r>
              <w:rPr>
                <w:rFonts w:ascii="Calibri" w:hAnsi="Calibri"/>
                <w:color w:val="222222"/>
                <w:sz w:val="18"/>
              </w:rPr>
              <w:t>Timestamped evidence, detector status, keyframes, provenance, and uncertainty.</w:t>
            </w:r>
          </w:p>
        </w:tc>
      </w:tr>
      <w:tr>
        <w:tc>
          <w:tcPr>
            <w:tcW w:type="dxa" w:w="1550"/>
            <w:tcMar>
              <w:top w:w="80" w:type="dxa"/>
              <w:start w:w="120" w:type="dxa"/>
              <w:bottom w:w="80" w:type="dxa"/>
              <w:end w:w="120" w:type="dxa"/>
            </w:tcMar>
          </w:tcPr>
          <w:p>
            <w:pPr>
              <w:jc w:val="left"/>
            </w:pPr>
            <w:r>
              <w:rPr>
                <w:rFonts w:ascii="Calibri" w:hAnsi="Calibri"/>
                <w:color w:val="222222"/>
                <w:sz w:val="18"/>
              </w:rPr>
              <w:t>Rumours and context collapse</w:t>
            </w:r>
          </w:p>
        </w:tc>
        <w:tc>
          <w:tcPr>
            <w:tcW w:type="dxa" w:w="1900"/>
            <w:tcMar>
              <w:top w:w="80" w:type="dxa"/>
              <w:start w:w="120" w:type="dxa"/>
              <w:bottom w:w="80" w:type="dxa"/>
              <w:end w:w="120" w:type="dxa"/>
            </w:tcMar>
          </w:tcPr>
          <w:p>
            <w:pPr>
              <w:jc w:val="left"/>
            </w:pPr>
            <w:r>
              <w:rPr>
                <w:rFonts w:ascii="Calibri" w:hAnsi="Calibri"/>
                <w:color w:val="222222"/>
                <w:sz w:val="18"/>
              </w:rPr>
              <w:t>Families, students, administrators, emergency responders.</w:t>
            </w:r>
          </w:p>
        </w:tc>
        <w:tc>
          <w:tcPr>
            <w:tcW w:type="dxa" w:w="2850"/>
            <w:tcMar>
              <w:top w:w="80" w:type="dxa"/>
              <w:start w:w="120" w:type="dxa"/>
              <w:bottom w:w="80" w:type="dxa"/>
              <w:end w:w="120" w:type="dxa"/>
            </w:tcMar>
          </w:tcPr>
          <w:p>
            <w:pPr>
              <w:jc w:val="left"/>
            </w:pPr>
            <w:r>
              <w:rPr>
                <w:rFonts w:ascii="Calibri" w:hAnsi="Calibri"/>
                <w:color w:val="222222"/>
                <w:sz w:val="18"/>
              </w:rPr>
              <w:t>Forwarded messages mix true fragments, old facts, and invented claims; manual research is slow.</w:t>
            </w:r>
          </w:p>
        </w:tc>
        <w:tc>
          <w:tcPr>
            <w:tcW w:type="dxa" w:w="3060"/>
            <w:tcMar>
              <w:top w:w="80" w:type="dxa"/>
              <w:start w:w="120" w:type="dxa"/>
              <w:bottom w:w="80" w:type="dxa"/>
              <w:end w:w="120" w:type="dxa"/>
            </w:tcMar>
          </w:tcPr>
          <w:p>
            <w:pPr>
              <w:jc w:val="left"/>
            </w:pPr>
            <w:r>
              <w:rPr>
                <w:rFonts w:ascii="Calibri" w:hAnsi="Calibri"/>
                <w:color w:val="222222"/>
                <w:sz w:val="18"/>
              </w:rPr>
              <w:t>Atomic claims, official-first retrieval, citations, and bounded audit outcomes.</w:t>
            </w:r>
          </w:p>
        </w:tc>
      </w:tr>
      <w:tr>
        <w:tc>
          <w:tcPr>
            <w:tcW w:type="dxa" w:w="1550"/>
            <w:tcMar>
              <w:top w:w="80" w:type="dxa"/>
              <w:start w:w="120" w:type="dxa"/>
              <w:bottom w:w="80" w:type="dxa"/>
              <w:end w:w="120" w:type="dxa"/>
            </w:tcMar>
          </w:tcPr>
          <w:p>
            <w:pPr>
              <w:jc w:val="left"/>
            </w:pPr>
            <w:r>
              <w:rPr>
                <w:rFonts w:ascii="Calibri" w:hAnsi="Calibri"/>
                <w:color w:val="222222"/>
                <w:sz w:val="18"/>
              </w:rPr>
              <w:t>Lack of provenance</w:t>
            </w:r>
          </w:p>
        </w:tc>
        <w:tc>
          <w:tcPr>
            <w:tcW w:type="dxa" w:w="1900"/>
            <w:tcMar>
              <w:top w:w="80" w:type="dxa"/>
              <w:start w:w="120" w:type="dxa"/>
              <w:bottom w:w="80" w:type="dxa"/>
              <w:end w:w="120" w:type="dxa"/>
            </w:tcMar>
          </w:tcPr>
          <w:p>
            <w:pPr>
              <w:jc w:val="left"/>
            </w:pPr>
            <w:r>
              <w:rPr>
                <w:rFonts w:ascii="Calibri" w:hAnsi="Calibri"/>
                <w:color w:val="222222"/>
                <w:sz w:val="18"/>
              </w:rPr>
              <w:t>Publishers, agencies, creators, enterprises.</w:t>
            </w:r>
          </w:p>
        </w:tc>
        <w:tc>
          <w:tcPr>
            <w:tcW w:type="dxa" w:w="2850"/>
            <w:tcMar>
              <w:top w:w="80" w:type="dxa"/>
              <w:start w:w="120" w:type="dxa"/>
              <w:bottom w:w="80" w:type="dxa"/>
              <w:end w:w="120" w:type="dxa"/>
            </w:tcMar>
          </w:tcPr>
          <w:p>
            <w:pPr>
              <w:jc w:val="left"/>
            </w:pPr>
            <w:r>
              <w:rPr>
                <w:rFonts w:ascii="Calibri" w:hAnsi="Calibri"/>
                <w:color w:val="222222"/>
                <w:sz w:val="18"/>
              </w:rPr>
              <w:t>A file loses its origin when forwarded or recompressed.</w:t>
            </w:r>
          </w:p>
        </w:tc>
        <w:tc>
          <w:tcPr>
            <w:tcW w:type="dxa" w:w="3060"/>
            <w:tcMar>
              <w:top w:w="80" w:type="dxa"/>
              <w:start w:w="120" w:type="dxa"/>
              <w:bottom w:w="80" w:type="dxa"/>
              <w:end w:w="120" w:type="dxa"/>
            </w:tcMar>
          </w:tcPr>
          <w:p>
            <w:pPr>
              <w:jc w:val="left"/>
            </w:pPr>
            <w:r>
              <w:rPr>
                <w:rFonts w:ascii="Calibri" w:hAnsi="Calibri"/>
                <w:color w:val="222222"/>
                <w:sz w:val="18"/>
              </w:rPr>
              <w:t>Hashing, C2PA/provenance status, technical metadata, and report integrity.</w:t>
            </w:r>
          </w:p>
        </w:tc>
      </w:tr>
      <w:tr>
        <w:tc>
          <w:tcPr>
            <w:tcW w:type="dxa" w:w="1550"/>
            <w:tcMar>
              <w:top w:w="80" w:type="dxa"/>
              <w:start w:w="120" w:type="dxa"/>
              <w:bottom w:w="80" w:type="dxa"/>
              <w:end w:w="120" w:type="dxa"/>
            </w:tcMar>
          </w:tcPr>
          <w:p>
            <w:pPr>
              <w:jc w:val="left"/>
            </w:pPr>
            <w:r>
              <w:rPr>
                <w:rFonts w:ascii="Calibri" w:hAnsi="Calibri"/>
                <w:color w:val="222222"/>
                <w:sz w:val="18"/>
              </w:rPr>
              <w:t>Unsafe automation</w:t>
            </w:r>
          </w:p>
        </w:tc>
        <w:tc>
          <w:tcPr>
            <w:tcW w:type="dxa" w:w="1900"/>
            <w:tcMar>
              <w:top w:w="80" w:type="dxa"/>
              <w:start w:w="120" w:type="dxa"/>
              <w:bottom w:w="80" w:type="dxa"/>
              <w:end w:w="120" w:type="dxa"/>
            </w:tcMar>
          </w:tcPr>
          <w:p>
            <w:pPr>
              <w:jc w:val="left"/>
            </w:pPr>
            <w:r>
              <w:rPr>
                <w:rFonts w:ascii="Calibri" w:hAnsi="Calibri"/>
                <w:color w:val="222222"/>
                <w:sz w:val="18"/>
              </w:rPr>
              <w:t>Hiring, education, financial and public-service teams.</w:t>
            </w:r>
          </w:p>
        </w:tc>
        <w:tc>
          <w:tcPr>
            <w:tcW w:type="dxa" w:w="2850"/>
            <w:tcMar>
              <w:top w:w="80" w:type="dxa"/>
              <w:start w:w="120" w:type="dxa"/>
              <w:bottom w:w="80" w:type="dxa"/>
              <w:end w:w="120" w:type="dxa"/>
            </w:tcMar>
          </w:tcPr>
          <w:p>
            <w:pPr>
              <w:jc w:val="left"/>
            </w:pPr>
            <w:r>
              <w:rPr>
                <w:rFonts w:ascii="Calibri" w:hAnsi="Calibri"/>
                <w:color w:val="222222"/>
                <w:sz w:val="18"/>
              </w:rPr>
              <w:t>Generic AI-content detectors can produce high-stakes false positives.</w:t>
            </w:r>
          </w:p>
        </w:tc>
        <w:tc>
          <w:tcPr>
            <w:tcW w:type="dxa" w:w="3060"/>
            <w:tcMar>
              <w:top w:w="80" w:type="dxa"/>
              <w:start w:w="120" w:type="dxa"/>
              <w:bottom w:w="80" w:type="dxa"/>
              <w:end w:w="120" w:type="dxa"/>
            </w:tcMar>
          </w:tcPr>
          <w:p>
            <w:pPr>
              <w:jc w:val="left"/>
            </w:pPr>
            <w:r>
              <w:rPr>
                <w:rFonts w:ascii="Calibri" w:hAnsi="Calibri"/>
                <w:color w:val="222222"/>
                <w:sz w:val="18"/>
              </w:rPr>
              <w:t>Policy-based evidence, human review, and refusal to use style-only AI authorship as proof.</w:t>
            </w:r>
          </w:p>
        </w:tc>
      </w:tr>
      <w:tr>
        <w:tc>
          <w:tcPr>
            <w:tcW w:type="dxa" w:w="1550"/>
            <w:tcMar>
              <w:top w:w="80" w:type="dxa"/>
              <w:start w:w="120" w:type="dxa"/>
              <w:bottom w:w="80" w:type="dxa"/>
              <w:end w:w="120" w:type="dxa"/>
            </w:tcMar>
          </w:tcPr>
          <w:p>
            <w:pPr>
              <w:jc w:val="left"/>
            </w:pPr>
            <w:r>
              <w:rPr>
                <w:rFonts w:ascii="Calibri" w:hAnsi="Calibri"/>
                <w:color w:val="222222"/>
                <w:sz w:val="18"/>
              </w:rPr>
              <w:t>Fragmented trust tooling</w:t>
            </w:r>
          </w:p>
        </w:tc>
        <w:tc>
          <w:tcPr>
            <w:tcW w:type="dxa" w:w="1900"/>
            <w:tcMar>
              <w:top w:w="80" w:type="dxa"/>
              <w:start w:w="120" w:type="dxa"/>
              <w:bottom w:w="80" w:type="dxa"/>
              <w:end w:w="120" w:type="dxa"/>
            </w:tcMar>
          </w:tcPr>
          <w:p>
            <w:pPr>
              <w:jc w:val="left"/>
            </w:pPr>
            <w:r>
              <w:rPr>
                <w:rFonts w:ascii="Calibri" w:hAnsi="Calibri"/>
                <w:color w:val="222222"/>
                <w:sz w:val="18"/>
              </w:rPr>
              <w:t>Product teams and developers.</w:t>
            </w:r>
          </w:p>
        </w:tc>
        <w:tc>
          <w:tcPr>
            <w:tcW w:type="dxa" w:w="2850"/>
            <w:tcMar>
              <w:top w:w="80" w:type="dxa"/>
              <w:start w:w="120" w:type="dxa"/>
              <w:bottom w:w="80" w:type="dxa"/>
              <w:end w:w="120" w:type="dxa"/>
            </w:tcMar>
          </w:tcPr>
          <w:p>
            <w:pPr>
              <w:jc w:val="left"/>
            </w:pPr>
            <w:r>
              <w:rPr>
                <w:rFonts w:ascii="Calibri" w:hAnsi="Calibri"/>
                <w:color w:val="222222"/>
                <w:sz w:val="18"/>
              </w:rPr>
              <w:t>Each application rebuilds validation, source policy, audit logging, and review interfaces.</w:t>
            </w:r>
          </w:p>
        </w:tc>
        <w:tc>
          <w:tcPr>
            <w:tcW w:type="dxa" w:w="3060"/>
            <w:tcMar>
              <w:top w:w="80" w:type="dxa"/>
              <w:start w:w="120" w:type="dxa"/>
              <w:bottom w:w="80" w:type="dxa"/>
              <w:end w:w="120" w:type="dxa"/>
            </w:tcMar>
          </w:tcPr>
          <w:p>
            <w:pPr>
              <w:jc w:val="left"/>
            </w:pPr>
            <w:r>
              <w:rPr>
                <w:rFonts w:ascii="Calibri" w:hAnsi="Calibri"/>
                <w:color w:val="222222"/>
                <w:sz w:val="18"/>
              </w:rPr>
              <w:t>A shared evidence schema, connectors, APIs, SDKs, and policy packs.</w:t>
            </w:r>
          </w:p>
        </w:tc>
      </w:tr>
    </w:tbl>
    <w:p/>
    <w:p>
      <w:pPr>
        <w:pStyle w:val="Heading1"/>
      </w:pPr>
      <w:r>
        <w:t>3. What DECEPTRIX solves</w:t>
      </w:r>
    </w:p>
    <w:p>
      <w:pPr>
        <w:pStyle w:val="Heading2"/>
      </w:pPr>
      <w:r>
        <w:t>Immediate user problems</w:t>
      </w:r>
    </w:p>
    <w:p>
      <w:pPr>
        <w:pStyle w:val="ListBullet"/>
      </w:pPr>
      <w:r>
        <w:rPr>
          <w:rFonts w:ascii="Calibri" w:hAnsi="Calibri"/>
          <w:color w:val="222222"/>
          <w:sz w:val="22"/>
        </w:rPr>
        <w:t>A fact-checker can jump to suspicious media intervals instead of replaying an entire clip repeatedly.</w:t>
      </w:r>
    </w:p>
    <w:p>
      <w:pPr>
        <w:pStyle w:val="ListBullet"/>
      </w:pPr>
      <w:r>
        <w:rPr>
          <w:rFonts w:ascii="Calibri" w:hAnsi="Calibri"/>
          <w:color w:val="222222"/>
          <w:sz w:val="22"/>
        </w:rPr>
        <w:t>A citizen can turn a long forwarded rumour into specific claims with sources and an honest “not enough evidence” state.</w:t>
      </w:r>
    </w:p>
    <w:p>
      <w:pPr>
        <w:pStyle w:val="ListBullet"/>
      </w:pPr>
      <w:r>
        <w:rPr>
          <w:rFonts w:ascii="Calibri" w:hAnsi="Calibri"/>
          <w:color w:val="222222"/>
          <w:sz w:val="22"/>
        </w:rPr>
        <w:t>A reviewer can preserve a case file: file hash, source URLs, timestamps, model/connector versions, limitations, and outcome.</w:t>
      </w:r>
    </w:p>
    <w:p>
      <w:pPr>
        <w:pStyle w:val="ListBullet"/>
      </w:pPr>
      <w:r>
        <w:rPr>
          <w:rFonts w:ascii="Calibri" w:hAnsi="Calibri"/>
          <w:color w:val="222222"/>
          <w:sz w:val="22"/>
        </w:rPr>
        <w:t>A product team can add an upload or text-risk check without designing its own evidence, report, and workflow system.</w:t>
      </w:r>
    </w:p>
    <w:p>
      <w:pPr>
        <w:pStyle w:val="Heading2"/>
      </w:pPr>
      <w:r>
        <w:t>Additional problems the platform can address later</w:t>
      </w:r>
    </w:p>
    <w:tbl>
      <w:tblPr>
        <w:tblStyle w:val="TableGrid"/>
        <w:tblW w:type="dxa" w:w="9360"/>
        <w:jc w:val="center"/>
        <w:tblLook w:firstColumn="1" w:firstRow="1" w:lastColumn="0" w:lastRow="0" w:noHBand="0" w:noVBand="1" w:val="04A0"/>
        <w:tblInd w:w="120" w:type="dxa"/>
        <w:tblLayout w:type="fixed"/>
      </w:tblPr>
      <w:tblGrid>
        <w:gridCol w:w="1750"/>
        <w:gridCol w:w="3900"/>
        <w:gridCol w:w="3710"/>
      </w:tblGrid>
      <w:tr>
        <w:trPr>
          <w:tblHeader/>
        </w:trPr>
        <w:tc>
          <w:tcPr>
            <w:tcW w:type="dxa" w:w="1750"/>
            <w:tcMar>
              <w:top w:w="80" w:type="dxa"/>
              <w:start w:w="120" w:type="dxa"/>
              <w:bottom w:w="80" w:type="dxa"/>
              <w:end w:w="120" w:type="dxa"/>
            </w:tcMar>
            <w:shd w:fill="E8EEF5"/>
          </w:tcPr>
          <w:p>
            <w:pPr>
              <w:jc w:val="left"/>
            </w:pPr>
            <w:r>
              <w:rPr>
                <w:rFonts w:ascii="Calibri" w:hAnsi="Calibri"/>
                <w:b/>
                <w:color w:val="0B2545"/>
                <w:sz w:val="19"/>
              </w:rPr>
              <w:t>Domain</w:t>
            </w:r>
          </w:p>
        </w:tc>
        <w:tc>
          <w:tcPr>
            <w:tcW w:type="dxa" w:w="3900"/>
            <w:tcMar>
              <w:top w:w="80" w:type="dxa"/>
              <w:start w:w="120" w:type="dxa"/>
              <w:bottom w:w="80" w:type="dxa"/>
              <w:end w:w="120" w:type="dxa"/>
            </w:tcMar>
            <w:shd w:fill="E8EEF5"/>
          </w:tcPr>
          <w:p>
            <w:pPr>
              <w:jc w:val="left"/>
            </w:pPr>
            <w:r>
              <w:rPr>
                <w:rFonts w:ascii="Calibri" w:hAnsi="Calibri"/>
                <w:b/>
                <w:color w:val="0B2545"/>
                <w:sz w:val="19"/>
              </w:rPr>
              <w:t>Example use</w:t>
            </w:r>
          </w:p>
        </w:tc>
        <w:tc>
          <w:tcPr>
            <w:tcW w:type="dxa" w:w="3710"/>
            <w:tcMar>
              <w:top w:w="80" w:type="dxa"/>
              <w:start w:w="120" w:type="dxa"/>
              <w:bottom w:w="80" w:type="dxa"/>
              <w:end w:w="120" w:type="dxa"/>
            </w:tcMar>
            <w:shd w:fill="E8EEF5"/>
          </w:tcPr>
          <w:p>
            <w:pPr>
              <w:jc w:val="left"/>
            </w:pPr>
            <w:r>
              <w:rPr>
                <w:rFonts w:ascii="Calibri" w:hAnsi="Calibri"/>
                <w:b/>
                <w:color w:val="0B2545"/>
                <w:sz w:val="19"/>
              </w:rPr>
              <w:t>Appropriate guardrail</w:t>
            </w:r>
          </w:p>
        </w:tc>
      </w:tr>
      <w:tr>
        <w:tc>
          <w:tcPr>
            <w:tcW w:type="dxa" w:w="1750"/>
            <w:tcMar>
              <w:top w:w="80" w:type="dxa"/>
              <w:start w:w="120" w:type="dxa"/>
              <w:bottom w:w="80" w:type="dxa"/>
              <w:end w:w="120" w:type="dxa"/>
            </w:tcMar>
          </w:tcPr>
          <w:p>
            <w:pPr>
              <w:jc w:val="left"/>
            </w:pPr>
            <w:r>
              <w:rPr>
                <w:rFonts w:ascii="Calibri" w:hAnsi="Calibri"/>
                <w:color w:val="222222"/>
                <w:sz w:val="18"/>
              </w:rPr>
              <w:t>Government communication</w:t>
            </w:r>
          </w:p>
        </w:tc>
        <w:tc>
          <w:tcPr>
            <w:tcW w:type="dxa" w:w="3900"/>
            <w:tcMar>
              <w:top w:w="80" w:type="dxa"/>
              <w:start w:w="120" w:type="dxa"/>
              <w:bottom w:w="80" w:type="dxa"/>
              <w:end w:w="120" w:type="dxa"/>
            </w:tcMar>
          </w:tcPr>
          <w:p>
            <w:pPr>
              <w:jc w:val="left"/>
            </w:pPr>
            <w:r>
              <w:rPr>
                <w:rFonts w:ascii="Calibri" w:hAnsi="Calibri"/>
                <w:color w:val="222222"/>
                <w:sz w:val="18"/>
              </w:rPr>
              <w:t>Triage incoming misinformation about schemes, regulations, benefits, and advisories.</w:t>
            </w:r>
          </w:p>
        </w:tc>
        <w:tc>
          <w:tcPr>
            <w:tcW w:type="dxa" w:w="3710"/>
            <w:tcMar>
              <w:top w:w="80" w:type="dxa"/>
              <w:start w:w="120" w:type="dxa"/>
              <w:bottom w:w="80" w:type="dxa"/>
              <w:end w:w="120" w:type="dxa"/>
            </w:tcMar>
          </w:tcPr>
          <w:p>
            <w:pPr>
              <w:jc w:val="left"/>
            </w:pPr>
            <w:r>
              <w:rPr>
                <w:rFonts w:ascii="Calibri" w:hAnsi="Calibri"/>
                <w:color w:val="222222"/>
                <w:sz w:val="18"/>
              </w:rPr>
              <w:t>Official-source policy; route consequential cases to an authorised reviewer.</w:t>
            </w:r>
          </w:p>
        </w:tc>
      </w:tr>
      <w:tr>
        <w:tc>
          <w:tcPr>
            <w:tcW w:type="dxa" w:w="1750"/>
            <w:tcMar>
              <w:top w:w="80" w:type="dxa"/>
              <w:start w:w="120" w:type="dxa"/>
              <w:bottom w:w="80" w:type="dxa"/>
              <w:end w:w="120" w:type="dxa"/>
            </w:tcMar>
          </w:tcPr>
          <w:p>
            <w:pPr>
              <w:jc w:val="left"/>
            </w:pPr>
            <w:r>
              <w:rPr>
                <w:rFonts w:ascii="Calibri" w:hAnsi="Calibri"/>
                <w:color w:val="222222"/>
                <w:sz w:val="18"/>
              </w:rPr>
              <w:t>Newsrooms and NGOs</w:t>
            </w:r>
          </w:p>
        </w:tc>
        <w:tc>
          <w:tcPr>
            <w:tcW w:type="dxa" w:w="3900"/>
            <w:tcMar>
              <w:top w:w="80" w:type="dxa"/>
              <w:start w:w="120" w:type="dxa"/>
              <w:bottom w:w="80" w:type="dxa"/>
              <w:end w:w="120" w:type="dxa"/>
            </w:tcMar>
          </w:tcPr>
          <w:p>
            <w:pPr>
              <w:jc w:val="left"/>
            </w:pPr>
            <w:r>
              <w:rPr>
                <w:rFonts w:ascii="Calibri" w:hAnsi="Calibri"/>
                <w:color w:val="222222"/>
                <w:sz w:val="18"/>
              </w:rPr>
              <w:t>Create a research case from an image, clip, or viral claim.</w:t>
            </w:r>
          </w:p>
        </w:tc>
        <w:tc>
          <w:tcPr>
            <w:tcW w:type="dxa" w:w="3710"/>
            <w:tcMar>
              <w:top w:w="80" w:type="dxa"/>
              <w:start w:w="120" w:type="dxa"/>
              <w:bottom w:w="80" w:type="dxa"/>
              <w:end w:w="120" w:type="dxa"/>
            </w:tcMar>
          </w:tcPr>
          <w:p>
            <w:pPr>
              <w:jc w:val="left"/>
            </w:pPr>
            <w:r>
              <w:rPr>
                <w:rFonts w:ascii="Calibri" w:hAnsi="Calibri"/>
                <w:color w:val="222222"/>
                <w:sz w:val="18"/>
              </w:rPr>
              <w:t>Never publish an automated label without editorial review.</w:t>
            </w:r>
          </w:p>
        </w:tc>
      </w:tr>
      <w:tr>
        <w:tc>
          <w:tcPr>
            <w:tcW w:type="dxa" w:w="1750"/>
            <w:tcMar>
              <w:top w:w="80" w:type="dxa"/>
              <w:start w:w="120" w:type="dxa"/>
              <w:bottom w:w="80" w:type="dxa"/>
              <w:end w:w="120" w:type="dxa"/>
            </w:tcMar>
          </w:tcPr>
          <w:p>
            <w:pPr>
              <w:jc w:val="left"/>
            </w:pPr>
            <w:r>
              <w:rPr>
                <w:rFonts w:ascii="Calibri" w:hAnsi="Calibri"/>
                <w:color w:val="222222"/>
                <w:sz w:val="18"/>
              </w:rPr>
              <w:t>Disaster and public health</w:t>
            </w:r>
          </w:p>
        </w:tc>
        <w:tc>
          <w:tcPr>
            <w:tcW w:type="dxa" w:w="3900"/>
            <w:tcMar>
              <w:top w:w="80" w:type="dxa"/>
              <w:start w:w="120" w:type="dxa"/>
              <w:bottom w:w="80" w:type="dxa"/>
              <w:end w:w="120" w:type="dxa"/>
            </w:tcMar>
          </w:tcPr>
          <w:p>
            <w:pPr>
              <w:jc w:val="left"/>
            </w:pPr>
            <w:r>
              <w:rPr>
                <w:rFonts w:ascii="Calibri" w:hAnsi="Calibri"/>
                <w:color w:val="222222"/>
                <w:sz w:val="18"/>
              </w:rPr>
              <w:t>Identify recycled visuals and unsupported emergency claims.</w:t>
            </w:r>
          </w:p>
        </w:tc>
        <w:tc>
          <w:tcPr>
            <w:tcW w:type="dxa" w:w="3710"/>
            <w:tcMar>
              <w:top w:w="80" w:type="dxa"/>
              <w:start w:w="120" w:type="dxa"/>
              <w:bottom w:w="80" w:type="dxa"/>
              <w:end w:w="120" w:type="dxa"/>
            </w:tcMar>
          </w:tcPr>
          <w:p>
            <w:pPr>
              <w:jc w:val="left"/>
            </w:pPr>
            <w:r>
              <w:rPr>
                <w:rFonts w:ascii="Calibri" w:hAnsi="Calibri"/>
                <w:color w:val="222222"/>
                <w:sz w:val="18"/>
              </w:rPr>
              <w:t>Prioritise official emergency and health sources; display freshness date prominently.</w:t>
            </w:r>
          </w:p>
        </w:tc>
      </w:tr>
      <w:tr>
        <w:tc>
          <w:tcPr>
            <w:tcW w:type="dxa" w:w="1750"/>
            <w:tcMar>
              <w:top w:w="80" w:type="dxa"/>
              <w:start w:w="120" w:type="dxa"/>
              <w:bottom w:w="80" w:type="dxa"/>
              <w:end w:w="120" w:type="dxa"/>
            </w:tcMar>
          </w:tcPr>
          <w:p>
            <w:pPr>
              <w:jc w:val="left"/>
            </w:pPr>
            <w:r>
              <w:rPr>
                <w:rFonts w:ascii="Calibri" w:hAnsi="Calibri"/>
                <w:color w:val="222222"/>
                <w:sz w:val="18"/>
              </w:rPr>
              <w:t>Education</w:t>
            </w:r>
          </w:p>
        </w:tc>
        <w:tc>
          <w:tcPr>
            <w:tcW w:type="dxa" w:w="3900"/>
            <w:tcMar>
              <w:top w:w="80" w:type="dxa"/>
              <w:start w:w="120" w:type="dxa"/>
              <w:bottom w:w="80" w:type="dxa"/>
              <w:end w:w="120" w:type="dxa"/>
            </w:tcMar>
          </w:tcPr>
          <w:p>
            <w:pPr>
              <w:jc w:val="left"/>
            </w:pPr>
            <w:r>
              <w:rPr>
                <w:rFonts w:ascii="Calibri" w:hAnsi="Calibri"/>
                <w:color w:val="222222"/>
                <w:sz w:val="18"/>
              </w:rPr>
              <w:t>Teach media literacy through evidence and provenance exercises.</w:t>
            </w:r>
          </w:p>
        </w:tc>
        <w:tc>
          <w:tcPr>
            <w:tcW w:type="dxa" w:w="3710"/>
            <w:tcMar>
              <w:top w:w="80" w:type="dxa"/>
              <w:start w:w="120" w:type="dxa"/>
              <w:bottom w:w="80" w:type="dxa"/>
              <w:end w:w="120" w:type="dxa"/>
            </w:tcMar>
          </w:tcPr>
          <w:p>
            <w:pPr>
              <w:jc w:val="left"/>
            </w:pPr>
            <w:r>
              <w:rPr>
                <w:rFonts w:ascii="Calibri" w:hAnsi="Calibri"/>
                <w:color w:val="222222"/>
                <w:sz w:val="18"/>
              </w:rPr>
              <w:t>Do not use as a sole academic misconduct decision system.</w:t>
            </w:r>
          </w:p>
        </w:tc>
      </w:tr>
      <w:tr>
        <w:tc>
          <w:tcPr>
            <w:tcW w:type="dxa" w:w="1750"/>
            <w:tcMar>
              <w:top w:w="80" w:type="dxa"/>
              <w:start w:w="120" w:type="dxa"/>
              <w:bottom w:w="80" w:type="dxa"/>
              <w:end w:w="120" w:type="dxa"/>
            </w:tcMar>
          </w:tcPr>
          <w:p>
            <w:pPr>
              <w:jc w:val="left"/>
            </w:pPr>
            <w:r>
              <w:rPr>
                <w:rFonts w:ascii="Calibri" w:hAnsi="Calibri"/>
                <w:color w:val="222222"/>
                <w:sz w:val="18"/>
              </w:rPr>
              <w:t>Recruitment and HR</w:t>
            </w:r>
          </w:p>
        </w:tc>
        <w:tc>
          <w:tcPr>
            <w:tcW w:type="dxa" w:w="3900"/>
            <w:tcMar>
              <w:top w:w="80" w:type="dxa"/>
              <w:start w:w="120" w:type="dxa"/>
              <w:bottom w:w="80" w:type="dxa"/>
              <w:end w:w="120" w:type="dxa"/>
            </w:tcMar>
          </w:tcPr>
          <w:p>
            <w:pPr>
              <w:jc w:val="left"/>
            </w:pPr>
            <w:r>
              <w:rPr>
                <w:rFonts w:ascii="Calibri" w:hAnsi="Calibri"/>
                <w:color w:val="222222"/>
                <w:sz w:val="18"/>
              </w:rPr>
              <w:t>Check document provenance, tampering, and policy compliance.</w:t>
            </w:r>
          </w:p>
        </w:tc>
        <w:tc>
          <w:tcPr>
            <w:tcW w:type="dxa" w:w="3710"/>
            <w:tcMar>
              <w:top w:w="80" w:type="dxa"/>
              <w:start w:w="120" w:type="dxa"/>
              <w:bottom w:w="80" w:type="dxa"/>
              <w:end w:w="120" w:type="dxa"/>
            </w:tcMar>
          </w:tcPr>
          <w:p>
            <w:pPr>
              <w:jc w:val="left"/>
            </w:pPr>
            <w:r>
              <w:rPr>
                <w:rFonts w:ascii="Calibri" w:hAnsi="Calibri"/>
                <w:color w:val="222222"/>
                <w:sz w:val="18"/>
              </w:rPr>
              <w:t>Do not infer AI authorship or reject a candidate solely from detector output.</w:t>
            </w:r>
          </w:p>
        </w:tc>
      </w:tr>
      <w:tr>
        <w:tc>
          <w:tcPr>
            <w:tcW w:type="dxa" w:w="1750"/>
            <w:tcMar>
              <w:top w:w="80" w:type="dxa"/>
              <w:start w:w="120" w:type="dxa"/>
              <w:bottom w:w="80" w:type="dxa"/>
              <w:end w:w="120" w:type="dxa"/>
            </w:tcMar>
          </w:tcPr>
          <w:p>
            <w:pPr>
              <w:jc w:val="left"/>
            </w:pPr>
            <w:r>
              <w:rPr>
                <w:rFonts w:ascii="Calibri" w:hAnsi="Calibri"/>
                <w:color w:val="222222"/>
                <w:sz w:val="18"/>
              </w:rPr>
              <w:t>Financial services</w:t>
            </w:r>
          </w:p>
        </w:tc>
        <w:tc>
          <w:tcPr>
            <w:tcW w:type="dxa" w:w="3900"/>
            <w:tcMar>
              <w:top w:w="80" w:type="dxa"/>
              <w:start w:w="120" w:type="dxa"/>
              <w:bottom w:w="80" w:type="dxa"/>
              <w:end w:w="120" w:type="dxa"/>
            </w:tcMar>
          </w:tcPr>
          <w:p>
            <w:pPr>
              <w:jc w:val="left"/>
            </w:pPr>
            <w:r>
              <w:rPr>
                <w:rFonts w:ascii="Calibri" w:hAnsi="Calibri"/>
                <w:color w:val="222222"/>
                <w:sz w:val="18"/>
              </w:rPr>
              <w:t>Triage impersonation videos, investment rumours, or altered documents.</w:t>
            </w:r>
          </w:p>
        </w:tc>
        <w:tc>
          <w:tcPr>
            <w:tcW w:type="dxa" w:w="3710"/>
            <w:tcMar>
              <w:top w:w="80" w:type="dxa"/>
              <w:start w:w="120" w:type="dxa"/>
              <w:bottom w:w="80" w:type="dxa"/>
              <w:end w:w="120" w:type="dxa"/>
            </w:tcMar>
          </w:tcPr>
          <w:p>
            <w:pPr>
              <w:jc w:val="left"/>
            </w:pPr>
            <w:r>
              <w:rPr>
                <w:rFonts w:ascii="Calibri" w:hAnsi="Calibri"/>
                <w:color w:val="222222"/>
                <w:sz w:val="18"/>
              </w:rPr>
              <w:t>Use human escalation and regulated workflows; retain audit records.</w:t>
            </w:r>
          </w:p>
        </w:tc>
      </w:tr>
      <w:tr>
        <w:tc>
          <w:tcPr>
            <w:tcW w:type="dxa" w:w="1750"/>
            <w:tcMar>
              <w:top w:w="80" w:type="dxa"/>
              <w:start w:w="120" w:type="dxa"/>
              <w:bottom w:w="80" w:type="dxa"/>
              <w:end w:w="120" w:type="dxa"/>
            </w:tcMar>
          </w:tcPr>
          <w:p>
            <w:pPr>
              <w:jc w:val="left"/>
            </w:pPr>
            <w:r>
              <w:rPr>
                <w:rFonts w:ascii="Calibri" w:hAnsi="Calibri"/>
                <w:color w:val="222222"/>
                <w:sz w:val="18"/>
              </w:rPr>
              <w:t>Marketplaces and social platforms</w:t>
            </w:r>
          </w:p>
        </w:tc>
        <w:tc>
          <w:tcPr>
            <w:tcW w:type="dxa" w:w="3900"/>
            <w:tcMar>
              <w:top w:w="80" w:type="dxa"/>
              <w:start w:w="120" w:type="dxa"/>
              <w:bottom w:w="80" w:type="dxa"/>
              <w:end w:w="120" w:type="dxa"/>
            </w:tcMar>
          </w:tcPr>
          <w:p>
            <w:pPr>
              <w:jc w:val="left"/>
            </w:pPr>
            <w:r>
              <w:rPr>
                <w:rFonts w:ascii="Calibri" w:hAnsi="Calibri"/>
                <w:color w:val="222222"/>
                <w:sz w:val="18"/>
              </w:rPr>
              <w:t>Pre-upload risk warning for manipulated seller media or scam text.</w:t>
            </w:r>
          </w:p>
        </w:tc>
        <w:tc>
          <w:tcPr>
            <w:tcW w:type="dxa" w:w="3710"/>
            <w:tcMar>
              <w:top w:w="80" w:type="dxa"/>
              <w:start w:w="120" w:type="dxa"/>
              <w:bottom w:w="80" w:type="dxa"/>
              <w:end w:w="120" w:type="dxa"/>
            </w:tcMar>
          </w:tcPr>
          <w:p>
            <w:pPr>
              <w:jc w:val="left"/>
            </w:pPr>
            <w:r>
              <w:rPr>
                <w:rFonts w:ascii="Calibri" w:hAnsi="Calibri"/>
                <w:color w:val="222222"/>
                <w:sz w:val="18"/>
              </w:rPr>
              <w:t>Warn, queue for review, or add friction; do not silently suppress based on one score.</w:t>
            </w:r>
          </w:p>
        </w:tc>
      </w:tr>
      <w:tr>
        <w:tc>
          <w:tcPr>
            <w:tcW w:type="dxa" w:w="1750"/>
            <w:tcMar>
              <w:top w:w="80" w:type="dxa"/>
              <w:start w:w="120" w:type="dxa"/>
              <w:bottom w:w="80" w:type="dxa"/>
              <w:end w:w="120" w:type="dxa"/>
            </w:tcMar>
          </w:tcPr>
          <w:p>
            <w:pPr>
              <w:jc w:val="left"/>
            </w:pPr>
            <w:r>
              <w:rPr>
                <w:rFonts w:ascii="Calibri" w:hAnsi="Calibri"/>
                <w:color w:val="222222"/>
                <w:sz w:val="18"/>
              </w:rPr>
              <w:t>Enterprise security</w:t>
            </w:r>
          </w:p>
        </w:tc>
        <w:tc>
          <w:tcPr>
            <w:tcW w:type="dxa" w:w="3900"/>
            <w:tcMar>
              <w:top w:w="80" w:type="dxa"/>
              <w:start w:w="120" w:type="dxa"/>
              <w:bottom w:w="80" w:type="dxa"/>
              <w:end w:w="120" w:type="dxa"/>
            </w:tcMar>
          </w:tcPr>
          <w:p>
            <w:pPr>
              <w:jc w:val="left"/>
            </w:pPr>
            <w:r>
              <w:rPr>
                <w:rFonts w:ascii="Calibri" w:hAnsi="Calibri"/>
                <w:color w:val="222222"/>
                <w:sz w:val="18"/>
              </w:rPr>
              <w:t>Investigate executive impersonation, synthetic voice/video, and phishing narratives.</w:t>
            </w:r>
          </w:p>
        </w:tc>
        <w:tc>
          <w:tcPr>
            <w:tcW w:type="dxa" w:w="3710"/>
            <w:tcMar>
              <w:top w:w="80" w:type="dxa"/>
              <w:start w:w="120" w:type="dxa"/>
              <w:bottom w:w="80" w:type="dxa"/>
              <w:end w:w="120" w:type="dxa"/>
            </w:tcMar>
          </w:tcPr>
          <w:p>
            <w:pPr>
              <w:jc w:val="left"/>
            </w:pPr>
            <w:r>
              <w:rPr>
                <w:rFonts w:ascii="Calibri" w:hAnsi="Calibri"/>
                <w:color w:val="222222"/>
                <w:sz w:val="18"/>
              </w:rPr>
              <w:t>Integrate with incident response, access control, and retention policies.</w:t>
            </w:r>
          </w:p>
        </w:tc>
      </w:tr>
      <w:tr>
        <w:tc>
          <w:tcPr>
            <w:tcW w:type="dxa" w:w="1750"/>
            <w:tcMar>
              <w:top w:w="80" w:type="dxa"/>
              <w:start w:w="120" w:type="dxa"/>
              <w:bottom w:w="80" w:type="dxa"/>
              <w:end w:w="120" w:type="dxa"/>
            </w:tcMar>
          </w:tcPr>
          <w:p>
            <w:pPr>
              <w:jc w:val="left"/>
            </w:pPr>
            <w:r>
              <w:rPr>
                <w:rFonts w:ascii="Calibri" w:hAnsi="Calibri"/>
                <w:color w:val="222222"/>
                <w:sz w:val="18"/>
              </w:rPr>
              <w:t>Digital archives and cultural institutions</w:t>
            </w:r>
          </w:p>
        </w:tc>
        <w:tc>
          <w:tcPr>
            <w:tcW w:type="dxa" w:w="3900"/>
            <w:tcMar>
              <w:top w:w="80" w:type="dxa"/>
              <w:start w:w="120" w:type="dxa"/>
              <w:bottom w:w="80" w:type="dxa"/>
              <w:end w:w="120" w:type="dxa"/>
            </w:tcMar>
          </w:tcPr>
          <w:p>
            <w:pPr>
              <w:jc w:val="left"/>
            </w:pPr>
            <w:r>
              <w:rPr>
                <w:rFonts w:ascii="Calibri" w:hAnsi="Calibri"/>
                <w:color w:val="222222"/>
                <w:sz w:val="18"/>
              </w:rPr>
              <w:t>Record preservation provenance and detect altered versions.</w:t>
            </w:r>
          </w:p>
        </w:tc>
        <w:tc>
          <w:tcPr>
            <w:tcW w:type="dxa" w:w="3710"/>
            <w:tcMar>
              <w:top w:w="80" w:type="dxa"/>
              <w:start w:w="120" w:type="dxa"/>
              <w:bottom w:w="80" w:type="dxa"/>
              <w:end w:w="120" w:type="dxa"/>
            </w:tcMar>
          </w:tcPr>
          <w:p>
            <w:pPr>
              <w:jc w:val="left"/>
            </w:pPr>
            <w:r>
              <w:rPr>
                <w:rFonts w:ascii="Calibri" w:hAnsi="Calibri"/>
                <w:color w:val="222222"/>
                <w:sz w:val="18"/>
              </w:rPr>
              <w:t>Keep original artefacts and provenance chains immutable.</w:t>
            </w:r>
          </w:p>
        </w:tc>
      </w:tr>
      <w:tr>
        <w:tc>
          <w:tcPr>
            <w:tcW w:type="dxa" w:w="1750"/>
            <w:tcMar>
              <w:top w:w="80" w:type="dxa"/>
              <w:start w:w="120" w:type="dxa"/>
              <w:bottom w:w="80" w:type="dxa"/>
              <w:end w:w="120" w:type="dxa"/>
            </w:tcMar>
          </w:tcPr>
          <w:p>
            <w:pPr>
              <w:jc w:val="left"/>
            </w:pPr>
            <w:r>
              <w:rPr>
                <w:rFonts w:ascii="Calibri" w:hAnsi="Calibri"/>
                <w:color w:val="222222"/>
                <w:sz w:val="18"/>
              </w:rPr>
              <w:t>Citizen reporting portals</w:t>
            </w:r>
          </w:p>
        </w:tc>
        <w:tc>
          <w:tcPr>
            <w:tcW w:type="dxa" w:w="3900"/>
            <w:tcMar>
              <w:top w:w="80" w:type="dxa"/>
              <w:start w:w="120" w:type="dxa"/>
              <w:bottom w:w="80" w:type="dxa"/>
              <w:end w:w="120" w:type="dxa"/>
            </w:tcMar>
          </w:tcPr>
          <w:p>
            <w:pPr>
              <w:jc w:val="left"/>
            </w:pPr>
            <w:r>
              <w:rPr>
                <w:rFonts w:ascii="Calibri" w:hAnsi="Calibri"/>
                <w:color w:val="222222"/>
                <w:sz w:val="18"/>
              </w:rPr>
              <w:t>Help staff triage attachments and repeated misinformation narratives.</w:t>
            </w:r>
          </w:p>
        </w:tc>
        <w:tc>
          <w:tcPr>
            <w:tcW w:type="dxa" w:w="3710"/>
            <w:tcMar>
              <w:top w:w="80" w:type="dxa"/>
              <w:start w:w="120" w:type="dxa"/>
              <w:bottom w:w="80" w:type="dxa"/>
              <w:end w:w="120" w:type="dxa"/>
            </w:tcMar>
          </w:tcPr>
          <w:p>
            <w:pPr>
              <w:jc w:val="left"/>
            </w:pPr>
            <w:r>
              <w:rPr>
                <w:rFonts w:ascii="Calibri" w:hAnsi="Calibri"/>
                <w:color w:val="222222"/>
                <w:sz w:val="18"/>
              </w:rPr>
              <w:t>Separate triage probability from official determination.</w:t>
            </w:r>
          </w:p>
        </w:tc>
      </w:tr>
    </w:tbl>
    <w:p/>
    <w:p>
      <w:pPr>
        <w:pStyle w:val="Heading1"/>
      </w:pPr>
      <w:r>
        <w:t>4. Product concept and operating principles</w:t>
      </w:r>
    </w:p>
    <w:tbl>
      <w:tblPr>
        <w:tblStyle w:val="TableGrid"/>
        <w:tblW w:type="dxa" w:w="9360"/>
        <w:jc w:val="center"/>
        <w:tblLook w:firstColumn="1" w:firstRow="1" w:lastColumn="0" w:lastRow="0" w:noHBand="0" w:noVBand="1" w:val="04A0"/>
        <w:tblInd w:w="120" w:type="dxa"/>
        <w:tblLayout w:type="fixed"/>
      </w:tblPr>
      <w:tblGrid>
        <w:gridCol w:w="2500"/>
        <w:gridCol w:w="6860"/>
      </w:tblGrid>
      <w:tr>
        <w:trPr>
          <w:tblHeader/>
        </w:trPr>
        <w:tc>
          <w:tcPr>
            <w:tcW w:type="dxa" w:w="2500"/>
            <w:tcMar>
              <w:top w:w="80" w:type="dxa"/>
              <w:start w:w="120" w:type="dxa"/>
              <w:bottom w:w="80" w:type="dxa"/>
              <w:end w:w="120" w:type="dxa"/>
            </w:tcMar>
            <w:shd w:fill="E8EEF5"/>
          </w:tcPr>
          <w:p>
            <w:pPr>
              <w:jc w:val="left"/>
            </w:pPr>
            <w:r>
              <w:rPr>
                <w:rFonts w:ascii="Calibri" w:hAnsi="Calibri"/>
                <w:b/>
                <w:color w:val="0B2545"/>
                <w:sz w:val="19"/>
              </w:rPr>
              <w:t>Principle</w:t>
            </w:r>
          </w:p>
        </w:tc>
        <w:tc>
          <w:tcPr>
            <w:tcW w:type="dxa" w:w="6860"/>
            <w:tcMar>
              <w:top w:w="80" w:type="dxa"/>
              <w:start w:w="120" w:type="dxa"/>
              <w:bottom w:w="80" w:type="dxa"/>
              <w:end w:w="120" w:type="dxa"/>
            </w:tcMar>
            <w:shd w:fill="E8EEF5"/>
          </w:tcPr>
          <w:p>
            <w:pPr>
              <w:jc w:val="left"/>
            </w:pPr>
            <w:r>
              <w:rPr>
                <w:rFonts w:ascii="Calibri" w:hAnsi="Calibri"/>
                <w:b/>
                <w:color w:val="0B2545"/>
                <w:sz w:val="19"/>
              </w:rPr>
              <w:t>What it means in the product</w:t>
            </w:r>
          </w:p>
        </w:tc>
      </w:tr>
      <w:tr>
        <w:tc>
          <w:tcPr>
            <w:tcW w:type="dxa" w:w="2500"/>
            <w:tcMar>
              <w:top w:w="80" w:type="dxa"/>
              <w:start w:w="120" w:type="dxa"/>
              <w:bottom w:w="80" w:type="dxa"/>
              <w:end w:w="120" w:type="dxa"/>
            </w:tcMar>
          </w:tcPr>
          <w:p>
            <w:pPr>
              <w:jc w:val="left"/>
            </w:pPr>
            <w:r>
              <w:rPr>
                <w:rFonts w:ascii="Calibri" w:hAnsi="Calibri"/>
                <w:color w:val="222222"/>
                <w:sz w:val="18"/>
              </w:rPr>
              <w:t>Evidence before conclusion</w:t>
            </w:r>
          </w:p>
        </w:tc>
        <w:tc>
          <w:tcPr>
            <w:tcW w:type="dxa" w:w="6860"/>
            <w:tcMar>
              <w:top w:w="80" w:type="dxa"/>
              <w:start w:w="120" w:type="dxa"/>
              <w:bottom w:w="80" w:type="dxa"/>
              <w:end w:w="120" w:type="dxa"/>
            </w:tcMar>
          </w:tcPr>
          <w:p>
            <w:pPr>
              <w:jc w:val="left"/>
            </w:pPr>
            <w:r>
              <w:rPr>
                <w:rFonts w:ascii="Calibri" w:hAnsi="Calibri"/>
                <w:color w:val="222222"/>
                <w:sz w:val="18"/>
              </w:rPr>
              <w:t>Every meaningful result points to a time range, source passage, hash, or observable technical fact.</w:t>
            </w:r>
          </w:p>
        </w:tc>
      </w:tr>
      <w:tr>
        <w:tc>
          <w:tcPr>
            <w:tcW w:type="dxa" w:w="2500"/>
            <w:tcMar>
              <w:top w:w="80" w:type="dxa"/>
              <w:start w:w="120" w:type="dxa"/>
              <w:bottom w:w="80" w:type="dxa"/>
              <w:end w:w="120" w:type="dxa"/>
            </w:tcMar>
          </w:tcPr>
          <w:p>
            <w:pPr>
              <w:jc w:val="left"/>
            </w:pPr>
            <w:r>
              <w:rPr>
                <w:rFonts w:ascii="Calibri" w:hAnsi="Calibri"/>
                <w:color w:val="222222"/>
                <w:sz w:val="18"/>
              </w:rPr>
              <w:t>Independent signals</w:t>
            </w:r>
          </w:p>
        </w:tc>
        <w:tc>
          <w:tcPr>
            <w:tcW w:type="dxa" w:w="6860"/>
            <w:tcMar>
              <w:top w:w="80" w:type="dxa"/>
              <w:start w:w="120" w:type="dxa"/>
              <w:bottom w:w="80" w:type="dxa"/>
              <w:end w:w="120" w:type="dxa"/>
            </w:tcMar>
          </w:tcPr>
          <w:p>
            <w:pPr>
              <w:jc w:val="left"/>
            </w:pPr>
            <w:r>
              <w:rPr>
                <w:rFonts w:ascii="Calibri" w:hAnsi="Calibri"/>
                <w:color w:val="222222"/>
                <w:sz w:val="18"/>
              </w:rPr>
              <w:t>Pixel, audio, semantic, provenance, and source evidence remain visibly separate before any synthesis.</w:t>
            </w:r>
          </w:p>
        </w:tc>
      </w:tr>
      <w:tr>
        <w:tc>
          <w:tcPr>
            <w:tcW w:type="dxa" w:w="2500"/>
            <w:tcMar>
              <w:top w:w="80" w:type="dxa"/>
              <w:start w:w="120" w:type="dxa"/>
              <w:bottom w:w="80" w:type="dxa"/>
              <w:end w:w="120" w:type="dxa"/>
            </w:tcMar>
          </w:tcPr>
          <w:p>
            <w:pPr>
              <w:jc w:val="left"/>
            </w:pPr>
            <w:r>
              <w:rPr>
                <w:rFonts w:ascii="Calibri" w:hAnsi="Calibri"/>
                <w:color w:val="222222"/>
                <w:sz w:val="18"/>
              </w:rPr>
              <w:t>Abstain when uncertain</w:t>
            </w:r>
          </w:p>
        </w:tc>
        <w:tc>
          <w:tcPr>
            <w:tcW w:type="dxa" w:w="6860"/>
            <w:tcMar>
              <w:top w:w="80" w:type="dxa"/>
              <w:start w:w="120" w:type="dxa"/>
              <w:bottom w:w="80" w:type="dxa"/>
              <w:end w:w="120" w:type="dxa"/>
            </w:tcMar>
          </w:tcPr>
          <w:p>
            <w:pPr>
              <w:jc w:val="left"/>
            </w:pPr>
            <w:r>
              <w:rPr>
                <w:rFonts w:ascii="Calibri" w:hAnsi="Calibri"/>
                <w:color w:val="222222"/>
                <w:sz w:val="18"/>
              </w:rPr>
              <w:t>Inconclusive is a valid outcome. Absence of evidence is never converted into a positive claim.</w:t>
            </w:r>
          </w:p>
        </w:tc>
      </w:tr>
      <w:tr>
        <w:tc>
          <w:tcPr>
            <w:tcW w:type="dxa" w:w="2500"/>
            <w:tcMar>
              <w:top w:w="80" w:type="dxa"/>
              <w:start w:w="120" w:type="dxa"/>
              <w:bottom w:w="80" w:type="dxa"/>
              <w:end w:w="120" w:type="dxa"/>
            </w:tcMar>
          </w:tcPr>
          <w:p>
            <w:pPr>
              <w:jc w:val="left"/>
            </w:pPr>
            <w:r>
              <w:rPr>
                <w:rFonts w:ascii="Calibri" w:hAnsi="Calibri"/>
                <w:color w:val="222222"/>
                <w:sz w:val="18"/>
              </w:rPr>
              <w:t>Human decision remains human</w:t>
            </w:r>
          </w:p>
        </w:tc>
        <w:tc>
          <w:tcPr>
            <w:tcW w:type="dxa" w:w="6860"/>
            <w:tcMar>
              <w:top w:w="80" w:type="dxa"/>
              <w:start w:w="120" w:type="dxa"/>
              <w:bottom w:w="80" w:type="dxa"/>
              <w:end w:w="120" w:type="dxa"/>
            </w:tcMar>
          </w:tcPr>
          <w:p>
            <w:pPr>
              <w:jc w:val="left"/>
            </w:pPr>
            <w:r>
              <w:rPr>
                <w:rFonts w:ascii="Calibri" w:hAnsi="Calibri"/>
                <w:color w:val="222222"/>
                <w:sz w:val="18"/>
              </w:rPr>
              <w:t>The system supports investigation and review; it does not issue legal, journalistic, employment, or content-moderation determinations.</w:t>
            </w:r>
          </w:p>
        </w:tc>
      </w:tr>
      <w:tr>
        <w:tc>
          <w:tcPr>
            <w:tcW w:type="dxa" w:w="2500"/>
            <w:tcMar>
              <w:top w:w="80" w:type="dxa"/>
              <w:start w:w="120" w:type="dxa"/>
              <w:bottom w:w="80" w:type="dxa"/>
              <w:end w:w="120" w:type="dxa"/>
            </w:tcMar>
          </w:tcPr>
          <w:p>
            <w:pPr>
              <w:jc w:val="left"/>
            </w:pPr>
            <w:r>
              <w:rPr>
                <w:rFonts w:ascii="Calibri" w:hAnsi="Calibri"/>
                <w:color w:val="222222"/>
                <w:sz w:val="18"/>
              </w:rPr>
              <w:t>Traceability by design</w:t>
            </w:r>
          </w:p>
        </w:tc>
        <w:tc>
          <w:tcPr>
            <w:tcW w:type="dxa" w:w="6860"/>
            <w:tcMar>
              <w:top w:w="80" w:type="dxa"/>
              <w:start w:w="120" w:type="dxa"/>
              <w:bottom w:w="80" w:type="dxa"/>
              <w:end w:w="120" w:type="dxa"/>
            </w:tcMar>
          </w:tcPr>
          <w:p>
            <w:pPr>
              <w:jc w:val="left"/>
            </w:pPr>
            <w:r>
              <w:rPr>
                <w:rFonts w:ascii="Calibri" w:hAnsi="Calibri"/>
                <w:color w:val="222222"/>
                <w:sz w:val="18"/>
              </w:rPr>
              <w:t>Each case records versions, input hashes, timestamps, source snapshots/URLs, configuration, and failure states.</w:t>
            </w:r>
          </w:p>
        </w:tc>
      </w:tr>
      <w:tr>
        <w:tc>
          <w:tcPr>
            <w:tcW w:type="dxa" w:w="2500"/>
            <w:tcMar>
              <w:top w:w="80" w:type="dxa"/>
              <w:start w:w="120" w:type="dxa"/>
              <w:bottom w:w="80" w:type="dxa"/>
              <w:end w:w="120" w:type="dxa"/>
            </w:tcMar>
          </w:tcPr>
          <w:p>
            <w:pPr>
              <w:jc w:val="left"/>
            </w:pPr>
            <w:r>
              <w:rPr>
                <w:rFonts w:ascii="Calibri" w:hAnsi="Calibri"/>
                <w:color w:val="222222"/>
                <w:sz w:val="18"/>
              </w:rPr>
              <w:t>Policy is configurable</w:t>
            </w:r>
          </w:p>
        </w:tc>
        <w:tc>
          <w:tcPr>
            <w:tcW w:type="dxa" w:w="6860"/>
            <w:tcMar>
              <w:top w:w="80" w:type="dxa"/>
              <w:start w:w="120" w:type="dxa"/>
              <w:bottom w:w="80" w:type="dxa"/>
              <w:end w:w="120" w:type="dxa"/>
            </w:tcMar>
          </w:tcPr>
          <w:p>
            <w:pPr>
              <w:jc w:val="left"/>
            </w:pPr>
            <w:r>
              <w:rPr>
                <w:rFonts w:ascii="Calibri" w:hAnsi="Calibri"/>
                <w:color w:val="222222"/>
                <w:sz w:val="18"/>
              </w:rPr>
              <w:t>A hospital, government department, school, or platform can use different permitted sources, thresholds, retention, and escalation workflows.</w:t>
            </w:r>
          </w:p>
        </w:tc>
      </w:tr>
    </w:tbl>
    <w:p/>
    <w:p>
      <w:pPr>
        <w:pStyle w:val="Heading1"/>
      </w:pPr>
      <w:r>
        <w:t>5. Architecture: today and tomorrow</w:t>
      </w:r>
    </w:p>
    <w:p>
      <w:pPr>
        <w:pStyle w:val="Heading2"/>
      </w:pPr>
      <w:r>
        <w:t>Hackathon architecture</w:t>
      </w:r>
    </w:p>
    <w:p>
      <w:r>
        <w:rPr>
          <w:rFonts w:ascii="Calibri" w:hAnsi="Calibri"/>
          <w:color w:val="222222"/>
          <w:sz w:val="22"/>
        </w:rPr>
        <w:t>The MVP uses a modular monolith to reduce deployment risk: a Next.js client, FastAPI API, worker, SQLite, local storage, FFmpeg/OpenCV preprocessing, and connector adapters. The shared evidence contract is the real foundation; each module communicates through it.</w:t>
      </w:r>
    </w:p>
    <w:p>
      <w:pPr>
        <w:pStyle w:val="Heading2"/>
      </w:pPr>
      <w:r>
        <w:t>Bridge architecture for media, text, and future integrations</w:t>
      </w:r>
    </w:p>
    <w:tbl>
      <w:tblPr>
        <w:tblStyle w:val="TableGrid"/>
        <w:tblW w:type="dxa" w:w="9360"/>
        <w:jc w:val="center"/>
        <w:tblLook w:firstColumn="1" w:firstRow="1" w:lastColumn="0" w:lastRow="0" w:noHBand="0" w:noVBand="1" w:val="04A0"/>
        <w:tblInd w:w="120" w:type="dxa"/>
        <w:tblLayout w:type="fixed"/>
      </w:tblPr>
      <w:tblGrid>
        <w:gridCol w:w="1800"/>
        <w:gridCol w:w="1800"/>
        <w:gridCol w:w="2600"/>
        <w:gridCol w:w="3160"/>
      </w:tblGrid>
      <w:tr>
        <w:trPr>
          <w:tblHeader/>
        </w:trPr>
        <w:tc>
          <w:tcPr>
            <w:tcW w:type="dxa" w:w="1800"/>
            <w:tcMar>
              <w:top w:w="80" w:type="dxa"/>
              <w:start w:w="120" w:type="dxa"/>
              <w:bottom w:w="80" w:type="dxa"/>
              <w:end w:w="120" w:type="dxa"/>
            </w:tcMar>
            <w:shd w:fill="E8EEF5"/>
          </w:tcPr>
          <w:p>
            <w:pPr>
              <w:jc w:val="left"/>
            </w:pPr>
            <w:r>
              <w:rPr>
                <w:rFonts w:ascii="Calibri" w:hAnsi="Calibri"/>
                <w:b/>
                <w:color w:val="0B2545"/>
                <w:sz w:val="19"/>
              </w:rPr>
              <w:t>Bridge component</w:t>
            </w:r>
          </w:p>
        </w:tc>
        <w:tc>
          <w:tcPr>
            <w:tcW w:type="dxa" w:w="1800"/>
            <w:tcMar>
              <w:top w:w="80" w:type="dxa"/>
              <w:start w:w="120" w:type="dxa"/>
              <w:bottom w:w="80" w:type="dxa"/>
              <w:end w:w="120" w:type="dxa"/>
            </w:tcMar>
            <w:shd w:fill="E8EEF5"/>
          </w:tcPr>
          <w:p>
            <w:pPr>
              <w:jc w:val="left"/>
            </w:pPr>
            <w:r>
              <w:rPr>
                <w:rFonts w:ascii="Calibri" w:hAnsi="Calibri"/>
                <w:b/>
                <w:color w:val="0B2545"/>
                <w:sz w:val="19"/>
              </w:rPr>
              <w:t>Input</w:t>
            </w:r>
          </w:p>
        </w:tc>
        <w:tc>
          <w:tcPr>
            <w:tcW w:type="dxa" w:w="2600"/>
            <w:tcMar>
              <w:top w:w="80" w:type="dxa"/>
              <w:start w:w="120" w:type="dxa"/>
              <w:bottom w:w="80" w:type="dxa"/>
              <w:end w:w="120" w:type="dxa"/>
            </w:tcMar>
            <w:shd w:fill="E8EEF5"/>
          </w:tcPr>
          <w:p>
            <w:pPr>
              <w:jc w:val="left"/>
            </w:pPr>
            <w:r>
              <w:rPr>
                <w:rFonts w:ascii="Calibri" w:hAnsi="Calibri"/>
                <w:b/>
                <w:color w:val="0B2545"/>
                <w:sz w:val="19"/>
              </w:rPr>
              <w:t>Output</w:t>
            </w:r>
          </w:p>
        </w:tc>
        <w:tc>
          <w:tcPr>
            <w:tcW w:type="dxa" w:w="3160"/>
            <w:tcMar>
              <w:top w:w="80" w:type="dxa"/>
              <w:start w:w="120" w:type="dxa"/>
              <w:bottom w:w="80" w:type="dxa"/>
              <w:end w:w="120" w:type="dxa"/>
            </w:tcMar>
            <w:shd w:fill="E8EEF5"/>
          </w:tcPr>
          <w:p>
            <w:pPr>
              <w:jc w:val="left"/>
            </w:pPr>
            <w:r>
              <w:rPr>
                <w:rFonts w:ascii="Calibri" w:hAnsi="Calibri"/>
                <w:b/>
                <w:color w:val="0B2545"/>
                <w:sz w:val="19"/>
              </w:rPr>
              <w:t>Why it matters</w:t>
            </w:r>
          </w:p>
        </w:tc>
      </w:tr>
      <w:tr>
        <w:tc>
          <w:tcPr>
            <w:tcW w:type="dxa" w:w="1800"/>
            <w:tcMar>
              <w:top w:w="80" w:type="dxa"/>
              <w:start w:w="120" w:type="dxa"/>
              <w:bottom w:w="80" w:type="dxa"/>
              <w:end w:w="120" w:type="dxa"/>
            </w:tcMar>
          </w:tcPr>
          <w:p>
            <w:pPr>
              <w:jc w:val="left"/>
            </w:pPr>
            <w:r>
              <w:rPr>
                <w:rFonts w:ascii="Calibri" w:hAnsi="Calibri"/>
                <w:color w:val="222222"/>
                <w:sz w:val="18"/>
              </w:rPr>
              <w:t>Intake gateway</w:t>
            </w:r>
          </w:p>
        </w:tc>
        <w:tc>
          <w:tcPr>
            <w:tcW w:type="dxa" w:w="1800"/>
            <w:tcMar>
              <w:top w:w="80" w:type="dxa"/>
              <w:start w:w="120" w:type="dxa"/>
              <w:bottom w:w="80" w:type="dxa"/>
              <w:end w:w="120" w:type="dxa"/>
            </w:tcMar>
          </w:tcPr>
          <w:p>
            <w:pPr>
              <w:jc w:val="left"/>
            </w:pPr>
            <w:r>
              <w:rPr>
                <w:rFonts w:ascii="Calibri" w:hAnsi="Calibri"/>
                <w:color w:val="222222"/>
                <w:sz w:val="18"/>
              </w:rPr>
              <w:t>File upload, pasted text, future app SDK call.</w:t>
            </w:r>
          </w:p>
        </w:tc>
        <w:tc>
          <w:tcPr>
            <w:tcW w:type="dxa" w:w="2600"/>
            <w:tcMar>
              <w:top w:w="80" w:type="dxa"/>
              <w:start w:w="120" w:type="dxa"/>
              <w:bottom w:w="80" w:type="dxa"/>
              <w:end w:w="120" w:type="dxa"/>
            </w:tcMar>
          </w:tcPr>
          <w:p>
            <w:pPr>
              <w:jc w:val="left"/>
            </w:pPr>
            <w:r>
              <w:rPr>
                <w:rFonts w:ascii="Calibri" w:hAnsi="Calibri"/>
                <w:color w:val="222222"/>
                <w:sz w:val="18"/>
              </w:rPr>
              <w:t>Case ID, validation result, privacy/consent record.</w:t>
            </w:r>
          </w:p>
        </w:tc>
        <w:tc>
          <w:tcPr>
            <w:tcW w:type="dxa" w:w="3160"/>
            <w:tcMar>
              <w:top w:w="80" w:type="dxa"/>
              <w:start w:w="120" w:type="dxa"/>
              <w:bottom w:w="80" w:type="dxa"/>
              <w:end w:w="120" w:type="dxa"/>
            </w:tcMar>
          </w:tcPr>
          <w:p>
            <w:pPr>
              <w:jc w:val="left"/>
            </w:pPr>
            <w:r>
              <w:rPr>
                <w:rFonts w:ascii="Calibri" w:hAnsi="Calibri"/>
                <w:color w:val="222222"/>
                <w:sz w:val="18"/>
              </w:rPr>
              <w:t>One safe entry point for multiple products.</w:t>
            </w:r>
          </w:p>
        </w:tc>
      </w:tr>
      <w:tr>
        <w:tc>
          <w:tcPr>
            <w:tcW w:type="dxa" w:w="1800"/>
            <w:tcMar>
              <w:top w:w="80" w:type="dxa"/>
              <w:start w:w="120" w:type="dxa"/>
              <w:bottom w:w="80" w:type="dxa"/>
              <w:end w:w="120" w:type="dxa"/>
            </w:tcMar>
          </w:tcPr>
          <w:p>
            <w:pPr>
              <w:jc w:val="left"/>
            </w:pPr>
            <w:r>
              <w:rPr>
                <w:rFonts w:ascii="Calibri" w:hAnsi="Calibri"/>
                <w:color w:val="222222"/>
                <w:sz w:val="18"/>
              </w:rPr>
              <w:t>Case orchestrator</w:t>
            </w:r>
          </w:p>
        </w:tc>
        <w:tc>
          <w:tcPr>
            <w:tcW w:type="dxa" w:w="1800"/>
            <w:tcMar>
              <w:top w:w="80" w:type="dxa"/>
              <w:start w:w="120" w:type="dxa"/>
              <w:bottom w:w="80" w:type="dxa"/>
              <w:end w:w="120" w:type="dxa"/>
            </w:tcMar>
          </w:tcPr>
          <w:p>
            <w:pPr>
              <w:jc w:val="left"/>
            </w:pPr>
            <w:r>
              <w:rPr>
                <w:rFonts w:ascii="Calibri" w:hAnsi="Calibri"/>
                <w:color w:val="222222"/>
                <w:sz w:val="18"/>
              </w:rPr>
              <w:t>Requested audit type and policy pack.</w:t>
            </w:r>
          </w:p>
        </w:tc>
        <w:tc>
          <w:tcPr>
            <w:tcW w:type="dxa" w:w="2600"/>
            <w:tcMar>
              <w:top w:w="80" w:type="dxa"/>
              <w:start w:w="120" w:type="dxa"/>
              <w:bottom w:w="80" w:type="dxa"/>
              <w:end w:w="120" w:type="dxa"/>
            </w:tcMar>
          </w:tcPr>
          <w:p>
            <w:pPr>
              <w:jc w:val="left"/>
            </w:pPr>
            <w:r>
              <w:rPr>
                <w:rFonts w:ascii="Calibri" w:hAnsi="Calibri"/>
                <w:color w:val="222222"/>
                <w:sz w:val="18"/>
              </w:rPr>
              <w:t>Work plan and progress events.</w:t>
            </w:r>
          </w:p>
        </w:tc>
        <w:tc>
          <w:tcPr>
            <w:tcW w:type="dxa" w:w="3160"/>
            <w:tcMar>
              <w:top w:w="80" w:type="dxa"/>
              <w:start w:w="120" w:type="dxa"/>
              <w:bottom w:w="80" w:type="dxa"/>
              <w:end w:w="120" w:type="dxa"/>
            </w:tcMar>
          </w:tcPr>
          <w:p>
            <w:pPr>
              <w:jc w:val="left"/>
            </w:pPr>
            <w:r>
              <w:rPr>
                <w:rFonts w:ascii="Calibri" w:hAnsi="Calibri"/>
                <w:color w:val="222222"/>
                <w:sz w:val="18"/>
              </w:rPr>
              <w:t>Keeps APIs, UI, and workers independent.</w:t>
            </w:r>
          </w:p>
        </w:tc>
      </w:tr>
      <w:tr>
        <w:tc>
          <w:tcPr>
            <w:tcW w:type="dxa" w:w="1800"/>
            <w:tcMar>
              <w:top w:w="80" w:type="dxa"/>
              <w:start w:w="120" w:type="dxa"/>
              <w:bottom w:w="80" w:type="dxa"/>
              <w:end w:w="120" w:type="dxa"/>
            </w:tcMar>
          </w:tcPr>
          <w:p>
            <w:pPr>
              <w:jc w:val="left"/>
            </w:pPr>
            <w:r>
              <w:rPr>
                <w:rFonts w:ascii="Calibri" w:hAnsi="Calibri"/>
                <w:color w:val="222222"/>
                <w:sz w:val="18"/>
              </w:rPr>
              <w:t>Evidence adapters</w:t>
            </w:r>
          </w:p>
        </w:tc>
        <w:tc>
          <w:tcPr>
            <w:tcW w:type="dxa" w:w="1800"/>
            <w:tcMar>
              <w:top w:w="80" w:type="dxa"/>
              <w:start w:w="120" w:type="dxa"/>
              <w:bottom w:w="80" w:type="dxa"/>
              <w:end w:w="120" w:type="dxa"/>
            </w:tcMar>
          </w:tcPr>
          <w:p>
            <w:pPr>
              <w:jc w:val="left"/>
            </w:pPr>
            <w:r>
              <w:rPr>
                <w:rFonts w:ascii="Calibri" w:hAnsi="Calibri"/>
                <w:color w:val="222222"/>
                <w:sz w:val="18"/>
              </w:rPr>
              <w:t>Media artefacts, atomic claims, source queries.</w:t>
            </w:r>
          </w:p>
        </w:tc>
        <w:tc>
          <w:tcPr>
            <w:tcW w:type="dxa" w:w="2600"/>
            <w:tcMar>
              <w:top w:w="80" w:type="dxa"/>
              <w:start w:w="120" w:type="dxa"/>
              <w:bottom w:w="80" w:type="dxa"/>
              <w:end w:w="120" w:type="dxa"/>
            </w:tcMar>
          </w:tcPr>
          <w:p>
            <w:pPr>
              <w:jc w:val="left"/>
            </w:pPr>
            <w:r>
              <w:rPr>
                <w:rFonts w:ascii="Calibri" w:hAnsi="Calibri"/>
                <w:color w:val="222222"/>
                <w:sz w:val="18"/>
              </w:rPr>
              <w:t>Normalized EvidenceEvent objects.</w:t>
            </w:r>
          </w:p>
        </w:tc>
        <w:tc>
          <w:tcPr>
            <w:tcW w:type="dxa" w:w="3160"/>
            <w:tcMar>
              <w:top w:w="80" w:type="dxa"/>
              <w:start w:w="120" w:type="dxa"/>
              <w:bottom w:w="80" w:type="dxa"/>
              <w:end w:w="120" w:type="dxa"/>
            </w:tcMar>
          </w:tcPr>
          <w:p>
            <w:pPr>
              <w:jc w:val="left"/>
            </w:pPr>
            <w:r>
              <w:rPr>
                <w:rFonts w:ascii="Calibri" w:hAnsi="Calibri"/>
                <w:color w:val="222222"/>
                <w:sz w:val="18"/>
              </w:rPr>
              <w:t>Lets new models/sources plug in without changing reports.</w:t>
            </w:r>
          </w:p>
        </w:tc>
      </w:tr>
      <w:tr>
        <w:tc>
          <w:tcPr>
            <w:tcW w:type="dxa" w:w="1800"/>
            <w:tcMar>
              <w:top w:w="80" w:type="dxa"/>
              <w:start w:w="120" w:type="dxa"/>
              <w:bottom w:w="80" w:type="dxa"/>
              <w:end w:w="120" w:type="dxa"/>
            </w:tcMar>
          </w:tcPr>
          <w:p>
            <w:pPr>
              <w:jc w:val="left"/>
            </w:pPr>
            <w:r>
              <w:rPr>
                <w:rFonts w:ascii="Calibri" w:hAnsi="Calibri"/>
                <w:color w:val="222222"/>
                <w:sz w:val="18"/>
              </w:rPr>
              <w:t>Policy engine</w:t>
            </w:r>
          </w:p>
        </w:tc>
        <w:tc>
          <w:tcPr>
            <w:tcW w:type="dxa" w:w="1800"/>
            <w:tcMar>
              <w:top w:w="80" w:type="dxa"/>
              <w:start w:w="120" w:type="dxa"/>
              <w:bottom w:w="80" w:type="dxa"/>
              <w:end w:w="120" w:type="dxa"/>
            </w:tcMar>
          </w:tcPr>
          <w:p>
            <w:pPr>
              <w:jc w:val="left"/>
            </w:pPr>
            <w:r>
              <w:rPr>
                <w:rFonts w:ascii="Calibri" w:hAnsi="Calibri"/>
                <w:color w:val="222222"/>
                <w:sz w:val="18"/>
              </w:rPr>
              <w:t>Sector, jurisdiction, risk setting, user role.</w:t>
            </w:r>
          </w:p>
        </w:tc>
        <w:tc>
          <w:tcPr>
            <w:tcW w:type="dxa" w:w="2600"/>
            <w:tcMar>
              <w:top w:w="80" w:type="dxa"/>
              <w:start w:w="120" w:type="dxa"/>
              <w:bottom w:w="80" w:type="dxa"/>
              <w:end w:w="120" w:type="dxa"/>
            </w:tcMar>
          </w:tcPr>
          <w:p>
            <w:pPr>
              <w:jc w:val="left"/>
            </w:pPr>
            <w:r>
              <w:rPr>
                <w:rFonts w:ascii="Calibri" w:hAnsi="Calibri"/>
                <w:color w:val="222222"/>
                <w:sz w:val="18"/>
              </w:rPr>
              <w:t>Allowed sources, thresholds, retention, escalation actions.</w:t>
            </w:r>
          </w:p>
        </w:tc>
        <w:tc>
          <w:tcPr>
            <w:tcW w:type="dxa" w:w="3160"/>
            <w:tcMar>
              <w:top w:w="80" w:type="dxa"/>
              <w:start w:w="120" w:type="dxa"/>
              <w:bottom w:w="80" w:type="dxa"/>
              <w:end w:w="120" w:type="dxa"/>
            </w:tcMar>
          </w:tcPr>
          <w:p>
            <w:pPr>
              <w:jc w:val="left"/>
            </w:pPr>
            <w:r>
              <w:rPr>
                <w:rFonts w:ascii="Calibri" w:hAnsi="Calibri"/>
                <w:color w:val="222222"/>
                <w:sz w:val="18"/>
              </w:rPr>
              <w:t>Prevents one-size-fits-all trust decisions.</w:t>
            </w:r>
          </w:p>
        </w:tc>
      </w:tr>
      <w:tr>
        <w:tc>
          <w:tcPr>
            <w:tcW w:type="dxa" w:w="1800"/>
            <w:tcMar>
              <w:top w:w="80" w:type="dxa"/>
              <w:start w:w="120" w:type="dxa"/>
              <w:bottom w:w="80" w:type="dxa"/>
              <w:end w:w="120" w:type="dxa"/>
            </w:tcMar>
          </w:tcPr>
          <w:p>
            <w:pPr>
              <w:jc w:val="left"/>
            </w:pPr>
            <w:r>
              <w:rPr>
                <w:rFonts w:ascii="Calibri" w:hAnsi="Calibri"/>
                <w:color w:val="222222"/>
                <w:sz w:val="18"/>
              </w:rPr>
              <w:t>Fusion and audit composer</w:t>
            </w:r>
          </w:p>
        </w:tc>
        <w:tc>
          <w:tcPr>
            <w:tcW w:type="dxa" w:w="1800"/>
            <w:tcMar>
              <w:top w:w="80" w:type="dxa"/>
              <w:start w:w="120" w:type="dxa"/>
              <w:bottom w:w="80" w:type="dxa"/>
              <w:end w:w="120" w:type="dxa"/>
            </w:tcMar>
          </w:tcPr>
          <w:p>
            <w:pPr>
              <w:jc w:val="left"/>
            </w:pPr>
            <w:r>
              <w:rPr>
                <w:rFonts w:ascii="Calibri" w:hAnsi="Calibri"/>
                <w:color w:val="222222"/>
                <w:sz w:val="18"/>
              </w:rPr>
              <w:t>Evidence objects plus policy.</w:t>
            </w:r>
          </w:p>
        </w:tc>
        <w:tc>
          <w:tcPr>
            <w:tcW w:type="dxa" w:w="2600"/>
            <w:tcMar>
              <w:top w:w="80" w:type="dxa"/>
              <w:start w:w="120" w:type="dxa"/>
              <w:bottom w:w="80" w:type="dxa"/>
              <w:end w:w="120" w:type="dxa"/>
            </w:tcMar>
          </w:tcPr>
          <w:p>
            <w:pPr>
              <w:jc w:val="left"/>
            </w:pPr>
            <w:r>
              <w:rPr>
                <w:rFonts w:ascii="Calibri" w:hAnsi="Calibri"/>
                <w:color w:val="222222"/>
                <w:sz w:val="18"/>
              </w:rPr>
              <w:t>Outcome, rationale, disagreement flags, report.</w:t>
            </w:r>
          </w:p>
        </w:tc>
        <w:tc>
          <w:tcPr>
            <w:tcW w:type="dxa" w:w="3160"/>
            <w:tcMar>
              <w:top w:w="80" w:type="dxa"/>
              <w:start w:w="120" w:type="dxa"/>
              <w:bottom w:w="80" w:type="dxa"/>
              <w:end w:w="120" w:type="dxa"/>
            </w:tcMar>
          </w:tcPr>
          <w:p>
            <w:pPr>
              <w:jc w:val="left"/>
            </w:pPr>
            <w:r>
              <w:rPr>
                <w:rFonts w:ascii="Calibri" w:hAnsi="Calibri"/>
                <w:color w:val="222222"/>
                <w:sz w:val="18"/>
              </w:rPr>
              <w:t>Makes conclusions explainable and testable.</w:t>
            </w:r>
          </w:p>
        </w:tc>
      </w:tr>
      <w:tr>
        <w:tc>
          <w:tcPr>
            <w:tcW w:type="dxa" w:w="1800"/>
            <w:tcMar>
              <w:top w:w="80" w:type="dxa"/>
              <w:start w:w="120" w:type="dxa"/>
              <w:bottom w:w="80" w:type="dxa"/>
              <w:end w:w="120" w:type="dxa"/>
            </w:tcMar>
          </w:tcPr>
          <w:p>
            <w:pPr>
              <w:jc w:val="left"/>
            </w:pPr>
            <w:r>
              <w:rPr>
                <w:rFonts w:ascii="Calibri" w:hAnsi="Calibri"/>
                <w:color w:val="222222"/>
                <w:sz w:val="18"/>
              </w:rPr>
              <w:t>Developer edge</w:t>
            </w:r>
          </w:p>
        </w:tc>
        <w:tc>
          <w:tcPr>
            <w:tcW w:type="dxa" w:w="1800"/>
            <w:tcMar>
              <w:top w:w="80" w:type="dxa"/>
              <w:start w:w="120" w:type="dxa"/>
              <w:bottom w:w="80" w:type="dxa"/>
              <w:end w:w="120" w:type="dxa"/>
            </w:tcMar>
          </w:tcPr>
          <w:p>
            <w:pPr>
              <w:jc w:val="left"/>
            </w:pPr>
            <w:r>
              <w:rPr>
                <w:rFonts w:ascii="Calibri" w:hAnsi="Calibri"/>
                <w:color w:val="222222"/>
                <w:sz w:val="18"/>
              </w:rPr>
              <w:t>REST, SDK, webhook, or UI widget.</w:t>
            </w:r>
          </w:p>
        </w:tc>
        <w:tc>
          <w:tcPr>
            <w:tcW w:type="dxa" w:w="2600"/>
            <w:tcMar>
              <w:top w:w="80" w:type="dxa"/>
              <w:start w:w="120" w:type="dxa"/>
              <w:bottom w:w="80" w:type="dxa"/>
              <w:end w:w="120" w:type="dxa"/>
            </w:tcMar>
          </w:tcPr>
          <w:p>
            <w:pPr>
              <w:jc w:val="left"/>
            </w:pPr>
            <w:r>
              <w:rPr>
                <w:rFonts w:ascii="Calibri" w:hAnsi="Calibri"/>
                <w:color w:val="222222"/>
                <w:sz w:val="18"/>
              </w:rPr>
              <w:t>Decision support response and events.</w:t>
            </w:r>
          </w:p>
        </w:tc>
        <w:tc>
          <w:tcPr>
            <w:tcW w:type="dxa" w:w="3160"/>
            <w:tcMar>
              <w:top w:w="80" w:type="dxa"/>
              <w:start w:w="120" w:type="dxa"/>
              <w:bottom w:w="80" w:type="dxa"/>
              <w:end w:w="120" w:type="dxa"/>
            </w:tcMar>
          </w:tcPr>
          <w:p>
            <w:pPr>
              <w:jc w:val="left"/>
            </w:pPr>
            <w:r>
              <w:rPr>
                <w:rFonts w:ascii="Calibri" w:hAnsi="Calibri"/>
                <w:color w:val="222222"/>
                <w:sz w:val="18"/>
              </w:rPr>
              <w:t>Enables adoption inside other applications.</w:t>
            </w:r>
          </w:p>
        </w:tc>
      </w:tr>
    </w:tbl>
    <w:p/>
    <w:p>
      <w:pPr>
        <w:pStyle w:val="Heading2"/>
      </w:pPr>
      <w:r>
        <w:t>Future platform interfaces</w:t>
      </w:r>
    </w:p>
    <w:tbl>
      <w:tblPr>
        <w:tblStyle w:val="TableGrid"/>
        <w:tblW w:type="dxa" w:w="9360"/>
        <w:jc w:val="center"/>
        <w:tblLook w:firstColumn="1" w:firstRow="1" w:lastColumn="0" w:lastRow="0" w:noHBand="0" w:noVBand="1" w:val="04A0"/>
        <w:tblInd w:w="120" w:type="dxa"/>
        <w:tblLayout w:type="fixed"/>
      </w:tblPr>
      <w:tblGrid>
        <w:gridCol w:w="1650"/>
        <w:gridCol w:w="4100"/>
        <w:gridCol w:w="3610"/>
      </w:tblGrid>
      <w:tr>
        <w:trPr>
          <w:tblHeader/>
        </w:trPr>
        <w:tc>
          <w:tcPr>
            <w:tcW w:type="dxa" w:w="1650"/>
            <w:tcMar>
              <w:top w:w="80" w:type="dxa"/>
              <w:start w:w="120" w:type="dxa"/>
              <w:bottom w:w="80" w:type="dxa"/>
              <w:end w:w="120" w:type="dxa"/>
            </w:tcMar>
            <w:shd w:fill="E8EEF5"/>
          </w:tcPr>
          <w:p>
            <w:pPr>
              <w:jc w:val="left"/>
            </w:pPr>
            <w:r>
              <w:rPr>
                <w:rFonts w:ascii="Calibri" w:hAnsi="Calibri"/>
                <w:b/>
                <w:color w:val="0B2545"/>
                <w:sz w:val="19"/>
              </w:rPr>
              <w:t>Interface</w:t>
            </w:r>
          </w:p>
        </w:tc>
        <w:tc>
          <w:tcPr>
            <w:tcW w:type="dxa" w:w="4100"/>
            <w:tcMar>
              <w:top w:w="80" w:type="dxa"/>
              <w:start w:w="120" w:type="dxa"/>
              <w:bottom w:w="80" w:type="dxa"/>
              <w:end w:w="120" w:type="dxa"/>
            </w:tcMar>
            <w:shd w:fill="E8EEF5"/>
          </w:tcPr>
          <w:p>
            <w:pPr>
              <w:jc w:val="left"/>
            </w:pPr>
            <w:r>
              <w:rPr>
                <w:rFonts w:ascii="Calibri" w:hAnsi="Calibri"/>
                <w:b/>
                <w:color w:val="0B2545"/>
                <w:sz w:val="19"/>
              </w:rPr>
              <w:t>Example</w:t>
            </w:r>
          </w:p>
        </w:tc>
        <w:tc>
          <w:tcPr>
            <w:tcW w:type="dxa" w:w="3610"/>
            <w:tcMar>
              <w:top w:w="80" w:type="dxa"/>
              <w:start w:w="120" w:type="dxa"/>
              <w:bottom w:w="80" w:type="dxa"/>
              <w:end w:w="120" w:type="dxa"/>
            </w:tcMar>
            <w:shd w:fill="E8EEF5"/>
          </w:tcPr>
          <w:p>
            <w:pPr>
              <w:jc w:val="left"/>
            </w:pPr>
            <w:r>
              <w:rPr>
                <w:rFonts w:ascii="Calibri" w:hAnsi="Calibri"/>
                <w:b/>
                <w:color w:val="0B2545"/>
                <w:sz w:val="19"/>
              </w:rPr>
              <w:t>Consumer</w:t>
            </w:r>
          </w:p>
        </w:tc>
      </w:tr>
      <w:tr>
        <w:tc>
          <w:tcPr>
            <w:tcW w:type="dxa" w:w="1650"/>
            <w:tcMar>
              <w:top w:w="80" w:type="dxa"/>
              <w:start w:w="120" w:type="dxa"/>
              <w:bottom w:w="80" w:type="dxa"/>
              <w:end w:w="120" w:type="dxa"/>
            </w:tcMar>
          </w:tcPr>
          <w:p>
            <w:pPr>
              <w:jc w:val="left"/>
            </w:pPr>
            <w:r>
              <w:rPr>
                <w:rFonts w:ascii="Calibri" w:hAnsi="Calibri"/>
                <w:color w:val="222222"/>
                <w:sz w:val="18"/>
              </w:rPr>
              <w:t>REST API</w:t>
            </w:r>
          </w:p>
        </w:tc>
        <w:tc>
          <w:tcPr>
            <w:tcW w:type="dxa" w:w="4100"/>
            <w:tcMar>
              <w:top w:w="80" w:type="dxa"/>
              <w:start w:w="120" w:type="dxa"/>
              <w:bottom w:w="80" w:type="dxa"/>
              <w:end w:w="120" w:type="dxa"/>
            </w:tcMar>
          </w:tcPr>
          <w:p>
            <w:pPr>
              <w:jc w:val="left"/>
            </w:pPr>
            <w:r>
              <w:rPr>
                <w:rFonts w:ascii="Calibri" w:hAnsi="Calibri"/>
                <w:color w:val="222222"/>
                <w:sz w:val="18"/>
              </w:rPr>
              <w:t>POST /v1/media/analyses; POST /v1/text/audits.</w:t>
            </w:r>
          </w:p>
        </w:tc>
        <w:tc>
          <w:tcPr>
            <w:tcW w:type="dxa" w:w="3610"/>
            <w:tcMar>
              <w:top w:w="80" w:type="dxa"/>
              <w:start w:w="120" w:type="dxa"/>
              <w:bottom w:w="80" w:type="dxa"/>
              <w:end w:w="120" w:type="dxa"/>
            </w:tcMar>
          </w:tcPr>
          <w:p>
            <w:pPr>
              <w:jc w:val="left"/>
            </w:pPr>
            <w:r>
              <w:rPr>
                <w:rFonts w:ascii="Calibri" w:hAnsi="Calibri"/>
                <w:color w:val="222222"/>
                <w:sz w:val="18"/>
              </w:rPr>
              <w:t>Backend teams and government portals.</w:t>
            </w:r>
          </w:p>
        </w:tc>
      </w:tr>
      <w:tr>
        <w:tc>
          <w:tcPr>
            <w:tcW w:type="dxa" w:w="1650"/>
            <w:tcMar>
              <w:top w:w="80" w:type="dxa"/>
              <w:start w:w="120" w:type="dxa"/>
              <w:bottom w:w="80" w:type="dxa"/>
              <w:end w:w="120" w:type="dxa"/>
            </w:tcMar>
          </w:tcPr>
          <w:p>
            <w:pPr>
              <w:jc w:val="left"/>
            </w:pPr>
            <w:r>
              <w:rPr>
                <w:rFonts w:ascii="Calibri" w:hAnsi="Calibri"/>
                <w:color w:val="222222"/>
                <w:sz w:val="18"/>
              </w:rPr>
              <w:t>JavaScript/React SDK</w:t>
            </w:r>
          </w:p>
        </w:tc>
        <w:tc>
          <w:tcPr>
            <w:tcW w:type="dxa" w:w="4100"/>
            <w:tcMar>
              <w:top w:w="80" w:type="dxa"/>
              <w:start w:w="120" w:type="dxa"/>
              <w:bottom w:w="80" w:type="dxa"/>
              <w:end w:w="120" w:type="dxa"/>
            </w:tcMar>
          </w:tcPr>
          <w:p>
            <w:pPr>
              <w:jc w:val="left"/>
            </w:pPr>
            <w:r>
              <w:rPr>
                <w:rFonts w:ascii="Calibri" w:hAnsi="Calibri"/>
                <w:color w:val="222222"/>
                <w:sz w:val="18"/>
              </w:rPr>
              <w:t>createMediaAudit(file, policy) and &lt;DeceptrixUploadGuard /&gt;.</w:t>
            </w:r>
          </w:p>
        </w:tc>
        <w:tc>
          <w:tcPr>
            <w:tcW w:type="dxa" w:w="3610"/>
            <w:tcMar>
              <w:top w:w="80" w:type="dxa"/>
              <w:start w:w="120" w:type="dxa"/>
              <w:bottom w:w="80" w:type="dxa"/>
              <w:end w:w="120" w:type="dxa"/>
            </w:tcMar>
          </w:tcPr>
          <w:p>
            <w:pPr>
              <w:jc w:val="left"/>
            </w:pPr>
            <w:r>
              <w:rPr>
                <w:rFonts w:ascii="Calibri" w:hAnsi="Calibri"/>
                <w:color w:val="222222"/>
                <w:sz w:val="18"/>
              </w:rPr>
              <w:t>Web and mobile application teams.</w:t>
            </w:r>
          </w:p>
        </w:tc>
      </w:tr>
      <w:tr>
        <w:tc>
          <w:tcPr>
            <w:tcW w:type="dxa" w:w="1650"/>
            <w:tcMar>
              <w:top w:w="80" w:type="dxa"/>
              <w:start w:w="120" w:type="dxa"/>
              <w:bottom w:w="80" w:type="dxa"/>
              <w:end w:w="120" w:type="dxa"/>
            </w:tcMar>
          </w:tcPr>
          <w:p>
            <w:pPr>
              <w:jc w:val="left"/>
            </w:pPr>
            <w:r>
              <w:rPr>
                <w:rFonts w:ascii="Calibri" w:hAnsi="Calibri"/>
                <w:color w:val="222222"/>
                <w:sz w:val="18"/>
              </w:rPr>
              <w:t>Server SDKs</w:t>
            </w:r>
          </w:p>
        </w:tc>
        <w:tc>
          <w:tcPr>
            <w:tcW w:type="dxa" w:w="4100"/>
            <w:tcMar>
              <w:top w:w="80" w:type="dxa"/>
              <w:start w:w="120" w:type="dxa"/>
              <w:bottom w:w="80" w:type="dxa"/>
              <w:end w:w="120" w:type="dxa"/>
            </w:tcMar>
          </w:tcPr>
          <w:p>
            <w:pPr>
              <w:jc w:val="left"/>
            </w:pPr>
            <w:r>
              <w:rPr>
                <w:rFonts w:ascii="Calibri" w:hAnsi="Calibri"/>
                <w:color w:val="222222"/>
                <w:sz w:val="18"/>
              </w:rPr>
              <w:t>Python/Node client with idempotency, typed responses, and webhook verification.</w:t>
            </w:r>
          </w:p>
        </w:tc>
        <w:tc>
          <w:tcPr>
            <w:tcW w:type="dxa" w:w="3610"/>
            <w:tcMar>
              <w:top w:w="80" w:type="dxa"/>
              <w:start w:w="120" w:type="dxa"/>
              <w:bottom w:w="80" w:type="dxa"/>
              <w:end w:w="120" w:type="dxa"/>
            </w:tcMar>
          </w:tcPr>
          <w:p>
            <w:pPr>
              <w:jc w:val="left"/>
            </w:pPr>
            <w:r>
              <w:rPr>
                <w:rFonts w:ascii="Calibri" w:hAnsi="Calibri"/>
                <w:color w:val="222222"/>
                <w:sz w:val="18"/>
              </w:rPr>
              <w:t>Enterprise services.</w:t>
            </w:r>
          </w:p>
        </w:tc>
      </w:tr>
      <w:tr>
        <w:tc>
          <w:tcPr>
            <w:tcW w:type="dxa" w:w="1650"/>
            <w:tcMar>
              <w:top w:w="80" w:type="dxa"/>
              <w:start w:w="120" w:type="dxa"/>
              <w:bottom w:w="80" w:type="dxa"/>
              <w:end w:w="120" w:type="dxa"/>
            </w:tcMar>
          </w:tcPr>
          <w:p>
            <w:pPr>
              <w:jc w:val="left"/>
            </w:pPr>
            <w:r>
              <w:rPr>
                <w:rFonts w:ascii="Calibri" w:hAnsi="Calibri"/>
                <w:color w:val="222222"/>
                <w:sz w:val="18"/>
              </w:rPr>
              <w:t>Webhooks</w:t>
            </w:r>
          </w:p>
        </w:tc>
        <w:tc>
          <w:tcPr>
            <w:tcW w:type="dxa" w:w="4100"/>
            <w:tcMar>
              <w:top w:w="80" w:type="dxa"/>
              <w:start w:w="120" w:type="dxa"/>
              <w:bottom w:w="80" w:type="dxa"/>
              <w:end w:w="120" w:type="dxa"/>
            </w:tcMar>
          </w:tcPr>
          <w:p>
            <w:pPr>
              <w:jc w:val="left"/>
            </w:pPr>
            <w:r>
              <w:rPr>
                <w:rFonts w:ascii="Calibri" w:hAnsi="Calibri"/>
                <w:color w:val="222222"/>
                <w:sz w:val="18"/>
              </w:rPr>
              <w:t>analysis.completed, evidence.high_risk, audit.needs_review.</w:t>
            </w:r>
          </w:p>
        </w:tc>
        <w:tc>
          <w:tcPr>
            <w:tcW w:type="dxa" w:w="3610"/>
            <w:tcMar>
              <w:top w:w="80" w:type="dxa"/>
              <w:start w:w="120" w:type="dxa"/>
              <w:bottom w:w="80" w:type="dxa"/>
              <w:end w:w="120" w:type="dxa"/>
            </w:tcMar>
          </w:tcPr>
          <w:p>
            <w:pPr>
              <w:jc w:val="left"/>
            </w:pPr>
            <w:r>
              <w:rPr>
                <w:rFonts w:ascii="Calibri" w:hAnsi="Calibri"/>
                <w:color w:val="222222"/>
                <w:sz w:val="18"/>
              </w:rPr>
              <w:t>Case-management, moderation, and incident systems.</w:t>
            </w:r>
          </w:p>
        </w:tc>
      </w:tr>
      <w:tr>
        <w:tc>
          <w:tcPr>
            <w:tcW w:type="dxa" w:w="1650"/>
            <w:tcMar>
              <w:top w:w="80" w:type="dxa"/>
              <w:start w:w="120" w:type="dxa"/>
              <w:bottom w:w="80" w:type="dxa"/>
              <w:end w:w="120" w:type="dxa"/>
            </w:tcMar>
          </w:tcPr>
          <w:p>
            <w:pPr>
              <w:jc w:val="left"/>
            </w:pPr>
            <w:r>
              <w:rPr>
                <w:rFonts w:ascii="Calibri" w:hAnsi="Calibri"/>
                <w:color w:val="222222"/>
                <w:sz w:val="18"/>
              </w:rPr>
              <w:t>Policy packs</w:t>
            </w:r>
          </w:p>
        </w:tc>
        <w:tc>
          <w:tcPr>
            <w:tcW w:type="dxa" w:w="4100"/>
            <w:tcMar>
              <w:top w:w="80" w:type="dxa"/>
              <w:start w:w="120" w:type="dxa"/>
              <w:bottom w:w="80" w:type="dxa"/>
              <w:end w:w="120" w:type="dxa"/>
            </w:tcMar>
          </w:tcPr>
          <w:p>
            <w:pPr>
              <w:jc w:val="left"/>
            </w:pPr>
            <w:r>
              <w:rPr>
                <w:rFonts w:ascii="Calibri" w:hAnsi="Calibri"/>
                <w:color w:val="222222"/>
                <w:sz w:val="18"/>
              </w:rPr>
              <w:t>gov_in_policy_v1, education_integrity_v1, marketplace_upload_v1.</w:t>
            </w:r>
          </w:p>
        </w:tc>
        <w:tc>
          <w:tcPr>
            <w:tcW w:type="dxa" w:w="3610"/>
            <w:tcMar>
              <w:top w:w="80" w:type="dxa"/>
              <w:start w:w="120" w:type="dxa"/>
              <w:bottom w:w="80" w:type="dxa"/>
              <w:end w:w="120" w:type="dxa"/>
            </w:tcMar>
          </w:tcPr>
          <w:p>
            <w:pPr>
              <w:jc w:val="left"/>
            </w:pPr>
            <w:r>
              <w:rPr>
                <w:rFonts w:ascii="Calibri" w:hAnsi="Calibri"/>
                <w:color w:val="222222"/>
                <w:sz w:val="18"/>
              </w:rPr>
              <w:t>Administrators and compliance teams.</w:t>
            </w:r>
          </w:p>
        </w:tc>
      </w:tr>
      <w:tr>
        <w:tc>
          <w:tcPr>
            <w:tcW w:type="dxa" w:w="1650"/>
            <w:tcMar>
              <w:top w:w="80" w:type="dxa"/>
              <w:start w:w="120" w:type="dxa"/>
              <w:bottom w:w="80" w:type="dxa"/>
              <w:end w:w="120" w:type="dxa"/>
            </w:tcMar>
          </w:tcPr>
          <w:p>
            <w:pPr>
              <w:jc w:val="left"/>
            </w:pPr>
            <w:r>
              <w:rPr>
                <w:rFonts w:ascii="Calibri" w:hAnsi="Calibri"/>
                <w:color w:val="222222"/>
                <w:sz w:val="18"/>
              </w:rPr>
              <w:t>Adapter SDK</w:t>
            </w:r>
          </w:p>
        </w:tc>
        <w:tc>
          <w:tcPr>
            <w:tcW w:type="dxa" w:w="4100"/>
            <w:tcMar>
              <w:top w:w="80" w:type="dxa"/>
              <w:start w:w="120" w:type="dxa"/>
              <w:bottom w:w="80" w:type="dxa"/>
              <w:end w:w="120" w:type="dxa"/>
            </w:tcMar>
          </w:tcPr>
          <w:p>
            <w:pPr>
              <w:jc w:val="left"/>
            </w:pPr>
            <w:r>
              <w:rPr>
                <w:rFonts w:ascii="Calibri" w:hAnsi="Calibri"/>
                <w:color w:val="222222"/>
                <w:sz w:val="18"/>
              </w:rPr>
              <w:t>A versioned protocol for detectors, source connectors, provenance checkers, and report renderers.</w:t>
            </w:r>
          </w:p>
        </w:tc>
        <w:tc>
          <w:tcPr>
            <w:tcW w:type="dxa" w:w="3610"/>
            <w:tcMar>
              <w:top w:w="80" w:type="dxa"/>
              <w:start w:w="120" w:type="dxa"/>
              <w:bottom w:w="80" w:type="dxa"/>
              <w:end w:w="120" w:type="dxa"/>
            </w:tcMar>
          </w:tcPr>
          <w:p>
            <w:pPr>
              <w:jc w:val="left"/>
            </w:pPr>
            <w:r>
              <w:rPr>
                <w:rFonts w:ascii="Calibri" w:hAnsi="Calibri"/>
                <w:color w:val="222222"/>
                <w:sz w:val="18"/>
              </w:rPr>
              <w:t>Open-source contributors and partners.</w:t>
            </w:r>
          </w:p>
        </w:tc>
      </w:tr>
    </w:tbl>
    <w:p/>
    <w:p>
      <w:pPr>
        <w:pStyle w:val="Heading1"/>
      </w:pPr>
      <w:r>
        <w:t>6. Rumour Audit: government and public-data strategy</w:t>
      </w:r>
    </w:p>
    <w:p>
      <w:r>
        <w:rPr>
          <w:rFonts w:ascii="Calibri" w:hAnsi="Calibri"/>
          <w:color w:val="222222"/>
          <w:sz w:val="22"/>
        </w:rPr>
        <w:t>The government-facing strategy is not “search every government website and let an AI decide.” It is a policy-governed evidence pipeline. For a Government of India claim, the source router first targets the responsible ministry/regulator and official publications, then checks compatible fact-check indexes, then uses search only to discover candidates. Every answer preserves its scope and freshness.</w:t>
      </w:r>
    </w:p>
    <w:tbl>
      <w:tblPr>
        <w:tblStyle w:val="TableGrid"/>
        <w:tblW w:type="dxa" w:w="9360"/>
        <w:jc w:val="center"/>
        <w:tblLook w:firstColumn="1" w:firstRow="1" w:lastColumn="0" w:lastRow="0" w:noHBand="0" w:noVBand="1" w:val="04A0"/>
        <w:tblInd w:w="120" w:type="dxa"/>
        <w:tblLayout w:type="fixed"/>
      </w:tblPr>
      <w:tblGrid>
        <w:gridCol w:w="1700"/>
        <w:gridCol w:w="2600"/>
        <w:gridCol w:w="2600"/>
        <w:gridCol w:w="2460"/>
      </w:tblGrid>
      <w:tr>
        <w:trPr>
          <w:tblHeader/>
        </w:trPr>
        <w:tc>
          <w:tcPr>
            <w:tcW w:type="dxa" w:w="1700"/>
            <w:tcMar>
              <w:top w:w="80" w:type="dxa"/>
              <w:start w:w="120" w:type="dxa"/>
              <w:bottom w:w="80" w:type="dxa"/>
              <w:end w:w="120" w:type="dxa"/>
            </w:tcMar>
            <w:shd w:fill="E8EEF5"/>
          </w:tcPr>
          <w:p>
            <w:pPr>
              <w:jc w:val="left"/>
            </w:pPr>
            <w:r>
              <w:rPr>
                <w:rFonts w:ascii="Calibri" w:hAnsi="Calibri"/>
                <w:b/>
                <w:color w:val="0B2545"/>
                <w:sz w:val="19"/>
              </w:rPr>
              <w:t>Connector</w:t>
            </w:r>
          </w:p>
        </w:tc>
        <w:tc>
          <w:tcPr>
            <w:tcW w:type="dxa" w:w="2600"/>
            <w:tcMar>
              <w:top w:w="80" w:type="dxa"/>
              <w:start w:w="120" w:type="dxa"/>
              <w:bottom w:w="80" w:type="dxa"/>
              <w:end w:w="120" w:type="dxa"/>
            </w:tcMar>
            <w:shd w:fill="E8EEF5"/>
          </w:tcPr>
          <w:p>
            <w:pPr>
              <w:jc w:val="left"/>
            </w:pPr>
            <w:r>
              <w:rPr>
                <w:rFonts w:ascii="Calibri" w:hAnsi="Calibri"/>
                <w:b/>
                <w:color w:val="0B2545"/>
                <w:sz w:val="19"/>
              </w:rPr>
              <w:t>Role in DECEPTRIX</w:t>
            </w:r>
          </w:p>
        </w:tc>
        <w:tc>
          <w:tcPr>
            <w:tcW w:type="dxa" w:w="2600"/>
            <w:tcMar>
              <w:top w:w="80" w:type="dxa"/>
              <w:start w:w="120" w:type="dxa"/>
              <w:bottom w:w="80" w:type="dxa"/>
              <w:end w:w="120" w:type="dxa"/>
            </w:tcMar>
            <w:shd w:fill="E8EEF5"/>
          </w:tcPr>
          <w:p>
            <w:pPr>
              <w:jc w:val="left"/>
            </w:pPr>
            <w:r>
              <w:rPr>
                <w:rFonts w:ascii="Calibri" w:hAnsi="Calibri"/>
                <w:b/>
                <w:color w:val="0B2545"/>
                <w:sz w:val="19"/>
              </w:rPr>
              <w:t>MVP treatment</w:t>
            </w:r>
          </w:p>
        </w:tc>
        <w:tc>
          <w:tcPr>
            <w:tcW w:type="dxa" w:w="2460"/>
            <w:tcMar>
              <w:top w:w="80" w:type="dxa"/>
              <w:start w:w="120" w:type="dxa"/>
              <w:bottom w:w="80" w:type="dxa"/>
              <w:end w:w="120" w:type="dxa"/>
            </w:tcMar>
            <w:shd w:fill="E8EEF5"/>
          </w:tcPr>
          <w:p>
            <w:pPr>
              <w:jc w:val="left"/>
            </w:pPr>
            <w:r>
              <w:rPr>
                <w:rFonts w:ascii="Calibri" w:hAnsi="Calibri"/>
                <w:b/>
                <w:color w:val="0B2545"/>
                <w:sz w:val="19"/>
              </w:rPr>
              <w:t>Important limitation</w:t>
            </w:r>
          </w:p>
        </w:tc>
      </w:tr>
      <w:tr>
        <w:tc>
          <w:tcPr>
            <w:tcW w:type="dxa" w:w="1700"/>
            <w:tcMar>
              <w:top w:w="80" w:type="dxa"/>
              <w:start w:w="120" w:type="dxa"/>
              <w:bottom w:w="80" w:type="dxa"/>
              <w:end w:w="120" w:type="dxa"/>
            </w:tcMar>
          </w:tcPr>
          <w:p>
            <w:pPr>
              <w:jc w:val="left"/>
            </w:pPr>
            <w:r>
              <w:rPr>
                <w:rFonts w:ascii="Calibri" w:hAnsi="Calibri"/>
                <w:color w:val="222222"/>
                <w:sz w:val="18"/>
              </w:rPr>
              <w:t>PIB Fact Check</w:t>
            </w:r>
          </w:p>
        </w:tc>
        <w:tc>
          <w:tcPr>
            <w:tcW w:type="dxa" w:w="2600"/>
            <w:tcMar>
              <w:top w:w="80" w:type="dxa"/>
              <w:start w:w="120" w:type="dxa"/>
              <w:bottom w:w="80" w:type="dxa"/>
              <w:end w:w="120" w:type="dxa"/>
            </w:tcMar>
          </w:tcPr>
          <w:p>
            <w:pPr>
              <w:jc w:val="left"/>
            </w:pPr>
            <w:r>
              <w:rPr>
                <w:rFonts w:ascii="Calibri" w:hAnsi="Calibri"/>
                <w:color w:val="222222"/>
                <w:sz w:val="18"/>
              </w:rPr>
              <w:t>Official fact-check evidence for matters concerning Government of India.</w:t>
            </w:r>
          </w:p>
        </w:tc>
        <w:tc>
          <w:tcPr>
            <w:tcW w:type="dxa" w:w="2600"/>
            <w:tcMar>
              <w:top w:w="80" w:type="dxa"/>
              <w:start w:w="120" w:type="dxa"/>
              <w:bottom w:w="80" w:type="dxa"/>
              <w:end w:w="120" w:type="dxa"/>
            </w:tcMar>
          </w:tcPr>
          <w:p>
            <w:pPr>
              <w:jc w:val="left"/>
            </w:pPr>
            <w:r>
              <w:rPr>
                <w:rFonts w:ascii="Calibri" w:hAnsi="Calibri"/>
                <w:color w:val="222222"/>
                <w:sz w:val="18"/>
              </w:rPr>
              <w:t>Link/search relevant published fact checks; preserve scope and publication date.</w:t>
            </w:r>
          </w:p>
        </w:tc>
        <w:tc>
          <w:tcPr>
            <w:tcW w:type="dxa" w:w="2460"/>
            <w:tcMar>
              <w:top w:w="80" w:type="dxa"/>
              <w:start w:w="120" w:type="dxa"/>
              <w:bottom w:w="80" w:type="dxa"/>
              <w:end w:w="120" w:type="dxa"/>
            </w:tcMar>
          </w:tcPr>
          <w:p>
            <w:pPr>
              <w:jc w:val="left"/>
            </w:pPr>
            <w:r>
              <w:rPr>
                <w:rFonts w:ascii="Calibri" w:hAnsi="Calibri"/>
                <w:color w:val="222222"/>
                <w:sz w:val="18"/>
              </w:rPr>
              <w:t>PIB scope is Government of India matters, not all rumours. Do not imply an API exists unless partner access is confirmed.</w:t>
            </w:r>
          </w:p>
        </w:tc>
      </w:tr>
      <w:tr>
        <w:tc>
          <w:tcPr>
            <w:tcW w:type="dxa" w:w="1700"/>
            <w:tcMar>
              <w:top w:w="80" w:type="dxa"/>
              <w:start w:w="120" w:type="dxa"/>
              <w:bottom w:w="80" w:type="dxa"/>
              <w:end w:w="120" w:type="dxa"/>
            </w:tcMar>
          </w:tcPr>
          <w:p>
            <w:pPr>
              <w:jc w:val="left"/>
            </w:pPr>
            <w:r>
              <w:rPr>
                <w:rFonts w:ascii="Calibri" w:hAnsi="Calibri"/>
                <w:color w:val="222222"/>
                <w:sz w:val="18"/>
              </w:rPr>
              <w:t>data.gov.in / OGD</w:t>
            </w:r>
          </w:p>
        </w:tc>
        <w:tc>
          <w:tcPr>
            <w:tcW w:type="dxa" w:w="2600"/>
            <w:tcMar>
              <w:top w:w="80" w:type="dxa"/>
              <w:start w:w="120" w:type="dxa"/>
              <w:bottom w:w="80" w:type="dxa"/>
              <w:end w:w="120" w:type="dxa"/>
            </w:tcMar>
          </w:tcPr>
          <w:p>
            <w:pPr>
              <w:jc w:val="left"/>
            </w:pPr>
            <w:r>
              <w:rPr>
                <w:rFonts w:ascii="Calibri" w:hAnsi="Calibri"/>
                <w:color w:val="222222"/>
                <w:sz w:val="18"/>
              </w:rPr>
              <w:t>Authoritative datasets that can corroborate quantitative claims.</w:t>
            </w:r>
          </w:p>
        </w:tc>
        <w:tc>
          <w:tcPr>
            <w:tcW w:type="dxa" w:w="2600"/>
            <w:tcMar>
              <w:top w:w="80" w:type="dxa"/>
              <w:start w:w="120" w:type="dxa"/>
              <w:bottom w:w="80" w:type="dxa"/>
              <w:end w:w="120" w:type="dxa"/>
            </w:tcMar>
          </w:tcPr>
          <w:p>
            <w:pPr>
              <w:jc w:val="left"/>
            </w:pPr>
            <w:r>
              <w:rPr>
                <w:rFonts w:ascii="Calibri" w:hAnsi="Calibri"/>
                <w:color w:val="222222"/>
                <w:sz w:val="18"/>
              </w:rPr>
              <w:t>Use only a selected, documented resource with a valid API/access method.</w:t>
            </w:r>
          </w:p>
        </w:tc>
        <w:tc>
          <w:tcPr>
            <w:tcW w:type="dxa" w:w="2460"/>
            <w:tcMar>
              <w:top w:w="80" w:type="dxa"/>
              <w:start w:w="120" w:type="dxa"/>
              <w:bottom w:w="80" w:type="dxa"/>
              <w:end w:w="120" w:type="dxa"/>
            </w:tcMar>
          </w:tcPr>
          <w:p>
            <w:pPr>
              <w:jc w:val="left"/>
            </w:pPr>
            <w:r>
              <w:rPr>
                <w:rFonts w:ascii="Calibri" w:hAnsi="Calibri"/>
                <w:color w:val="222222"/>
                <w:sz w:val="18"/>
              </w:rPr>
              <w:t>The portal currently indicates sandbox/maintenance conditions; data ownership and freshness vary by publisher.</w:t>
            </w:r>
          </w:p>
        </w:tc>
      </w:tr>
      <w:tr>
        <w:tc>
          <w:tcPr>
            <w:tcW w:type="dxa" w:w="1700"/>
            <w:tcMar>
              <w:top w:w="80" w:type="dxa"/>
              <w:start w:w="120" w:type="dxa"/>
              <w:bottom w:w="80" w:type="dxa"/>
              <w:end w:w="120" w:type="dxa"/>
            </w:tcMar>
          </w:tcPr>
          <w:p>
            <w:pPr>
              <w:jc w:val="left"/>
            </w:pPr>
            <w:r>
              <w:rPr>
                <w:rFonts w:ascii="Calibri" w:hAnsi="Calibri"/>
                <w:color w:val="222222"/>
                <w:sz w:val="18"/>
              </w:rPr>
              <w:t>Google Fact Check Tools API</w:t>
            </w:r>
          </w:p>
        </w:tc>
        <w:tc>
          <w:tcPr>
            <w:tcW w:type="dxa" w:w="2600"/>
            <w:tcMar>
              <w:top w:w="80" w:type="dxa"/>
              <w:start w:w="120" w:type="dxa"/>
              <w:bottom w:w="80" w:type="dxa"/>
              <w:end w:w="120" w:type="dxa"/>
            </w:tcMar>
          </w:tcPr>
          <w:p>
            <w:pPr>
              <w:jc w:val="left"/>
            </w:pPr>
            <w:r>
              <w:rPr>
                <w:rFonts w:ascii="Calibri" w:hAnsi="Calibri"/>
                <w:color w:val="222222"/>
                <w:sz w:val="18"/>
              </w:rPr>
              <w:t>Search existing fact-checked claims and ClaimReview data.</w:t>
            </w:r>
          </w:p>
        </w:tc>
        <w:tc>
          <w:tcPr>
            <w:tcW w:type="dxa" w:w="2600"/>
            <w:tcMar>
              <w:top w:w="80" w:type="dxa"/>
              <w:start w:w="120" w:type="dxa"/>
              <w:bottom w:w="80" w:type="dxa"/>
              <w:end w:w="120" w:type="dxa"/>
            </w:tcMar>
          </w:tcPr>
          <w:p>
            <w:pPr>
              <w:jc w:val="left"/>
            </w:pPr>
            <w:r>
              <w:rPr>
                <w:rFonts w:ascii="Calibri" w:hAnsi="Calibri"/>
                <w:color w:val="222222"/>
                <w:sz w:val="18"/>
              </w:rPr>
              <w:t>Optional connector with API key and cached normalized responses.</w:t>
            </w:r>
          </w:p>
        </w:tc>
        <w:tc>
          <w:tcPr>
            <w:tcW w:type="dxa" w:w="2460"/>
            <w:tcMar>
              <w:top w:w="80" w:type="dxa"/>
              <w:start w:w="120" w:type="dxa"/>
              <w:bottom w:w="80" w:type="dxa"/>
              <w:end w:w="120" w:type="dxa"/>
            </w:tcMar>
          </w:tcPr>
          <w:p>
            <w:pPr>
              <w:jc w:val="left"/>
            </w:pPr>
            <w:r>
              <w:rPr>
                <w:rFonts w:ascii="Calibri" w:hAnsi="Calibri"/>
                <w:color w:val="222222"/>
                <w:sz w:val="18"/>
              </w:rPr>
              <w:t>A matching fact check must still be reviewed for claim equivalence, jurisdiction, and date.</w:t>
            </w:r>
          </w:p>
        </w:tc>
      </w:tr>
      <w:tr>
        <w:tc>
          <w:tcPr>
            <w:tcW w:type="dxa" w:w="1700"/>
            <w:tcMar>
              <w:top w:w="80" w:type="dxa"/>
              <w:start w:w="120" w:type="dxa"/>
              <w:bottom w:w="80" w:type="dxa"/>
              <w:end w:w="120" w:type="dxa"/>
            </w:tcMar>
          </w:tcPr>
          <w:p>
            <w:pPr>
              <w:jc w:val="left"/>
            </w:pPr>
            <w:r>
              <w:rPr>
                <w:rFonts w:ascii="Calibri" w:hAnsi="Calibri"/>
                <w:color w:val="222222"/>
                <w:sz w:val="18"/>
              </w:rPr>
              <w:t>SerpApi</w:t>
            </w:r>
          </w:p>
        </w:tc>
        <w:tc>
          <w:tcPr>
            <w:tcW w:type="dxa" w:w="2600"/>
            <w:tcMar>
              <w:top w:w="80" w:type="dxa"/>
              <w:start w:w="120" w:type="dxa"/>
              <w:bottom w:w="80" w:type="dxa"/>
              <w:end w:w="120" w:type="dxa"/>
            </w:tcMar>
          </w:tcPr>
          <w:p>
            <w:pPr>
              <w:jc w:val="left"/>
            </w:pPr>
            <w:r>
              <w:rPr>
                <w:rFonts w:ascii="Calibri" w:hAnsi="Calibri"/>
                <w:color w:val="222222"/>
                <w:sz w:val="18"/>
              </w:rPr>
              <w:t>Discovery of candidate pages via Google/News results and site-restricted queries.</w:t>
            </w:r>
          </w:p>
        </w:tc>
        <w:tc>
          <w:tcPr>
            <w:tcW w:type="dxa" w:w="2600"/>
            <w:tcMar>
              <w:top w:w="80" w:type="dxa"/>
              <w:start w:w="120" w:type="dxa"/>
              <w:bottom w:w="80" w:type="dxa"/>
              <w:end w:w="120" w:type="dxa"/>
            </w:tcMar>
          </w:tcPr>
          <w:p>
            <w:pPr>
              <w:jc w:val="left"/>
            </w:pPr>
            <w:r>
              <w:rPr>
                <w:rFonts w:ascii="Calibri" w:hAnsi="Calibri"/>
                <w:color w:val="222222"/>
                <w:sz w:val="18"/>
              </w:rPr>
              <w:t>Use with allowlisted domains and log the query/time/results.</w:t>
            </w:r>
          </w:p>
        </w:tc>
        <w:tc>
          <w:tcPr>
            <w:tcW w:type="dxa" w:w="2460"/>
            <w:tcMar>
              <w:top w:w="80" w:type="dxa"/>
              <w:start w:w="120" w:type="dxa"/>
              <w:bottom w:w="80" w:type="dxa"/>
              <w:end w:w="120" w:type="dxa"/>
            </w:tcMar>
          </w:tcPr>
          <w:p>
            <w:pPr>
              <w:jc w:val="left"/>
            </w:pPr>
            <w:r>
              <w:rPr>
                <w:rFonts w:ascii="Calibri" w:hAnsi="Calibri"/>
                <w:color w:val="222222"/>
                <w:sz w:val="18"/>
              </w:rPr>
              <w:t>Search results are leads, not evidence or a verdict source.</w:t>
            </w:r>
          </w:p>
        </w:tc>
      </w:tr>
      <w:tr>
        <w:tc>
          <w:tcPr>
            <w:tcW w:type="dxa" w:w="1700"/>
            <w:tcMar>
              <w:top w:w="80" w:type="dxa"/>
              <w:start w:w="120" w:type="dxa"/>
              <w:bottom w:w="80" w:type="dxa"/>
              <w:end w:w="120" w:type="dxa"/>
            </w:tcMar>
          </w:tcPr>
          <w:p>
            <w:pPr>
              <w:jc w:val="left"/>
            </w:pPr>
            <w:r>
              <w:rPr>
                <w:rFonts w:ascii="Calibri" w:hAnsi="Calibri"/>
                <w:color w:val="222222"/>
                <w:sz w:val="18"/>
              </w:rPr>
              <w:t>Ministry/regulator registry</w:t>
            </w:r>
          </w:p>
        </w:tc>
        <w:tc>
          <w:tcPr>
            <w:tcW w:type="dxa" w:w="2600"/>
            <w:tcMar>
              <w:top w:w="80" w:type="dxa"/>
              <w:start w:w="120" w:type="dxa"/>
              <w:bottom w:w="80" w:type="dxa"/>
              <w:end w:w="120" w:type="dxa"/>
            </w:tcMar>
          </w:tcPr>
          <w:p>
            <w:pPr>
              <w:jc w:val="left"/>
            </w:pPr>
            <w:r>
              <w:rPr>
                <w:rFonts w:ascii="Calibri" w:hAnsi="Calibri"/>
                <w:color w:val="222222"/>
                <w:sz w:val="18"/>
              </w:rPr>
              <w:t>Domain-to-authority mapping such as health, election, finance, and schemes.</w:t>
            </w:r>
          </w:p>
        </w:tc>
        <w:tc>
          <w:tcPr>
            <w:tcW w:type="dxa" w:w="2600"/>
            <w:tcMar>
              <w:top w:w="80" w:type="dxa"/>
              <w:start w:w="120" w:type="dxa"/>
              <w:bottom w:w="80" w:type="dxa"/>
              <w:end w:w="120" w:type="dxa"/>
            </w:tcMar>
          </w:tcPr>
          <w:p>
            <w:pPr>
              <w:jc w:val="left"/>
            </w:pPr>
            <w:r>
              <w:rPr>
                <w:rFonts w:ascii="Calibri" w:hAnsi="Calibri"/>
                <w:color w:val="222222"/>
                <w:sz w:val="18"/>
              </w:rPr>
              <w:t>Start as a hand-curated YAML allowlist.</w:t>
            </w:r>
          </w:p>
        </w:tc>
        <w:tc>
          <w:tcPr>
            <w:tcW w:type="dxa" w:w="2460"/>
            <w:tcMar>
              <w:top w:w="80" w:type="dxa"/>
              <w:start w:w="120" w:type="dxa"/>
              <w:bottom w:w="80" w:type="dxa"/>
              <w:end w:w="120" w:type="dxa"/>
            </w:tcMar>
          </w:tcPr>
          <w:p>
            <w:pPr>
              <w:jc w:val="left"/>
            </w:pPr>
            <w:r>
              <w:rPr>
                <w:rFonts w:ascii="Calibri" w:hAnsi="Calibri"/>
                <w:color w:val="222222"/>
                <w:sz w:val="18"/>
              </w:rPr>
              <w:t>Requires continual governance and source freshness checks.</w:t>
            </w:r>
          </w:p>
        </w:tc>
      </w:tr>
      <w:tr>
        <w:tc>
          <w:tcPr>
            <w:tcW w:type="dxa" w:w="1700"/>
            <w:tcMar>
              <w:top w:w="80" w:type="dxa"/>
              <w:start w:w="120" w:type="dxa"/>
              <w:bottom w:w="80" w:type="dxa"/>
              <w:end w:w="120" w:type="dxa"/>
            </w:tcMar>
          </w:tcPr>
          <w:p>
            <w:pPr>
              <w:jc w:val="left"/>
            </w:pPr>
            <w:r>
              <w:rPr>
                <w:rFonts w:ascii="Calibri" w:hAnsi="Calibri"/>
                <w:color w:val="222222"/>
                <w:sz w:val="18"/>
              </w:rPr>
              <w:t>Future authenticated partners</w:t>
            </w:r>
          </w:p>
        </w:tc>
        <w:tc>
          <w:tcPr>
            <w:tcW w:type="dxa" w:w="2600"/>
            <w:tcMar>
              <w:top w:w="80" w:type="dxa"/>
              <w:start w:w="120" w:type="dxa"/>
              <w:bottom w:w="80" w:type="dxa"/>
              <w:end w:w="120" w:type="dxa"/>
            </w:tcMar>
          </w:tcPr>
          <w:p>
            <w:pPr>
              <w:jc w:val="left"/>
            </w:pPr>
            <w:r>
              <w:rPr>
                <w:rFonts w:ascii="Calibri" w:hAnsi="Calibri"/>
                <w:color w:val="222222"/>
                <w:sz w:val="18"/>
              </w:rPr>
              <w:t>Direct structured feeds or verified APIs.</w:t>
            </w:r>
          </w:p>
        </w:tc>
        <w:tc>
          <w:tcPr>
            <w:tcW w:type="dxa" w:w="2600"/>
            <w:tcMar>
              <w:top w:w="80" w:type="dxa"/>
              <w:start w:w="120" w:type="dxa"/>
              <w:bottom w:w="80" w:type="dxa"/>
              <w:end w:w="120" w:type="dxa"/>
            </w:tcMar>
          </w:tcPr>
          <w:p>
            <w:pPr>
              <w:jc w:val="left"/>
            </w:pPr>
            <w:r>
              <w:rPr>
                <w:rFonts w:ascii="Calibri" w:hAnsi="Calibri"/>
                <w:color w:val="222222"/>
                <w:sz w:val="18"/>
              </w:rPr>
              <w:t>Design adapter contract now; do not promise integration at the hackathon.</w:t>
            </w:r>
          </w:p>
        </w:tc>
        <w:tc>
          <w:tcPr>
            <w:tcW w:type="dxa" w:w="2460"/>
            <w:tcMar>
              <w:top w:w="80" w:type="dxa"/>
              <w:start w:w="120" w:type="dxa"/>
              <w:bottom w:w="80" w:type="dxa"/>
              <w:end w:w="120" w:type="dxa"/>
            </w:tcMar>
          </w:tcPr>
          <w:p>
            <w:pPr>
              <w:jc w:val="left"/>
            </w:pPr>
            <w:r>
              <w:rPr>
                <w:rFonts w:ascii="Calibri" w:hAnsi="Calibri"/>
                <w:color w:val="222222"/>
                <w:sz w:val="18"/>
              </w:rPr>
              <w:t>Access, legal terms, rate limits, and data classification must be agreed.</w:t>
            </w:r>
          </w:p>
        </w:tc>
      </w:tr>
    </w:tbl>
    <w:p/>
    <w:tbl>
      <w:tblPr>
        <w:tblW w:type="dxa" w:w="9360"/>
        <w:tblLook w:firstColumn="1" w:firstRow="1" w:lastColumn="0" w:lastRow="0" w:noHBand="0" w:noVBand="1" w:val="04A0"/>
        <w:tblInd w:w="120" w:type="dxa"/>
        <w:tblLayout w:type="fixed"/>
      </w:tblPr>
      <w:tblGrid>
        <w:gridCol w:w="9360"/>
      </w:tblGrid>
      <w:tr>
        <w:trPr>
          <w:cantSplit/>
          <w:tblHeader/>
        </w:trPr>
        <w:tc>
          <w:tcPr>
            <w:tcW w:type="dxa" w:w="9360"/>
            <w:tcMar>
              <w:top w:w="80" w:type="dxa"/>
              <w:start w:w="120" w:type="dxa"/>
              <w:bottom w:w="80" w:type="dxa"/>
              <w:end w:w="120" w:type="dxa"/>
            </w:tcMar>
            <w:shd w:fill="FFF4E5"/>
          </w:tcPr>
          <w:p>
            <w:pPr>
              <w:spacing w:after="40"/>
            </w:pPr>
            <w:r>
              <w:rPr>
                <w:rFonts w:ascii="Calibri" w:hAnsi="Calibri"/>
                <w:b/>
                <w:color w:val="0B2545"/>
                <w:sz w:val="21"/>
              </w:rPr>
              <w:t>Government-source integrity</w:t>
            </w:r>
          </w:p>
          <w:p>
            <w:pPr>
              <w:spacing w:after="20"/>
            </w:pPr>
            <w:r>
              <w:rPr>
                <w:rFonts w:ascii="Calibri" w:hAnsi="Calibri"/>
                <w:color w:val="222222"/>
                <w:sz w:val="20"/>
              </w:rPr>
              <w:t>PIB explains that its Fact Check Unit handles information concerning the Government of India and uses official sources in its verification process. DECEPTRIX should respect that scope, cite the original official material where possible, and route unresolved questions to the competent authority rather than overstate an automated answer.</w:t>
            </w:r>
          </w:p>
        </w:tc>
      </w:tr>
    </w:tbl>
    <w:p>
      <w:pPr>
        <w:spacing w:after="20"/>
      </w:pPr>
    </w:p>
    <w:p>
      <w:pPr>
        <w:pStyle w:val="Heading1"/>
      </w:pPr>
      <w:r>
        <w:t>7. Impact model</w:t>
      </w:r>
    </w:p>
    <w:tbl>
      <w:tblPr>
        <w:tblStyle w:val="TableGrid"/>
        <w:tblW w:type="dxa" w:w="9360"/>
        <w:jc w:val="center"/>
        <w:tblLook w:firstColumn="1" w:firstRow="1" w:lastColumn="0" w:lastRow="0" w:noHBand="0" w:noVBand="1" w:val="04A0"/>
        <w:tblInd w:w="120" w:type="dxa"/>
        <w:tblLayout w:type="fixed"/>
      </w:tblPr>
      <w:tblGrid>
        <w:gridCol w:w="1900"/>
        <w:gridCol w:w="4000"/>
        <w:gridCol w:w="3460"/>
      </w:tblGrid>
      <w:tr>
        <w:trPr>
          <w:tblHeader/>
        </w:trPr>
        <w:tc>
          <w:tcPr>
            <w:tcW w:type="dxa" w:w="1900"/>
            <w:tcMar>
              <w:top w:w="80" w:type="dxa"/>
              <w:start w:w="120" w:type="dxa"/>
              <w:bottom w:w="80" w:type="dxa"/>
              <w:end w:w="120" w:type="dxa"/>
            </w:tcMar>
            <w:shd w:fill="E8EEF5"/>
          </w:tcPr>
          <w:p>
            <w:pPr>
              <w:jc w:val="left"/>
            </w:pPr>
            <w:r>
              <w:rPr>
                <w:rFonts w:ascii="Calibri" w:hAnsi="Calibri"/>
                <w:b/>
                <w:color w:val="0B2545"/>
                <w:sz w:val="19"/>
              </w:rPr>
              <w:t>Impact area</w:t>
            </w:r>
          </w:p>
        </w:tc>
        <w:tc>
          <w:tcPr>
            <w:tcW w:type="dxa" w:w="4000"/>
            <w:tcMar>
              <w:top w:w="80" w:type="dxa"/>
              <w:start w:w="120" w:type="dxa"/>
              <w:bottom w:w="80" w:type="dxa"/>
              <w:end w:w="120" w:type="dxa"/>
            </w:tcMar>
            <w:shd w:fill="E8EEF5"/>
          </w:tcPr>
          <w:p>
            <w:pPr>
              <w:jc w:val="left"/>
            </w:pPr>
            <w:r>
              <w:rPr>
                <w:rFonts w:ascii="Calibri" w:hAnsi="Calibri"/>
                <w:b/>
                <w:color w:val="0B2545"/>
                <w:sz w:val="19"/>
              </w:rPr>
              <w:t>Near-term result</w:t>
            </w:r>
          </w:p>
        </w:tc>
        <w:tc>
          <w:tcPr>
            <w:tcW w:type="dxa" w:w="3460"/>
            <w:tcMar>
              <w:top w:w="80" w:type="dxa"/>
              <w:start w:w="120" w:type="dxa"/>
              <w:bottom w:w="80" w:type="dxa"/>
              <w:end w:w="120" w:type="dxa"/>
            </w:tcMar>
            <w:shd w:fill="E8EEF5"/>
          </w:tcPr>
          <w:p>
            <w:pPr>
              <w:jc w:val="left"/>
            </w:pPr>
            <w:r>
              <w:rPr>
                <w:rFonts w:ascii="Calibri" w:hAnsi="Calibri"/>
                <w:b/>
                <w:color w:val="0B2545"/>
                <w:sz w:val="19"/>
              </w:rPr>
              <w:t>How to measure responsibly</w:t>
            </w:r>
          </w:p>
        </w:tc>
      </w:tr>
      <w:tr>
        <w:tc>
          <w:tcPr>
            <w:tcW w:type="dxa" w:w="1900"/>
            <w:tcMar>
              <w:top w:w="80" w:type="dxa"/>
              <w:start w:w="120" w:type="dxa"/>
              <w:bottom w:w="80" w:type="dxa"/>
              <w:end w:w="120" w:type="dxa"/>
            </w:tcMar>
          </w:tcPr>
          <w:p>
            <w:pPr>
              <w:jc w:val="left"/>
            </w:pPr>
            <w:r>
              <w:rPr>
                <w:rFonts w:ascii="Calibri" w:hAnsi="Calibri"/>
                <w:color w:val="222222"/>
                <w:sz w:val="18"/>
              </w:rPr>
              <w:t>Faster investigation</w:t>
            </w:r>
          </w:p>
        </w:tc>
        <w:tc>
          <w:tcPr>
            <w:tcW w:type="dxa" w:w="4000"/>
            <w:tcMar>
              <w:top w:w="80" w:type="dxa"/>
              <w:start w:w="120" w:type="dxa"/>
              <w:bottom w:w="80" w:type="dxa"/>
              <w:end w:w="120" w:type="dxa"/>
            </w:tcMar>
          </w:tcPr>
          <w:p>
            <w:pPr>
              <w:jc w:val="left"/>
            </w:pPr>
            <w:r>
              <w:rPr>
                <w:rFonts w:ascii="Calibri" w:hAnsi="Calibri"/>
                <w:color w:val="222222"/>
                <w:sz w:val="18"/>
              </w:rPr>
              <w:t>Less time locating relevant frames, source passages, and prior fact checks.</w:t>
            </w:r>
          </w:p>
        </w:tc>
        <w:tc>
          <w:tcPr>
            <w:tcW w:type="dxa" w:w="3460"/>
            <w:tcMar>
              <w:top w:w="80" w:type="dxa"/>
              <w:start w:w="120" w:type="dxa"/>
              <w:bottom w:w="80" w:type="dxa"/>
              <w:end w:w="120" w:type="dxa"/>
            </w:tcMar>
          </w:tcPr>
          <w:p>
            <w:pPr>
              <w:jc w:val="left"/>
            </w:pPr>
            <w:r>
              <w:rPr>
                <w:rFonts w:ascii="Calibri" w:hAnsi="Calibri"/>
                <w:color w:val="222222"/>
                <w:sz w:val="18"/>
              </w:rPr>
              <w:t>Median time from intake to reviewer-ready case; reviewer time saved.</w:t>
            </w:r>
          </w:p>
        </w:tc>
      </w:tr>
      <w:tr>
        <w:tc>
          <w:tcPr>
            <w:tcW w:type="dxa" w:w="1900"/>
            <w:tcMar>
              <w:top w:w="80" w:type="dxa"/>
              <w:start w:w="120" w:type="dxa"/>
              <w:bottom w:w="80" w:type="dxa"/>
              <w:end w:w="120" w:type="dxa"/>
            </w:tcMar>
          </w:tcPr>
          <w:p>
            <w:pPr>
              <w:jc w:val="left"/>
            </w:pPr>
            <w:r>
              <w:rPr>
                <w:rFonts w:ascii="Calibri" w:hAnsi="Calibri"/>
                <w:color w:val="222222"/>
                <w:sz w:val="18"/>
              </w:rPr>
              <w:t>Better decision quality</w:t>
            </w:r>
          </w:p>
        </w:tc>
        <w:tc>
          <w:tcPr>
            <w:tcW w:type="dxa" w:w="4000"/>
            <w:tcMar>
              <w:top w:w="80" w:type="dxa"/>
              <w:start w:w="120" w:type="dxa"/>
              <w:bottom w:w="80" w:type="dxa"/>
              <w:end w:w="120" w:type="dxa"/>
            </w:tcMar>
          </w:tcPr>
          <w:p>
            <w:pPr>
              <w:jc w:val="left"/>
            </w:pPr>
            <w:r>
              <w:rPr>
                <w:rFonts w:ascii="Calibri" w:hAnsi="Calibri"/>
                <w:color w:val="222222"/>
                <w:sz w:val="18"/>
              </w:rPr>
              <w:t>More explicit evidence and fewer unsupported binary labels.</w:t>
            </w:r>
          </w:p>
        </w:tc>
        <w:tc>
          <w:tcPr>
            <w:tcW w:type="dxa" w:w="3460"/>
            <w:tcMar>
              <w:top w:w="80" w:type="dxa"/>
              <w:start w:w="120" w:type="dxa"/>
              <w:bottom w:w="80" w:type="dxa"/>
              <w:end w:w="120" w:type="dxa"/>
            </w:tcMar>
          </w:tcPr>
          <w:p>
            <w:pPr>
              <w:jc w:val="left"/>
            </w:pPr>
            <w:r>
              <w:rPr>
                <w:rFonts w:ascii="Calibri" w:hAnsi="Calibri"/>
                <w:color w:val="222222"/>
                <w:sz w:val="18"/>
              </w:rPr>
              <w:t>Reviewer agreement, correction rate, proportion of cases correctly marked inconclusive.</w:t>
            </w:r>
          </w:p>
        </w:tc>
      </w:tr>
      <w:tr>
        <w:tc>
          <w:tcPr>
            <w:tcW w:type="dxa" w:w="1900"/>
            <w:tcMar>
              <w:top w:w="80" w:type="dxa"/>
              <w:start w:w="120" w:type="dxa"/>
              <w:bottom w:w="80" w:type="dxa"/>
              <w:end w:w="120" w:type="dxa"/>
            </w:tcMar>
          </w:tcPr>
          <w:p>
            <w:pPr>
              <w:jc w:val="left"/>
            </w:pPr>
            <w:r>
              <w:rPr>
                <w:rFonts w:ascii="Calibri" w:hAnsi="Calibri"/>
                <w:color w:val="222222"/>
                <w:sz w:val="18"/>
              </w:rPr>
              <w:t>Public resilience</w:t>
            </w:r>
          </w:p>
        </w:tc>
        <w:tc>
          <w:tcPr>
            <w:tcW w:type="dxa" w:w="4000"/>
            <w:tcMar>
              <w:top w:w="80" w:type="dxa"/>
              <w:start w:w="120" w:type="dxa"/>
              <w:bottom w:w="80" w:type="dxa"/>
              <w:end w:w="120" w:type="dxa"/>
            </w:tcMar>
          </w:tcPr>
          <w:p>
            <w:pPr>
              <w:jc w:val="left"/>
            </w:pPr>
            <w:r>
              <w:rPr>
                <w:rFonts w:ascii="Calibri" w:hAnsi="Calibri"/>
                <w:color w:val="222222"/>
                <w:sz w:val="18"/>
              </w:rPr>
              <w:t>Users see why a rumour is weak, outdated, or miscontextualised.</w:t>
            </w:r>
          </w:p>
        </w:tc>
        <w:tc>
          <w:tcPr>
            <w:tcW w:type="dxa" w:w="3460"/>
            <w:tcMar>
              <w:top w:w="80" w:type="dxa"/>
              <w:start w:w="120" w:type="dxa"/>
              <w:bottom w:w="80" w:type="dxa"/>
              <w:end w:w="120" w:type="dxa"/>
            </w:tcMar>
          </w:tcPr>
          <w:p>
            <w:pPr>
              <w:jc w:val="left"/>
            </w:pPr>
            <w:r>
              <w:rPr>
                <w:rFonts w:ascii="Calibri" w:hAnsi="Calibri"/>
                <w:color w:val="222222"/>
                <w:sz w:val="18"/>
              </w:rPr>
              <w:t>Completion of source review, user comprehension tests, repeat sharing intent.</w:t>
            </w:r>
          </w:p>
        </w:tc>
      </w:tr>
      <w:tr>
        <w:tc>
          <w:tcPr>
            <w:tcW w:type="dxa" w:w="1900"/>
            <w:tcMar>
              <w:top w:w="80" w:type="dxa"/>
              <w:start w:w="120" w:type="dxa"/>
              <w:bottom w:w="80" w:type="dxa"/>
              <w:end w:w="120" w:type="dxa"/>
            </w:tcMar>
          </w:tcPr>
          <w:p>
            <w:pPr>
              <w:jc w:val="left"/>
            </w:pPr>
            <w:r>
              <w:rPr>
                <w:rFonts w:ascii="Calibri" w:hAnsi="Calibri"/>
                <w:color w:val="222222"/>
                <w:sz w:val="18"/>
              </w:rPr>
              <w:t>Institutional transparency</w:t>
            </w:r>
          </w:p>
        </w:tc>
        <w:tc>
          <w:tcPr>
            <w:tcW w:type="dxa" w:w="4000"/>
            <w:tcMar>
              <w:top w:w="80" w:type="dxa"/>
              <w:start w:w="120" w:type="dxa"/>
              <w:bottom w:w="80" w:type="dxa"/>
              <w:end w:w="120" w:type="dxa"/>
            </w:tcMar>
          </w:tcPr>
          <w:p>
            <w:pPr>
              <w:jc w:val="left"/>
            </w:pPr>
            <w:r>
              <w:rPr>
                <w:rFonts w:ascii="Calibri" w:hAnsi="Calibri"/>
                <w:color w:val="222222"/>
                <w:sz w:val="18"/>
              </w:rPr>
              <w:t>Cases retain source/version/audit information.</w:t>
            </w:r>
          </w:p>
        </w:tc>
        <w:tc>
          <w:tcPr>
            <w:tcW w:type="dxa" w:w="3460"/>
            <w:tcMar>
              <w:top w:w="80" w:type="dxa"/>
              <w:start w:w="120" w:type="dxa"/>
              <w:bottom w:w="80" w:type="dxa"/>
              <w:end w:w="120" w:type="dxa"/>
            </w:tcMar>
          </w:tcPr>
          <w:p>
            <w:pPr>
              <w:jc w:val="left"/>
            </w:pPr>
            <w:r>
              <w:rPr>
                <w:rFonts w:ascii="Calibri" w:hAnsi="Calibri"/>
                <w:color w:val="222222"/>
                <w:sz w:val="18"/>
              </w:rPr>
              <w:t>Percent of reports with complete provenance, citations, and logged policy version.</w:t>
            </w:r>
          </w:p>
        </w:tc>
      </w:tr>
      <w:tr>
        <w:tc>
          <w:tcPr>
            <w:tcW w:type="dxa" w:w="1900"/>
            <w:tcMar>
              <w:top w:w="80" w:type="dxa"/>
              <w:start w:w="120" w:type="dxa"/>
              <w:bottom w:w="80" w:type="dxa"/>
              <w:end w:w="120" w:type="dxa"/>
            </w:tcMar>
          </w:tcPr>
          <w:p>
            <w:pPr>
              <w:jc w:val="left"/>
            </w:pPr>
            <w:r>
              <w:rPr>
                <w:rFonts w:ascii="Calibri" w:hAnsi="Calibri"/>
                <w:color w:val="222222"/>
                <w:sz w:val="18"/>
              </w:rPr>
              <w:t>Developer reuse</w:t>
            </w:r>
          </w:p>
        </w:tc>
        <w:tc>
          <w:tcPr>
            <w:tcW w:type="dxa" w:w="4000"/>
            <w:tcMar>
              <w:top w:w="80" w:type="dxa"/>
              <w:start w:w="120" w:type="dxa"/>
              <w:bottom w:w="80" w:type="dxa"/>
              <w:end w:w="120" w:type="dxa"/>
            </w:tcMar>
          </w:tcPr>
          <w:p>
            <w:pPr>
              <w:jc w:val="left"/>
            </w:pPr>
            <w:r>
              <w:rPr>
                <w:rFonts w:ascii="Calibri" w:hAnsi="Calibri"/>
                <w:color w:val="222222"/>
                <w:sz w:val="18"/>
              </w:rPr>
              <w:t>Applications use a consistent trust workflow rather than one-off scripts.</w:t>
            </w:r>
          </w:p>
        </w:tc>
        <w:tc>
          <w:tcPr>
            <w:tcW w:type="dxa" w:w="3460"/>
            <w:tcMar>
              <w:top w:w="80" w:type="dxa"/>
              <w:start w:w="120" w:type="dxa"/>
              <w:bottom w:w="80" w:type="dxa"/>
              <w:end w:w="120" w:type="dxa"/>
            </w:tcMar>
          </w:tcPr>
          <w:p>
            <w:pPr>
              <w:jc w:val="left"/>
            </w:pPr>
            <w:r>
              <w:rPr>
                <w:rFonts w:ascii="Calibri" w:hAnsi="Calibri"/>
                <w:color w:val="222222"/>
                <w:sz w:val="18"/>
              </w:rPr>
              <w:t>SDK integrations, connector reuse, policy-pack adoption, integration time.</w:t>
            </w:r>
          </w:p>
        </w:tc>
      </w:tr>
      <w:tr>
        <w:tc>
          <w:tcPr>
            <w:tcW w:type="dxa" w:w="1900"/>
            <w:tcMar>
              <w:top w:w="80" w:type="dxa"/>
              <w:start w:w="120" w:type="dxa"/>
              <w:bottom w:w="80" w:type="dxa"/>
              <w:end w:w="120" w:type="dxa"/>
            </w:tcMar>
          </w:tcPr>
          <w:p>
            <w:pPr>
              <w:jc w:val="left"/>
            </w:pPr>
            <w:r>
              <w:rPr>
                <w:rFonts w:ascii="Calibri" w:hAnsi="Calibri"/>
                <w:color w:val="222222"/>
                <w:sz w:val="18"/>
              </w:rPr>
              <w:t>Safety</w:t>
            </w:r>
          </w:p>
        </w:tc>
        <w:tc>
          <w:tcPr>
            <w:tcW w:type="dxa" w:w="4000"/>
            <w:tcMar>
              <w:top w:w="80" w:type="dxa"/>
              <w:start w:w="120" w:type="dxa"/>
              <w:bottom w:w="80" w:type="dxa"/>
              <w:end w:w="120" w:type="dxa"/>
            </w:tcMar>
          </w:tcPr>
          <w:p>
            <w:pPr>
              <w:jc w:val="left"/>
            </w:pPr>
            <w:r>
              <w:rPr>
                <w:rFonts w:ascii="Calibri" w:hAnsi="Calibri"/>
                <w:color w:val="222222"/>
                <w:sz w:val="18"/>
              </w:rPr>
              <w:t>High-risk decisions are routed to humans instead of automated rejection.</w:t>
            </w:r>
          </w:p>
        </w:tc>
        <w:tc>
          <w:tcPr>
            <w:tcW w:type="dxa" w:w="3460"/>
            <w:tcMar>
              <w:top w:w="80" w:type="dxa"/>
              <w:start w:w="120" w:type="dxa"/>
              <w:bottom w:w="80" w:type="dxa"/>
              <w:end w:w="120" w:type="dxa"/>
            </w:tcMar>
          </w:tcPr>
          <w:p>
            <w:pPr>
              <w:jc w:val="left"/>
            </w:pPr>
            <w:r>
              <w:rPr>
                <w:rFonts w:ascii="Calibri" w:hAnsi="Calibri"/>
                <w:color w:val="222222"/>
                <w:sz w:val="18"/>
              </w:rPr>
              <w:t>Escalation accuracy, false-positive appeals, human override rate.</w:t>
            </w:r>
          </w:p>
        </w:tc>
      </w:tr>
    </w:tbl>
    <w:p/>
    <w:p>
      <w:pPr>
        <w:pStyle w:val="Heading1"/>
      </w:pPr>
      <w:r>
        <w:t>8. Risks, ethics, security, and governance</w:t>
      </w:r>
    </w:p>
    <w:tbl>
      <w:tblPr>
        <w:tblStyle w:val="TableGrid"/>
        <w:tblW w:type="dxa" w:w="9360"/>
        <w:jc w:val="center"/>
        <w:tblLook w:firstColumn="1" w:firstRow="1" w:lastColumn="0" w:lastRow="0" w:noHBand="0" w:noVBand="1" w:val="04A0"/>
        <w:tblInd w:w="120" w:type="dxa"/>
        <w:tblLayout w:type="fixed"/>
      </w:tblPr>
      <w:tblGrid>
        <w:gridCol w:w="1450"/>
        <w:gridCol w:w="3100"/>
        <w:gridCol w:w="4810"/>
      </w:tblGrid>
      <w:tr>
        <w:trPr>
          <w:tblHeader/>
        </w:trPr>
        <w:tc>
          <w:tcPr>
            <w:tcW w:type="dxa" w:w="1450"/>
            <w:tcMar>
              <w:top w:w="80" w:type="dxa"/>
              <w:start w:w="120" w:type="dxa"/>
              <w:bottom w:w="80" w:type="dxa"/>
              <w:end w:w="120" w:type="dxa"/>
            </w:tcMar>
            <w:shd w:fill="E8EEF5"/>
          </w:tcPr>
          <w:p>
            <w:pPr>
              <w:jc w:val="left"/>
            </w:pPr>
            <w:r>
              <w:rPr>
                <w:rFonts w:ascii="Calibri" w:hAnsi="Calibri"/>
                <w:b/>
                <w:color w:val="0B2545"/>
                <w:sz w:val="19"/>
              </w:rPr>
              <w:t>Risk</w:t>
            </w:r>
          </w:p>
        </w:tc>
        <w:tc>
          <w:tcPr>
            <w:tcW w:type="dxa" w:w="3100"/>
            <w:tcMar>
              <w:top w:w="80" w:type="dxa"/>
              <w:start w:w="120" w:type="dxa"/>
              <w:bottom w:w="80" w:type="dxa"/>
              <w:end w:w="120" w:type="dxa"/>
            </w:tcMar>
            <w:shd w:fill="E8EEF5"/>
          </w:tcPr>
          <w:p>
            <w:pPr>
              <w:jc w:val="left"/>
            </w:pPr>
            <w:r>
              <w:rPr>
                <w:rFonts w:ascii="Calibri" w:hAnsi="Calibri"/>
                <w:b/>
                <w:color w:val="0B2545"/>
                <w:sz w:val="19"/>
              </w:rPr>
              <w:t>Failure mode</w:t>
            </w:r>
          </w:p>
        </w:tc>
        <w:tc>
          <w:tcPr>
            <w:tcW w:type="dxa" w:w="4810"/>
            <w:tcMar>
              <w:top w:w="80" w:type="dxa"/>
              <w:start w:w="120" w:type="dxa"/>
              <w:bottom w:w="80" w:type="dxa"/>
              <w:end w:w="120" w:type="dxa"/>
            </w:tcMar>
            <w:shd w:fill="E8EEF5"/>
          </w:tcPr>
          <w:p>
            <w:pPr>
              <w:jc w:val="left"/>
            </w:pPr>
            <w:r>
              <w:rPr>
                <w:rFonts w:ascii="Calibri" w:hAnsi="Calibri"/>
                <w:b/>
                <w:color w:val="0B2545"/>
                <w:sz w:val="19"/>
              </w:rPr>
              <w:t>Control</w:t>
            </w:r>
          </w:p>
        </w:tc>
      </w:tr>
      <w:tr>
        <w:tc>
          <w:tcPr>
            <w:tcW w:type="dxa" w:w="1450"/>
            <w:tcMar>
              <w:top w:w="80" w:type="dxa"/>
              <w:start w:w="120" w:type="dxa"/>
              <w:bottom w:w="80" w:type="dxa"/>
              <w:end w:w="120" w:type="dxa"/>
            </w:tcMar>
          </w:tcPr>
          <w:p>
            <w:pPr>
              <w:jc w:val="left"/>
            </w:pPr>
            <w:r>
              <w:rPr>
                <w:rFonts w:ascii="Calibri" w:hAnsi="Calibri"/>
                <w:color w:val="222222"/>
                <w:sz w:val="18"/>
              </w:rPr>
              <w:t>False positives</w:t>
            </w:r>
          </w:p>
        </w:tc>
        <w:tc>
          <w:tcPr>
            <w:tcW w:type="dxa" w:w="3100"/>
            <w:tcMar>
              <w:top w:w="80" w:type="dxa"/>
              <w:start w:w="120" w:type="dxa"/>
              <w:bottom w:w="80" w:type="dxa"/>
              <w:end w:w="120" w:type="dxa"/>
            </w:tcMar>
          </w:tcPr>
          <w:p>
            <w:pPr>
              <w:jc w:val="left"/>
            </w:pPr>
            <w:r>
              <w:rPr>
                <w:rFonts w:ascii="Calibri" w:hAnsi="Calibri"/>
                <w:color w:val="222222"/>
                <w:sz w:val="18"/>
              </w:rPr>
              <w:t>A genuine video or truthful statement is labelled risky.</w:t>
            </w:r>
          </w:p>
        </w:tc>
        <w:tc>
          <w:tcPr>
            <w:tcW w:type="dxa" w:w="4810"/>
            <w:tcMar>
              <w:top w:w="80" w:type="dxa"/>
              <w:start w:w="120" w:type="dxa"/>
              <w:bottom w:w="80" w:type="dxa"/>
              <w:end w:w="120" w:type="dxa"/>
            </w:tcMar>
          </w:tcPr>
          <w:p>
            <w:pPr>
              <w:jc w:val="left"/>
            </w:pPr>
            <w:r>
              <w:rPr>
                <w:rFonts w:ascii="Calibri" w:hAnsi="Calibri"/>
                <w:color w:val="222222"/>
                <w:sz w:val="18"/>
              </w:rPr>
              <w:t>Calibrated thresholds, quality gates, uncertainty, citation requirements, human review, appeal/override path.</w:t>
            </w:r>
          </w:p>
        </w:tc>
      </w:tr>
      <w:tr>
        <w:tc>
          <w:tcPr>
            <w:tcW w:type="dxa" w:w="1450"/>
            <w:tcMar>
              <w:top w:w="80" w:type="dxa"/>
              <w:start w:w="120" w:type="dxa"/>
              <w:bottom w:w="80" w:type="dxa"/>
              <w:end w:w="120" w:type="dxa"/>
            </w:tcMar>
          </w:tcPr>
          <w:p>
            <w:pPr>
              <w:jc w:val="left"/>
            </w:pPr>
            <w:r>
              <w:rPr>
                <w:rFonts w:ascii="Calibri" w:hAnsi="Calibri"/>
                <w:color w:val="222222"/>
                <w:sz w:val="18"/>
              </w:rPr>
              <w:t>False negatives</w:t>
            </w:r>
          </w:p>
        </w:tc>
        <w:tc>
          <w:tcPr>
            <w:tcW w:type="dxa" w:w="3100"/>
            <w:tcMar>
              <w:top w:w="80" w:type="dxa"/>
              <w:start w:w="120" w:type="dxa"/>
              <w:bottom w:w="80" w:type="dxa"/>
              <w:end w:w="120" w:type="dxa"/>
            </w:tcMar>
          </w:tcPr>
          <w:p>
            <w:pPr>
              <w:jc w:val="left"/>
            </w:pPr>
            <w:r>
              <w:rPr>
                <w:rFonts w:ascii="Calibri" w:hAnsi="Calibri"/>
                <w:color w:val="222222"/>
                <w:sz w:val="18"/>
              </w:rPr>
              <w:t>Manipulation or misinformation is missed.</w:t>
            </w:r>
          </w:p>
        </w:tc>
        <w:tc>
          <w:tcPr>
            <w:tcW w:type="dxa" w:w="4810"/>
            <w:tcMar>
              <w:top w:w="80" w:type="dxa"/>
              <w:start w:w="120" w:type="dxa"/>
              <w:bottom w:w="80" w:type="dxa"/>
              <w:end w:w="120" w:type="dxa"/>
            </w:tcMar>
          </w:tcPr>
          <w:p>
            <w:pPr>
              <w:jc w:val="left"/>
            </w:pPr>
            <w:r>
              <w:rPr>
                <w:rFonts w:ascii="Calibri" w:hAnsi="Calibri"/>
                <w:color w:val="222222"/>
                <w:sz w:val="18"/>
              </w:rPr>
              <w:t>Never promise detection; surface coverage gaps, use multiple signals over time, allow reporting/escalation.</w:t>
            </w:r>
          </w:p>
        </w:tc>
      </w:tr>
      <w:tr>
        <w:tc>
          <w:tcPr>
            <w:tcW w:type="dxa" w:w="1450"/>
            <w:tcMar>
              <w:top w:w="80" w:type="dxa"/>
              <w:start w:w="120" w:type="dxa"/>
              <w:bottom w:w="80" w:type="dxa"/>
              <w:end w:w="120" w:type="dxa"/>
            </w:tcMar>
          </w:tcPr>
          <w:p>
            <w:pPr>
              <w:jc w:val="left"/>
            </w:pPr>
            <w:r>
              <w:rPr>
                <w:rFonts w:ascii="Calibri" w:hAnsi="Calibri"/>
                <w:color w:val="222222"/>
                <w:sz w:val="18"/>
              </w:rPr>
              <w:t>LLM hallucination</w:t>
            </w:r>
          </w:p>
        </w:tc>
        <w:tc>
          <w:tcPr>
            <w:tcW w:type="dxa" w:w="3100"/>
            <w:tcMar>
              <w:top w:w="80" w:type="dxa"/>
              <w:start w:w="120" w:type="dxa"/>
              <w:bottom w:w="80" w:type="dxa"/>
              <w:end w:w="120" w:type="dxa"/>
            </w:tcMar>
          </w:tcPr>
          <w:p>
            <w:pPr>
              <w:jc w:val="left"/>
            </w:pPr>
            <w:r>
              <w:rPr>
                <w:rFonts w:ascii="Calibri" w:hAnsi="Calibri"/>
                <w:color w:val="222222"/>
                <w:sz w:val="18"/>
              </w:rPr>
              <w:t>Semantic or claim module invents facts or sources.</w:t>
            </w:r>
          </w:p>
        </w:tc>
        <w:tc>
          <w:tcPr>
            <w:tcW w:type="dxa" w:w="4810"/>
            <w:tcMar>
              <w:top w:w="80" w:type="dxa"/>
              <w:start w:w="120" w:type="dxa"/>
              <w:bottom w:w="80" w:type="dxa"/>
              <w:end w:w="120" w:type="dxa"/>
            </w:tcMar>
          </w:tcPr>
          <w:p>
            <w:pPr>
              <w:jc w:val="left"/>
            </w:pPr>
            <w:r>
              <w:rPr>
                <w:rFonts w:ascii="Calibri" w:hAnsi="Calibri"/>
                <w:color w:val="222222"/>
                <w:sz w:val="18"/>
              </w:rPr>
              <w:t>Structured JSON, source-grounded generation, URL/passage validation, no conclusion without evidence.</w:t>
            </w:r>
          </w:p>
        </w:tc>
      </w:tr>
      <w:tr>
        <w:tc>
          <w:tcPr>
            <w:tcW w:type="dxa" w:w="1450"/>
            <w:tcMar>
              <w:top w:w="80" w:type="dxa"/>
              <w:start w:w="120" w:type="dxa"/>
              <w:bottom w:w="80" w:type="dxa"/>
              <w:end w:w="120" w:type="dxa"/>
            </w:tcMar>
          </w:tcPr>
          <w:p>
            <w:pPr>
              <w:jc w:val="left"/>
            </w:pPr>
            <w:r>
              <w:rPr>
                <w:rFonts w:ascii="Calibri" w:hAnsi="Calibri"/>
                <w:color w:val="222222"/>
                <w:sz w:val="18"/>
              </w:rPr>
              <w:t>Privacy</w:t>
            </w:r>
          </w:p>
        </w:tc>
        <w:tc>
          <w:tcPr>
            <w:tcW w:type="dxa" w:w="3100"/>
            <w:tcMar>
              <w:top w:w="80" w:type="dxa"/>
              <w:start w:w="120" w:type="dxa"/>
              <w:bottom w:w="80" w:type="dxa"/>
              <w:end w:w="120" w:type="dxa"/>
            </w:tcMar>
          </w:tcPr>
          <w:p>
            <w:pPr>
              <w:jc w:val="left"/>
            </w:pPr>
            <w:r>
              <w:rPr>
                <w:rFonts w:ascii="Calibri" w:hAnsi="Calibri"/>
                <w:color w:val="222222"/>
                <w:sz w:val="18"/>
              </w:rPr>
              <w:t>Uploaded media or rumours contain sensitive data.</w:t>
            </w:r>
          </w:p>
        </w:tc>
        <w:tc>
          <w:tcPr>
            <w:tcW w:type="dxa" w:w="4810"/>
            <w:tcMar>
              <w:top w:w="80" w:type="dxa"/>
              <w:start w:w="120" w:type="dxa"/>
              <w:bottom w:w="80" w:type="dxa"/>
              <w:end w:w="120" w:type="dxa"/>
            </w:tcMar>
          </w:tcPr>
          <w:p>
            <w:pPr>
              <w:jc w:val="left"/>
            </w:pPr>
            <w:r>
              <w:rPr>
                <w:rFonts w:ascii="Calibri" w:hAnsi="Calibri"/>
                <w:color w:val="222222"/>
                <w:sz w:val="18"/>
              </w:rPr>
              <w:t>Consent notice, minimal collection, encrypted future storage, short retention, deletion, no training on uploads by default.</w:t>
            </w:r>
          </w:p>
        </w:tc>
      </w:tr>
      <w:tr>
        <w:tc>
          <w:tcPr>
            <w:tcW w:type="dxa" w:w="1450"/>
            <w:tcMar>
              <w:top w:w="80" w:type="dxa"/>
              <w:start w:w="120" w:type="dxa"/>
              <w:bottom w:w="80" w:type="dxa"/>
              <w:end w:w="120" w:type="dxa"/>
            </w:tcMar>
          </w:tcPr>
          <w:p>
            <w:pPr>
              <w:jc w:val="left"/>
            </w:pPr>
            <w:r>
              <w:rPr>
                <w:rFonts w:ascii="Calibri" w:hAnsi="Calibri"/>
                <w:color w:val="222222"/>
                <w:sz w:val="18"/>
              </w:rPr>
              <w:t>Security</w:t>
            </w:r>
          </w:p>
        </w:tc>
        <w:tc>
          <w:tcPr>
            <w:tcW w:type="dxa" w:w="3100"/>
            <w:tcMar>
              <w:top w:w="80" w:type="dxa"/>
              <w:start w:w="120" w:type="dxa"/>
              <w:bottom w:w="80" w:type="dxa"/>
              <w:end w:w="120" w:type="dxa"/>
            </w:tcMar>
          </w:tcPr>
          <w:p>
            <w:pPr>
              <w:jc w:val="left"/>
            </w:pPr>
            <w:r>
              <w:rPr>
                <w:rFonts w:ascii="Calibri" w:hAnsi="Calibri"/>
                <w:color w:val="222222"/>
                <w:sz w:val="18"/>
              </w:rPr>
              <w:t>Malicious uploads exploit file processing.</w:t>
            </w:r>
          </w:p>
        </w:tc>
        <w:tc>
          <w:tcPr>
            <w:tcW w:type="dxa" w:w="4810"/>
            <w:tcMar>
              <w:top w:w="80" w:type="dxa"/>
              <w:start w:w="120" w:type="dxa"/>
              <w:bottom w:w="80" w:type="dxa"/>
              <w:end w:w="120" w:type="dxa"/>
            </w:tcMar>
          </w:tcPr>
          <w:p>
            <w:pPr>
              <w:jc w:val="left"/>
            </w:pPr>
            <w:r>
              <w:rPr>
                <w:rFonts w:ascii="Calibri" w:hAnsi="Calibri"/>
                <w:color w:val="222222"/>
                <w:sz w:val="18"/>
              </w:rPr>
              <w:t>MIME/size/duration checks, isolated worker, fixed FFmpeg commands, no user-controlled paths, antivirus/sandbox in production.</w:t>
            </w:r>
          </w:p>
        </w:tc>
      </w:tr>
      <w:tr>
        <w:tc>
          <w:tcPr>
            <w:tcW w:type="dxa" w:w="1450"/>
            <w:tcMar>
              <w:top w:w="80" w:type="dxa"/>
              <w:start w:w="120" w:type="dxa"/>
              <w:bottom w:w="80" w:type="dxa"/>
              <w:end w:w="120" w:type="dxa"/>
            </w:tcMar>
          </w:tcPr>
          <w:p>
            <w:pPr>
              <w:jc w:val="left"/>
            </w:pPr>
            <w:r>
              <w:rPr>
                <w:rFonts w:ascii="Calibri" w:hAnsi="Calibri"/>
                <w:color w:val="222222"/>
                <w:sz w:val="18"/>
              </w:rPr>
              <w:t>Source bias or staleness</w:t>
            </w:r>
          </w:p>
        </w:tc>
        <w:tc>
          <w:tcPr>
            <w:tcW w:type="dxa" w:w="3100"/>
            <w:tcMar>
              <w:top w:w="80" w:type="dxa"/>
              <w:start w:w="120" w:type="dxa"/>
              <w:bottom w:w="80" w:type="dxa"/>
              <w:end w:w="120" w:type="dxa"/>
            </w:tcMar>
          </w:tcPr>
          <w:p>
            <w:pPr>
              <w:jc w:val="left"/>
            </w:pPr>
            <w:r>
              <w:rPr>
                <w:rFonts w:ascii="Calibri" w:hAnsi="Calibri"/>
                <w:color w:val="222222"/>
                <w:sz w:val="18"/>
              </w:rPr>
              <w:t>A source is outdated, incomplete, or politically scoped.</w:t>
            </w:r>
          </w:p>
        </w:tc>
        <w:tc>
          <w:tcPr>
            <w:tcW w:type="dxa" w:w="4810"/>
            <w:tcMar>
              <w:top w:w="80" w:type="dxa"/>
              <w:start w:w="120" w:type="dxa"/>
              <w:bottom w:w="80" w:type="dxa"/>
              <w:end w:w="120" w:type="dxa"/>
            </w:tcMar>
          </w:tcPr>
          <w:p>
            <w:pPr>
              <w:jc w:val="left"/>
            </w:pPr>
            <w:r>
              <w:rPr>
                <w:rFonts w:ascii="Calibri" w:hAnsi="Calibri"/>
                <w:color w:val="222222"/>
                <w:sz w:val="18"/>
              </w:rPr>
              <w:t>Tier display, date prominence, jurisdiction/domain router, freshness checks, diverse independent authorities where appropriate.</w:t>
            </w:r>
          </w:p>
        </w:tc>
      </w:tr>
      <w:tr>
        <w:tc>
          <w:tcPr>
            <w:tcW w:type="dxa" w:w="1450"/>
            <w:tcMar>
              <w:top w:w="80" w:type="dxa"/>
              <w:start w:w="120" w:type="dxa"/>
              <w:bottom w:w="80" w:type="dxa"/>
              <w:end w:w="120" w:type="dxa"/>
            </w:tcMar>
          </w:tcPr>
          <w:p>
            <w:pPr>
              <w:jc w:val="left"/>
            </w:pPr>
            <w:r>
              <w:rPr>
                <w:rFonts w:ascii="Calibri" w:hAnsi="Calibri"/>
                <w:color w:val="222222"/>
                <w:sz w:val="18"/>
              </w:rPr>
              <w:t>Misuse as surveillance</w:t>
            </w:r>
          </w:p>
        </w:tc>
        <w:tc>
          <w:tcPr>
            <w:tcW w:type="dxa" w:w="3100"/>
            <w:tcMar>
              <w:top w:w="80" w:type="dxa"/>
              <w:start w:w="120" w:type="dxa"/>
              <w:bottom w:w="80" w:type="dxa"/>
              <w:end w:w="120" w:type="dxa"/>
            </w:tcMar>
          </w:tcPr>
          <w:p>
            <w:pPr>
              <w:jc w:val="left"/>
            </w:pPr>
            <w:r>
              <w:rPr>
                <w:rFonts w:ascii="Calibri" w:hAnsi="Calibri"/>
                <w:color w:val="222222"/>
                <w:sz w:val="18"/>
              </w:rPr>
              <w:t>Tool is used to profile citizens or silently censor speech.</w:t>
            </w:r>
          </w:p>
        </w:tc>
        <w:tc>
          <w:tcPr>
            <w:tcW w:type="dxa" w:w="4810"/>
            <w:tcMar>
              <w:top w:w="80" w:type="dxa"/>
              <w:start w:w="120" w:type="dxa"/>
              <w:bottom w:w="80" w:type="dxa"/>
              <w:end w:w="120" w:type="dxa"/>
            </w:tcMar>
          </w:tcPr>
          <w:p>
            <w:pPr>
              <w:jc w:val="left"/>
            </w:pPr>
            <w:r>
              <w:rPr>
                <w:rFonts w:ascii="Calibri" w:hAnsi="Calibri"/>
                <w:color w:val="222222"/>
                <w:sz w:val="18"/>
              </w:rPr>
              <w:t>Purpose limitation, access control, case audit logs, human authorisation, published acceptable-use policy.</w:t>
            </w:r>
          </w:p>
        </w:tc>
      </w:tr>
      <w:tr>
        <w:tc>
          <w:tcPr>
            <w:tcW w:type="dxa" w:w="1450"/>
            <w:tcMar>
              <w:top w:w="80" w:type="dxa"/>
              <w:start w:w="120" w:type="dxa"/>
              <w:bottom w:w="80" w:type="dxa"/>
              <w:end w:w="120" w:type="dxa"/>
            </w:tcMar>
          </w:tcPr>
          <w:p>
            <w:pPr>
              <w:jc w:val="left"/>
            </w:pPr>
            <w:r>
              <w:rPr>
                <w:rFonts w:ascii="Calibri" w:hAnsi="Calibri"/>
                <w:color w:val="222222"/>
                <w:sz w:val="18"/>
              </w:rPr>
              <w:t>AI-writing discrimination</w:t>
            </w:r>
          </w:p>
        </w:tc>
        <w:tc>
          <w:tcPr>
            <w:tcW w:type="dxa" w:w="3100"/>
            <w:tcMar>
              <w:top w:w="80" w:type="dxa"/>
              <w:start w:w="120" w:type="dxa"/>
              <w:bottom w:w="80" w:type="dxa"/>
              <w:end w:w="120" w:type="dxa"/>
            </w:tcMar>
          </w:tcPr>
          <w:p>
            <w:pPr>
              <w:jc w:val="left"/>
            </w:pPr>
            <w:r>
              <w:rPr>
                <w:rFonts w:ascii="Calibri" w:hAnsi="Calibri"/>
                <w:color w:val="222222"/>
                <w:sz w:val="18"/>
              </w:rPr>
              <w:t>People are penalised based on unreliable style detection.</w:t>
            </w:r>
          </w:p>
        </w:tc>
        <w:tc>
          <w:tcPr>
            <w:tcW w:type="dxa" w:w="4810"/>
            <w:tcMar>
              <w:top w:w="80" w:type="dxa"/>
              <w:start w:w="120" w:type="dxa"/>
              <w:bottom w:w="80" w:type="dxa"/>
              <w:end w:w="120" w:type="dxa"/>
            </w:tcMar>
          </w:tcPr>
          <w:p>
            <w:pPr>
              <w:jc w:val="left"/>
            </w:pPr>
            <w:r>
              <w:rPr>
                <w:rFonts w:ascii="Calibri" w:hAnsi="Calibri"/>
                <w:color w:val="222222"/>
                <w:sz w:val="18"/>
              </w:rPr>
              <w:t>Do not offer AI-authorship verdicts. For documents, focus on provenance, tampering, policy compliance, and reviewer workflow.</w:t>
            </w:r>
          </w:p>
        </w:tc>
      </w:tr>
    </w:tbl>
    <w:p/>
    <w:p>
      <w:pPr>
        <w:pStyle w:val="Heading1"/>
      </w:pPr>
      <w:r>
        <w:t>9. Evaluation plan</w:t>
      </w:r>
    </w:p>
    <w:p>
      <w:pPr>
        <w:pStyle w:val="ListBullet"/>
      </w:pPr>
      <w:r>
        <w:rPr>
          <w:rFonts w:ascii="Calibri" w:hAnsi="Calibri"/>
          <w:color w:val="222222"/>
          <w:sz w:val="22"/>
        </w:rPr>
        <w:t>Media: test real, manipulated, recompressed, resized, low-light, no-face, no-audio, and corrupted fixtures. Report coverage and detector availability, not only accuracy.</w:t>
      </w:r>
    </w:p>
    <w:p>
      <w:pPr>
        <w:pStyle w:val="ListBullet"/>
      </w:pPr>
      <w:r>
        <w:rPr>
          <w:rFonts w:ascii="Calibri" w:hAnsi="Calibri"/>
          <w:color w:val="222222"/>
          <w:sz w:val="22"/>
        </w:rPr>
        <w:t>Text: create a labelled set of narrow claims with known primary sources, stale claims, mixed claims, and no-coverage cases. Have a human reviewer verify every displayed citation.</w:t>
      </w:r>
    </w:p>
    <w:p>
      <w:pPr>
        <w:pStyle w:val="ListBullet"/>
      </w:pPr>
      <w:r>
        <w:rPr>
          <w:rFonts w:ascii="Calibri" w:hAnsi="Calibri"/>
          <w:color w:val="222222"/>
          <w:sz w:val="22"/>
        </w:rPr>
        <w:t>Usability: ask first-time users to explain the evidence, limitation, and next action after one report. A comprehensible inconclusive result is a success.</w:t>
      </w:r>
    </w:p>
    <w:p>
      <w:pPr>
        <w:pStyle w:val="ListBullet"/>
      </w:pPr>
      <w:r>
        <w:rPr>
          <w:rFonts w:ascii="Calibri" w:hAnsi="Calibri"/>
          <w:color w:val="222222"/>
          <w:sz w:val="22"/>
        </w:rPr>
        <w:t>Fairness: do not infer demographic performance without legally and ethically suitable evaluation data. Document limitations instead of inventing a fairness claim.</w:t>
      </w:r>
    </w:p>
    <w:p>
      <w:pPr>
        <w:pStyle w:val="ListBullet"/>
      </w:pPr>
      <w:r>
        <w:rPr>
          <w:rFonts w:ascii="Calibri" w:hAnsi="Calibri"/>
          <w:color w:val="222222"/>
          <w:sz w:val="22"/>
        </w:rPr>
        <w:t>Reliability: preserve test fixtures and seeded responses so the hackathon demonstration is repeatable offline.</w:t>
      </w:r>
    </w:p>
    <w:p>
      <w:pPr>
        <w:pStyle w:val="Heading1"/>
      </w:pPr>
      <w:r>
        <w:t>10. Hackathon demonstration script</w:t>
      </w:r>
    </w:p>
    <w:p>
      <w:pPr>
        <w:pStyle w:val="ListNumber"/>
        <w:numPr>
          <w:ilvl w:val="0"/>
          <w:numId w:val="10"/>
        </w:numPr>
      </w:pPr>
      <w:r>
        <w:rPr>
          <w:rFonts w:ascii="Calibri" w:hAnsi="Calibri"/>
          <w:color w:val="222222"/>
          <w:sz w:val="22"/>
        </w:rPr>
        <w:t>Open the DECEPTRIX home screen and state the mission: “Evidence before conclusions.”</w:t>
      </w:r>
    </w:p>
    <w:p>
      <w:pPr>
        <w:pStyle w:val="ListNumber"/>
        <w:numPr>
          <w:ilvl w:val="0"/>
          <w:numId w:val="10"/>
        </w:numPr>
      </w:pPr>
      <w:r>
        <w:rPr>
          <w:rFonts w:ascii="Calibri" w:hAnsi="Calibri"/>
          <w:color w:val="222222"/>
          <w:sz w:val="22"/>
        </w:rPr>
        <w:t>Upload a short prepared video. Show hash, technical facts, progress stages, and an evidence interval with a keyframe.</w:t>
      </w:r>
    </w:p>
    <w:p>
      <w:pPr>
        <w:pStyle w:val="ListNumber"/>
        <w:numPr>
          <w:ilvl w:val="0"/>
          <w:numId w:val="10"/>
        </w:numPr>
      </w:pPr>
      <w:r>
        <w:rPr>
          <w:rFonts w:ascii="Calibri" w:hAnsi="Calibri"/>
          <w:color w:val="222222"/>
          <w:sz w:val="22"/>
        </w:rPr>
        <w:t>Explain one limitation and show that missing provenance is reported as missing, not suspicious.</w:t>
      </w:r>
    </w:p>
    <w:p>
      <w:pPr>
        <w:pStyle w:val="ListNumber"/>
        <w:numPr>
          <w:ilvl w:val="0"/>
          <w:numId w:val="10"/>
        </w:numPr>
      </w:pPr>
      <w:r>
        <w:rPr>
          <w:rFonts w:ascii="Calibri" w:hAnsi="Calibri"/>
          <w:color w:val="222222"/>
          <w:sz w:val="22"/>
        </w:rPr>
        <w:t>Switch to Rumour Audit. Paste a prepared government-policy rumour, review the extracted atomic claim, and show the authoritative source card.</w:t>
      </w:r>
    </w:p>
    <w:p>
      <w:pPr>
        <w:pStyle w:val="ListNumber"/>
        <w:numPr>
          <w:ilvl w:val="0"/>
          <w:numId w:val="10"/>
        </w:numPr>
      </w:pPr>
      <w:r>
        <w:rPr>
          <w:rFonts w:ascii="Calibri" w:hAnsi="Calibri"/>
          <w:color w:val="222222"/>
          <w:sz w:val="22"/>
        </w:rPr>
        <w:t>Show the report: audit time, pipeline version, source URLs, evidence, outcome, and “what this does not prove.”</w:t>
      </w:r>
    </w:p>
    <w:p>
      <w:pPr>
        <w:pStyle w:val="ListNumber"/>
        <w:numPr>
          <w:ilvl w:val="0"/>
          <w:numId w:val="10"/>
        </w:numPr>
      </w:pPr>
      <w:r>
        <w:rPr>
          <w:rFonts w:ascii="Calibri" w:hAnsi="Calibri"/>
          <w:color w:val="222222"/>
          <w:sz w:val="22"/>
        </w:rPr>
        <w:t>Close with the platform vision: the same evidence core can power a newsroom console, government triage portal, marketplace upload guard, or developer SDK.</w:t>
      </w:r>
    </w:p>
    <w:p>
      <w:pPr>
        <w:pStyle w:val="Heading1"/>
      </w:pPr>
      <w:r>
        <w:t>11. Roadmap and sustainability</w:t>
      </w:r>
    </w:p>
    <w:tbl>
      <w:tblPr>
        <w:tblStyle w:val="TableGrid"/>
        <w:tblW w:type="dxa" w:w="9360"/>
        <w:jc w:val="center"/>
        <w:tblLook w:firstColumn="1" w:firstRow="1" w:lastColumn="0" w:lastRow="0" w:noHBand="0" w:noVBand="1" w:val="04A0"/>
        <w:tblInd w:w="120" w:type="dxa"/>
        <w:tblLayout w:type="fixed"/>
      </w:tblPr>
      <w:tblGrid>
        <w:gridCol w:w="2000"/>
        <w:gridCol w:w="7360"/>
      </w:tblGrid>
      <w:tr>
        <w:trPr>
          <w:tblHeader/>
        </w:trPr>
        <w:tc>
          <w:tcPr>
            <w:tcW w:type="dxa" w:w="2000"/>
            <w:tcMar>
              <w:top w:w="80" w:type="dxa"/>
              <w:start w:w="120" w:type="dxa"/>
              <w:bottom w:w="80" w:type="dxa"/>
              <w:end w:w="120" w:type="dxa"/>
            </w:tcMar>
            <w:shd w:fill="E8EEF5"/>
          </w:tcPr>
          <w:p>
            <w:pPr>
              <w:jc w:val="left"/>
            </w:pPr>
            <w:r>
              <w:rPr>
                <w:rFonts w:ascii="Calibri" w:hAnsi="Calibri"/>
                <w:b/>
                <w:color w:val="0B2545"/>
                <w:sz w:val="19"/>
              </w:rPr>
              <w:t>Horizon</w:t>
            </w:r>
          </w:p>
        </w:tc>
        <w:tc>
          <w:tcPr>
            <w:tcW w:type="dxa" w:w="7360"/>
            <w:tcMar>
              <w:top w:w="80" w:type="dxa"/>
              <w:start w:w="120" w:type="dxa"/>
              <w:bottom w:w="80" w:type="dxa"/>
              <w:end w:w="120" w:type="dxa"/>
            </w:tcMar>
            <w:shd w:fill="E8EEF5"/>
          </w:tcPr>
          <w:p>
            <w:pPr>
              <w:jc w:val="left"/>
            </w:pPr>
            <w:r>
              <w:rPr>
                <w:rFonts w:ascii="Calibri" w:hAnsi="Calibri"/>
                <w:b/>
                <w:color w:val="0B2545"/>
                <w:sz w:val="19"/>
              </w:rPr>
              <w:t>Outcome</w:t>
            </w:r>
          </w:p>
        </w:tc>
      </w:tr>
      <w:tr>
        <w:tc>
          <w:tcPr>
            <w:tcW w:type="dxa" w:w="2000"/>
            <w:tcMar>
              <w:top w:w="80" w:type="dxa"/>
              <w:start w:w="120" w:type="dxa"/>
              <w:bottom w:w="80" w:type="dxa"/>
              <w:end w:w="120" w:type="dxa"/>
            </w:tcMar>
          </w:tcPr>
          <w:p>
            <w:pPr>
              <w:jc w:val="left"/>
            </w:pPr>
            <w:r>
              <w:rPr>
                <w:rFonts w:ascii="Calibri" w:hAnsi="Calibri"/>
                <w:color w:val="222222"/>
                <w:sz w:val="18"/>
              </w:rPr>
              <w:t>0-3 months</w:t>
            </w:r>
          </w:p>
        </w:tc>
        <w:tc>
          <w:tcPr>
            <w:tcW w:type="dxa" w:w="7360"/>
            <w:tcMar>
              <w:top w:w="80" w:type="dxa"/>
              <w:start w:w="120" w:type="dxa"/>
              <w:bottom w:w="80" w:type="dxa"/>
              <w:end w:w="120" w:type="dxa"/>
            </w:tcMar>
          </w:tcPr>
          <w:p>
            <w:pPr>
              <w:jc w:val="left"/>
            </w:pPr>
            <w:r>
              <w:rPr>
                <w:rFonts w:ascii="Calibri" w:hAnsi="Calibri"/>
                <w:color w:val="222222"/>
                <w:sz w:val="18"/>
              </w:rPr>
              <w:t>Stabilize the evidence schema; publish a reference implementation, evaluation fixtures, model/connector cards, and Docker setup.</w:t>
            </w:r>
          </w:p>
        </w:tc>
      </w:tr>
      <w:tr>
        <w:tc>
          <w:tcPr>
            <w:tcW w:type="dxa" w:w="2000"/>
            <w:tcMar>
              <w:top w:w="80" w:type="dxa"/>
              <w:start w:w="120" w:type="dxa"/>
              <w:bottom w:w="80" w:type="dxa"/>
              <w:end w:w="120" w:type="dxa"/>
            </w:tcMar>
          </w:tcPr>
          <w:p>
            <w:pPr>
              <w:jc w:val="left"/>
            </w:pPr>
            <w:r>
              <w:rPr>
                <w:rFonts w:ascii="Calibri" w:hAnsi="Calibri"/>
                <w:color w:val="222222"/>
                <w:sz w:val="18"/>
              </w:rPr>
              <w:t>3-6 months</w:t>
            </w:r>
          </w:p>
        </w:tc>
        <w:tc>
          <w:tcPr>
            <w:tcW w:type="dxa" w:w="7360"/>
            <w:tcMar>
              <w:top w:w="80" w:type="dxa"/>
              <w:start w:w="120" w:type="dxa"/>
              <w:bottom w:w="80" w:type="dxa"/>
              <w:end w:w="120" w:type="dxa"/>
            </w:tcMar>
          </w:tcPr>
          <w:p>
            <w:pPr>
              <w:jc w:val="left"/>
            </w:pPr>
            <w:r>
              <w:rPr>
                <w:rFonts w:ascii="Calibri" w:hAnsi="Calibri"/>
                <w:color w:val="222222"/>
                <w:sz w:val="18"/>
              </w:rPr>
              <w:t>Introduce PostgreSQL/object storage, queues, access controls, review workflow, language support, and more provenance/media adapters.</w:t>
            </w:r>
          </w:p>
        </w:tc>
      </w:tr>
      <w:tr>
        <w:tc>
          <w:tcPr>
            <w:tcW w:type="dxa" w:w="2000"/>
            <w:tcMar>
              <w:top w:w="80" w:type="dxa"/>
              <w:start w:w="120" w:type="dxa"/>
              <w:bottom w:w="80" w:type="dxa"/>
              <w:end w:w="120" w:type="dxa"/>
            </w:tcMar>
          </w:tcPr>
          <w:p>
            <w:pPr>
              <w:jc w:val="left"/>
            </w:pPr>
            <w:r>
              <w:rPr>
                <w:rFonts w:ascii="Calibri" w:hAnsi="Calibri"/>
                <w:color w:val="222222"/>
                <w:sz w:val="18"/>
              </w:rPr>
              <w:t>6-12 months</w:t>
            </w:r>
          </w:p>
        </w:tc>
        <w:tc>
          <w:tcPr>
            <w:tcW w:type="dxa" w:w="7360"/>
            <w:tcMar>
              <w:top w:w="80" w:type="dxa"/>
              <w:start w:w="120" w:type="dxa"/>
              <w:bottom w:w="80" w:type="dxa"/>
              <w:end w:w="120" w:type="dxa"/>
            </w:tcMar>
          </w:tcPr>
          <w:p>
            <w:pPr>
              <w:jc w:val="left"/>
            </w:pPr>
            <w:r>
              <w:rPr>
                <w:rFonts w:ascii="Calibri" w:hAnsi="Calibri"/>
                <w:color w:val="222222"/>
                <w:sz w:val="18"/>
              </w:rPr>
              <w:t>Launch developer SDKs, webhooks, policy packs, embeddable components, connector governance, and selected institutional pilots.</w:t>
            </w:r>
          </w:p>
        </w:tc>
      </w:tr>
      <w:tr>
        <w:tc>
          <w:tcPr>
            <w:tcW w:type="dxa" w:w="2000"/>
            <w:tcMar>
              <w:top w:w="80" w:type="dxa"/>
              <w:start w:w="120" w:type="dxa"/>
              <w:bottom w:w="80" w:type="dxa"/>
              <w:end w:w="120" w:type="dxa"/>
            </w:tcMar>
          </w:tcPr>
          <w:p>
            <w:pPr>
              <w:jc w:val="left"/>
            </w:pPr>
            <w:r>
              <w:rPr>
                <w:rFonts w:ascii="Calibri" w:hAnsi="Calibri"/>
                <w:color w:val="222222"/>
                <w:sz w:val="18"/>
              </w:rPr>
              <w:t>Long term</w:t>
            </w:r>
          </w:p>
        </w:tc>
        <w:tc>
          <w:tcPr>
            <w:tcW w:type="dxa" w:w="7360"/>
            <w:tcMar>
              <w:top w:w="80" w:type="dxa"/>
              <w:start w:w="120" w:type="dxa"/>
              <w:bottom w:w="80" w:type="dxa"/>
              <w:end w:w="120" w:type="dxa"/>
            </w:tcMar>
          </w:tcPr>
          <w:p>
            <w:pPr>
              <w:jc w:val="left"/>
            </w:pPr>
            <w:r>
              <w:rPr>
                <w:rFonts w:ascii="Calibri" w:hAnsi="Calibri"/>
                <w:color w:val="222222"/>
                <w:sz w:val="18"/>
              </w:rPr>
              <w:t>Evolve into interoperable trust infrastructure with independent evaluation, transparent governance, sector-specific policies, and community-maintained connectors.</w:t>
            </w:r>
          </w:p>
        </w:tc>
      </w:tr>
    </w:tbl>
    <w:p/>
    <w:p>
      <w:pPr>
        <w:pStyle w:val="Heading1"/>
      </w:pPr>
      <w:r>
        <w:t>12. Reference sources for implementation decisions</w:t>
      </w:r>
    </w:p>
    <w:p>
      <w:pPr>
        <w:pStyle w:val="ListBullet"/>
      </w:pPr>
      <w:r>
        <w:rPr>
          <w:rFonts w:ascii="Calibri" w:hAnsi="Calibri"/>
          <w:color w:val="222222"/>
          <w:sz w:val="22"/>
        </w:rPr>
        <w:t>Press Information Bureau, Government of India - PIB Fact Check information and FAQs: https://www.pib.gov.in/aboutfactchecke.aspx and https://www.pib.gov.in/FAQ_fact.aspx</w:t>
      </w:r>
    </w:p>
    <w:p>
      <w:pPr>
        <w:pStyle w:val="ListBullet"/>
      </w:pPr>
      <w:r>
        <w:rPr>
          <w:rFonts w:ascii="Calibri" w:hAnsi="Calibri"/>
          <w:color w:val="222222"/>
          <w:sz w:val="22"/>
        </w:rPr>
        <w:t>Open Government Data Platform India - API portal and government open-data licensing notes: https://www.data.gov.in/apis</w:t>
      </w:r>
    </w:p>
    <w:p>
      <w:pPr>
        <w:pStyle w:val="ListBullet"/>
      </w:pPr>
      <w:r>
        <w:rPr>
          <w:rFonts w:ascii="Calibri" w:hAnsi="Calibri"/>
          <w:color w:val="222222"/>
          <w:sz w:val="22"/>
        </w:rPr>
        <w:t>Google Fact Check Tools API reference: https://developers.google.com/fact-check/tools/api/reference/rest/</w:t>
      </w:r>
    </w:p>
    <w:p>
      <w:pPr>
        <w:pStyle w:val="ListBullet"/>
      </w:pPr>
      <w:r>
        <w:rPr>
          <w:rFonts w:ascii="Calibri" w:hAnsi="Calibri"/>
          <w:color w:val="222222"/>
          <w:sz w:val="22"/>
        </w:rPr>
        <w:t>SerpApi Google Search API documentation: https://serpapi.com/search-api</w:t>
      </w:r>
    </w:p>
    <w:p>
      <w:pPr>
        <w:pStyle w:val="ListBullet"/>
      </w:pPr>
      <w:r>
        <w:rPr>
          <w:rFonts w:ascii="Calibri" w:hAnsi="Calibri"/>
          <w:color w:val="222222"/>
          <w:sz w:val="22"/>
        </w:rPr>
        <w:t>C2PA technical standard and implementation guidance: https://c2pa.org/</w:t>
      </w:r>
    </w:p>
    <w:p>
      <w:pPr>
        <w:pStyle w:val="ListBullet"/>
      </w:pPr>
      <w:r>
        <w:rPr>
          <w:rFonts w:ascii="Calibri" w:hAnsi="Calibri"/>
          <w:color w:val="222222"/>
          <w:sz w:val="22"/>
        </w:rPr>
        <w:t>Schema.org ClaimReview vocabulary: https://schema.org/ClaimReview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DECEPTRIX - Evidence before conclusions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DECEPTRIX  |  Smart India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